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C524C">
      <w:pPr>
        <w:divId w:val="973409665"/>
        <w:rPr>
          <w:rFonts w:eastAsia="Times New Roman"/>
          <w:vanish/>
        </w:rPr>
      </w:pPr>
      <w:r>
        <w:rPr>
          <w:rFonts w:eastAsia="Times New Roman"/>
          <w:vanish/>
        </w:rPr>
        <w:t>Q22022FALSE0001333986--12-3151.569.275.671.355.733366.56.565.271.068.85.90.62.633366.56.500013339862022-01-012022-06-300001333986us-gaap:CommonClassAMember2022-01-012022-06-300001333986us-gaap:SeriesAPreferredStockMember2022-01-012022-06-30</w:t>
      </w:r>
      <w:r>
        <w:rPr>
          <w:rFonts w:eastAsia="Times New Roman"/>
          <w:vanish/>
        </w:rPr>
        <w:t>0001333986us-gaap:SeriesCPreferredStockMember2022-01-012022-06-3000013339862022-08-02xbrli:shares00013339862022-06-30iso4217:USD00013339862021-12-31iso4217:USDxbrli:shares00013339862022-04-012022-06-3000013339862021-04-012021-06-3000013339862021-01-012021-</w:t>
      </w:r>
      <w:r>
        <w:rPr>
          <w:rFonts w:eastAsia="Times New Roman"/>
          <w:vanish/>
        </w:rPr>
        <w:t>06-300001333986us-gaap:PreferredStockIncludingAdditionalPaidInCapitalMember2022-03-310001333986us-gaap:CommonStockMember2022-03-310001333986us-gaap:AdditionalPaidInCapitalMember2022-03-310001333986us-gaap:TreasuryStockMember2022-03-310001333986us-gaap:Reta</w:t>
      </w:r>
      <w:r>
        <w:rPr>
          <w:rFonts w:eastAsia="Times New Roman"/>
          <w:vanish/>
        </w:rPr>
        <w:t>inedEarningsMember2022-03-310001333986us-gaap:AccumulatedOtherComprehensiveIncomeMember2022-03-310001333986us-gaap:ParentMember2022-03-310001333986us-gaap:NoncontrollingInterestMember2022-03-3100013339862022-03-310001333986us-gaap:AdditionalPaidInCapitalMe</w:t>
      </w:r>
      <w:r>
        <w:rPr>
          <w:rFonts w:eastAsia="Times New Roman"/>
          <w:vanish/>
        </w:rPr>
        <w:t>mber2022-04-012022-06-300001333986us-gaap:TreasuryStockMember2022-04-012022-06-300001333986us-gaap:ParentMember2022-04-012022-06-300001333986us-gaap:NoncontrollingInterestMember2022-04-012022-06-300001333986us-gaap:RetainedEarningsMember2022-04-012022-06-3</w:t>
      </w:r>
      <w:r>
        <w:rPr>
          <w:rFonts w:eastAsia="Times New Roman"/>
          <w:vanish/>
        </w:rPr>
        <w:t>00001333986us-gaap:PreferredStockIncludingAdditionalPaidInCapitalMember2022-04-012022-06-300001333986us-gaap:AccumulatedOtherComprehensiveIncomeMember2022-04-012022-06-300001333986us-gaap:PreferredStockIncludingAdditionalPaidInCapitalMember2022-06-30000133</w:t>
      </w:r>
      <w:r>
        <w:rPr>
          <w:rFonts w:eastAsia="Times New Roman"/>
          <w:vanish/>
        </w:rPr>
        <w:t>3986us-gaap:CommonStockMember2022-06-300001333986us-gaap:AdditionalPaidInCapitalMember2022-06-300001333986us-gaap:TreasuryStockMember2022-06-300001333986us-gaap:RetainedEarningsMember2022-06-300001333986us-gaap:AccumulatedOtherComprehensiveIncomeMember2022</w:t>
      </w:r>
      <w:r>
        <w:rPr>
          <w:rFonts w:eastAsia="Times New Roman"/>
          <w:vanish/>
        </w:rPr>
        <w:t>-06-300001333986us-gaap:ParentMember2022-06-300001333986us-gaap:NoncontrollingInterestMember2022-06-300001333986us-gaap:PreferredStockIncludingAdditionalPaidInCapitalMember2021-03-310001333986us-gaap:CommonStockMember2021-03-310001333986us-gaap:AdditionalP</w:t>
      </w:r>
      <w:r>
        <w:rPr>
          <w:rFonts w:eastAsia="Times New Roman"/>
          <w:vanish/>
        </w:rPr>
        <w:t>aidInCapitalMember2021-03-310001333986us-gaap:TreasuryStockMember2021-03-310001333986us-gaap:RetainedEarningsMember2021-03-310001333986us-gaap:AccumulatedOtherComprehensiveIncomeMember2021-03-310001333986us-gaap:ParentMember2021-03-310001333986us-gaap:Nonc</w:t>
      </w:r>
      <w:r>
        <w:rPr>
          <w:rFonts w:eastAsia="Times New Roman"/>
          <w:vanish/>
        </w:rPr>
        <w:t>ontrollingInterestMember2021-03-3100013339862021-03-310001333986us-gaap:AdditionalPaidInCapitalMember2021-04-012021-06-300001333986us-gaap:TreasuryStockMember2021-04-012021-06-300001333986us-gaap:ParentMember2021-04-012021-06-300001333986us-gaap:Noncontrol</w:t>
      </w:r>
      <w:r>
        <w:rPr>
          <w:rFonts w:eastAsia="Times New Roman"/>
          <w:vanish/>
        </w:rPr>
        <w:t>lingInterestMember2021-04-012021-06-300001333986us-gaap:RetainedEarningsMember2021-04-012021-06-300001333986us-gaap:AccumulatedOtherComprehensiveIncomeMember2021-04-012021-06-300001333986us-gaap:PreferredStockIncludingAdditionalPaidInCapitalMember2021-06-3</w:t>
      </w:r>
      <w:r>
        <w:rPr>
          <w:rFonts w:eastAsia="Times New Roman"/>
          <w:vanish/>
        </w:rPr>
        <w:t>00001333986us-gaap:CommonStockMember2021-06-300001333986us-gaap:AdditionalPaidInCapitalMember2021-06-300001333986us-gaap:TreasuryStockMember2021-06-300001333986us-gaap:RetainedEarningsMember2021-06-300001333986us-gaap:AccumulatedOtherComprehensiveIncomeMem</w:t>
      </w:r>
      <w:r>
        <w:rPr>
          <w:rFonts w:eastAsia="Times New Roman"/>
          <w:vanish/>
        </w:rPr>
        <w:t>ber2021-06-300001333986us-gaap:ParentMember2021-06-300001333986us-gaap:NoncontrollingInterestMember2021-06-3000013339862021-06-300001333986us-gaap:PreferredStockIncludingAdditionalPaidInCapitalMember2021-12-310001333986us-gaap:CommonStockMember2021-12-3100</w:t>
      </w:r>
      <w:r>
        <w:rPr>
          <w:rFonts w:eastAsia="Times New Roman"/>
          <w:vanish/>
        </w:rPr>
        <w:t>01333986us-gaap:AdditionalPaidInCapitalMember2021-12-310001333986us-gaap:TreasuryStockMember2021-12-310001333986us-gaap:RetainedEarningsMember2021-12-310001333986us-gaap:AccumulatedOtherComprehensiveIncomeMember2021-12-310001333986us-gaap:ParentMember2021-</w:t>
      </w:r>
      <w:r>
        <w:rPr>
          <w:rFonts w:eastAsia="Times New Roman"/>
          <w:vanish/>
        </w:rPr>
        <w:t>12-310001333986us-gaap:NoncontrollingInterestMember2021-12-310001333986us-gaap:AdditionalPaidInCapitalMember2022-01-012022-06-300001333986us-gaap:TreasuryStockMember2022-01-012022-06-300001333986us-gaap:ParentMember2022-01-012022-06-300001333986us-gaap:Non</w:t>
      </w:r>
      <w:r>
        <w:rPr>
          <w:rFonts w:eastAsia="Times New Roman"/>
          <w:vanish/>
        </w:rPr>
        <w:t>controllingInterestMember2022-01-012022-06-300001333986us-gaap:RetainedEarningsMember2022-01-012022-06-300001333986us-gaap:AccumulatedOtherComprehensiveIncomeMember2022-01-012022-06-300001333986us-gaap:PreferredStockIncludingAdditionalPaidInCapitalMember20</w:t>
      </w:r>
      <w:r>
        <w:rPr>
          <w:rFonts w:eastAsia="Times New Roman"/>
          <w:vanish/>
        </w:rPr>
        <w:t>20-12-310001333986us-gaap:CommonStockMember2020-12-310001333986us-gaap:AdditionalPaidInCapitalMember2020-12-310001333986us-gaap:TreasuryStockMember2020-12-310001333986us-gaap:RetainedEarningsMember2020-12-310001333986us-gaap:AccumulatedOtherComprehensiveIn</w:t>
      </w:r>
      <w:r>
        <w:rPr>
          <w:rFonts w:eastAsia="Times New Roman"/>
          <w:vanish/>
        </w:rPr>
        <w:t>comeMember2020-12-310001333986us-gaap:ParentMember2020-12-310001333986us-gaap:NoncontrollingInterestMember2020-12-3100013339862020-12-310001333986us-gaap:AdditionalPaidInCapitalMember2021-01-012021-06-300001333986us-gaap:TreasuryStockMember2021-01-012021-0</w:t>
      </w:r>
      <w:r>
        <w:rPr>
          <w:rFonts w:eastAsia="Times New Roman"/>
          <w:vanish/>
        </w:rPr>
        <w:t>6-300001333986us-gaap:ParentMember2021-01-012021-06-300001333986us-gaap:NoncontrollingInterestMember2021-01-012021-06-300001333986us-gaap:RetainedEarningsMember2021-01-012021-06-300001333986us-gaap:PreferredStockIncludingAdditionalPaidInCapitalMember2021-0</w:t>
      </w:r>
      <w:r>
        <w:rPr>
          <w:rFonts w:eastAsia="Times New Roman"/>
          <w:vanish/>
        </w:rPr>
        <w:t>1-012021-06-300001333986us-gaap:AccumulatedOtherComprehensiveIncomeMember2021-01-012021-06-30eqh:segment0001333986eqh:AllianceBernsteinMember2021-01-012021-12-31xbrli:pure0001333986eqh:AllianceBernsteinMember2022-01-012022-06-300001333986eqh:CorporateSolut</w:t>
      </w:r>
      <w:r>
        <w:rPr>
          <w:rFonts w:eastAsia="Times New Roman"/>
          <w:vanish/>
        </w:rPr>
        <w:t>ionsLifeReinsuranceCompanyMember2021-06-010001333986eqh:VenerableInsuranceAndAnnuityCompanyMembereqh:CorporateSolutionsLifeReinsuranceCompanyMember2021-06-012021-06-010001333986eqh:VenerableInsuranceAndAnnuityCompanyMembereqh:EquitableFinancialLifeInsuranc</w:t>
      </w:r>
      <w:r>
        <w:rPr>
          <w:rFonts w:eastAsia="Times New Roman"/>
          <w:vanish/>
        </w:rPr>
        <w:t>eCompanyEFLICMember2021-06-010001333986eqh:AllianceBernsteinMembereqh:CorporateSolutionsLifeReinsuranceCompanyMember2021-06-010001333986eqh:AllianceBernsteinMemberus-gaap:GuaranteedMinimumWithdrawalBenefitMembereqh:CorporateSolutionsLifeReinsuranceCompanyM</w:t>
      </w:r>
      <w:r>
        <w:rPr>
          <w:rFonts w:eastAsia="Times New Roman"/>
          <w:vanish/>
        </w:rPr>
        <w:t>ember2021-06-010001333986eqh:VACapitalCompanyLLCMembereqh:EquitableInvestmentManagementGroupLLCMember2021-06-010001333986us-gaap:CollateralizedLoanObligationsMemberus-gaap:VariableInterestEntityPrimaryBeneficiaryMember2022-06-300001333986us-gaap:Collateral</w:t>
      </w:r>
      <w:r>
        <w:rPr>
          <w:rFonts w:eastAsia="Times New Roman"/>
          <w:vanish/>
        </w:rPr>
        <w:t>izedLoanObligationsMemberus-gaap:VariableInterestEntityPrimaryBeneficiaryMember2021-12-310001333986eqh:ConsolidatedLimitedPartnershipsMember2022-06-300001333986eqh:ConsolidatedLimitedPartnershipsMember2021-12-310001333986us-gaap:VariableInterestEntityPrima</w:t>
      </w:r>
      <w:r>
        <w:rPr>
          <w:rFonts w:eastAsia="Times New Roman"/>
          <w:vanish/>
        </w:rPr>
        <w:t>ryBeneficiaryMembereqh:ABSponsoredInvestmentFundsMember2022-06-300001333986us-gaap:VariableInterestEntityPrimaryBeneficiaryMembereqh:ABSponsoredInvestmentFundsMember2021-12-310001333986eqh:NonConsolidatedVairableInterestEntitiesVIEMember2022-06-30000133398</w:t>
      </w:r>
      <w:r>
        <w:rPr>
          <w:rFonts w:eastAsia="Times New Roman"/>
          <w:vanish/>
        </w:rPr>
        <w:t>6eqh:NonConsolidatedVairableInterestEntitiesVIEMember2021-12-310001333986eqh:ABSponsoredInvestmentFundsMembereqh:NonConsolidatedVairableInterestEntitiesVIEMember2022-06-300001333986eqh:ABSponsoredInvestmentFundsMembereqh:NonConsolidatedVairableInterestEnti</w:t>
      </w:r>
      <w:r>
        <w:rPr>
          <w:rFonts w:eastAsia="Times New Roman"/>
          <w:vanish/>
        </w:rPr>
        <w:t>tiesVIEMember2021-12-310001333986us-gaap:FixedMaturitiesMember2022-06-300001333986us-gaap:FixedMaturitiesMember2021-12-310001333986us-gaap:FixedMaturitiesMember2022-01-012022-06-300001333986us-gaap:FixedMaturitiesMember2021-01-012021-06-300001333986us-gaap</w:t>
      </w:r>
      <w:r>
        <w:rPr>
          <w:rFonts w:eastAsia="Times New Roman"/>
          <w:vanish/>
        </w:rPr>
        <w:t>:FixedMaturitiesMember2022-04-012022-06-300001333986us-gaap:FixedMaturitiesMember2021-04-012021-06-300001333986us-gaap:CorporateDebtSecuritiesMember2022-06-300001333986us-gaap:USTreasuryAndGovernmentMember2022-06-300001333986us-gaap:USStatesAndPoliticalSub</w:t>
      </w:r>
      <w:r>
        <w:rPr>
          <w:rFonts w:eastAsia="Times New Roman"/>
          <w:vanish/>
        </w:rPr>
        <w:t>divisionsMember2022-06-300001333986us-gaap:ForeignGovernmentDebtSecuritiesMember2022-06-300001333986us-gaap:ResidentialMortgageBackedSecuritiesMember2022-06-300001333986us-gaap:AssetBackedSecuritiesMember2022-06-300001333986us-gaap:CommercialMortgageBacked</w:t>
      </w:r>
      <w:r>
        <w:rPr>
          <w:rFonts w:eastAsia="Times New Roman"/>
          <w:vanish/>
        </w:rPr>
        <w:t>SecuritiesMember2022-06-300001333986us-gaap:RedeemablePreferredStockMember2022-06-300001333986us-gaap:CorporateDebtSecuritiesMember2021-12-310001333986us-gaap:USTreasuryAndGovernmentMember2021-12-310001333986us-gaap:USStatesAndPoliticalSubdivisionsMember20</w:t>
      </w:r>
      <w:r>
        <w:rPr>
          <w:rFonts w:eastAsia="Times New Roman"/>
          <w:vanish/>
        </w:rPr>
        <w:t>21-12-310001333986us-gaap:ForeignGovernmentDebtSecuritiesMember2021-12-310001333986us-gaap:ResidentialMortgageBackedSecuritiesMember2021-12-310001333986us-gaap:AssetBackedSecuritiesMember2021-12-310001333986us-gaap:CommercialMortgageBackedSecuritiesMember2</w:t>
      </w:r>
      <w:r>
        <w:rPr>
          <w:rFonts w:eastAsia="Times New Roman"/>
          <w:vanish/>
        </w:rPr>
        <w:t>021-12-310001333986us-gaap:RedeemablePreferredStockMember2021-12-310001333986eqh:UnrealizedInvestmentGainsLossesAllOtherMembereqh:NetUnrealizedGainsLossesOnInvestmentsMemberus-gaap:AccumulatedNetUnrealizedInvestmentGainLossMember2022-03-310001333986eqh:Unr</w:t>
      </w:r>
      <w:r>
        <w:rPr>
          <w:rFonts w:eastAsia="Times New Roman"/>
          <w:vanish/>
        </w:rPr>
        <w:t>ealizedInvestmentGainsLossesAllOtherMembereqh:DacMemberus-gaap:AccumulatedNetUnrealizedInvestmentGainLossMember2022-03-310001333986eqh:UnrealizedInvestmentGainsLossesAllOtherMembereqh:PolicyholdersLiabilitiesMemberus-gaap:AccumulatedNetUnrealizedInvestment</w:t>
      </w:r>
      <w:r>
        <w:rPr>
          <w:rFonts w:eastAsia="Times New Roman"/>
          <w:vanish/>
        </w:rPr>
        <w:t>GainLossMember2022-03-310001333986eqh:UnrealizedInvestmentGainsLossesAllOtherMembereqh:DeferredIncomeTaxAssetLiabilityMemberus-gaap:AccumulatedNetUnrealizedInvestmentGainLossMember2022-03-310001333986eqh:UnrealizedInvestmentGainsLossesAllOtherMembereqh:Aoc</w:t>
      </w:r>
      <w:r>
        <w:rPr>
          <w:rFonts w:eastAsia="Times New Roman"/>
          <w:vanish/>
        </w:rPr>
        <w:t>iGainLossesRelatedToNetUnrealizedInvestmentGainsLossesMemberus-gaap:AccumulatedNetUnrealizedInvestmentGainLossMember2022-03-310001333986eqh:UnrealizedInvestmentGainsLossesAllOtherMembereqh:NetUnrealizedGainsLossesOnInvestmentsMemberus-gaap:AccumulatedNetUn</w:t>
      </w:r>
      <w:r>
        <w:rPr>
          <w:rFonts w:eastAsia="Times New Roman"/>
          <w:vanish/>
        </w:rPr>
        <w:t>realizedInvestmentGainLossMember2022-04-012022-06-300001333986eqh:UnrealizedInvestmentGainsLossesAllOtherMembereqh:AociGainLossesRelatedToNetUnrealizedInvestmentGainsLossesMemberus-gaap:AccumulatedNetUnrealizedInvestmentGainLossMember2022-04-012022-06-3000</w:t>
      </w:r>
      <w:r>
        <w:rPr>
          <w:rFonts w:eastAsia="Times New Roman"/>
          <w:vanish/>
        </w:rPr>
        <w:t>01333986eqh:UnrealizedInvestmentGainsLossesAllOtherMembereqh:DacMemberus-gaap:AccumulatedNetUnrealizedInvestmentGainLossMember2022-04-012022-06-300001333986eqh:UnrealizedInvestmentGainsLossesAllOtherMembereqh:PolicyholdersLiabilitiesMemberus-gaap:Accumulat</w:t>
      </w:r>
      <w:r>
        <w:rPr>
          <w:rFonts w:eastAsia="Times New Roman"/>
          <w:vanish/>
        </w:rPr>
        <w:t>edNetUnrealizedInvestmentGainLossMember2022-04-012022-06-300001333986eqh:UnrealizedInvestmentGainsLossesAllOtherMembereqh:DeferredIncomeTaxAssetLiabilityMemberus-gaap:AccumulatedNetUnrealizedInvestmentGainLossMember2022-04-012022-06-300001333986eqh:Unreali</w:t>
      </w:r>
      <w:r>
        <w:rPr>
          <w:rFonts w:eastAsia="Times New Roman"/>
          <w:vanish/>
        </w:rPr>
        <w:t>zedInvestmentGainsLossesAllOtherMembereqh:DacMemberus-gaap:FixedMaturitiesMemberus-gaap:AccumulatedNetUnrealizedInvestmentGainLossMember2022-04-012022-06-300001333986eqh:UnrealizedInvestmentGainsLossesAllOtherMemberus-gaap:FixedMaturitiesMembereqh:Policyho</w:t>
      </w:r>
      <w:r>
        <w:rPr>
          <w:rFonts w:eastAsia="Times New Roman"/>
          <w:vanish/>
        </w:rPr>
        <w:t>ldersLiabilitiesMemberus-gaap:AccumulatedNetUnrealizedInvestmentGainLossMember2022-04-012022-06-300001333986eqh:UnrealizedInvestmentGainsLossesAllOtherMembereqh:DeferredIncomeTaxAssetLiabilityMemberus-gaap:FixedMaturitiesMemberus-gaap:AccumulatedNetUnreali</w:t>
      </w:r>
      <w:r>
        <w:rPr>
          <w:rFonts w:eastAsia="Times New Roman"/>
          <w:vanish/>
        </w:rPr>
        <w:t>zedInvestmentGainLossMember2022-04-012022-06-300001333986eqh:UnrealizedInvestmentGainsLossesAllOtherMembereqh:NetUnrealizedGainsLossesOnInvestmentsMemberus-gaap:AccumulatedNetUnrealizedInvestmentGainLossMember2022-06-300001333986eqh:UnrealizedInvestmentGai</w:t>
      </w:r>
      <w:r>
        <w:rPr>
          <w:rFonts w:eastAsia="Times New Roman"/>
          <w:vanish/>
        </w:rPr>
        <w:t>nsLossesAllOtherMembereqh:DacMemberus-gaap:AccumulatedNetUnrealizedInvestmentGainLossMember2022-06-300001333986eqh:UnrealizedInvestmentGainsLossesAllOtherMembereqh:PolicyholdersLiabilitiesMemberus-gaap:AccumulatedNetUnrealizedInvestmentGainLossMember2022-0</w:t>
      </w:r>
      <w:r>
        <w:rPr>
          <w:rFonts w:eastAsia="Times New Roman"/>
          <w:vanish/>
        </w:rPr>
        <w:t>6-300001333986eqh:UnrealizedInvestmentGainsLossesAllOtherMembereqh:DeferredIncomeTaxAssetLiabilityMemberus-gaap:AccumulatedNetUnrealizedInvestmentGainLossMember2022-06-300001333986eqh:UnrealizedInvestmentGainsLossesAllOtherMembereqh:AociGainLossesRelatedTo</w:t>
      </w:r>
      <w:r>
        <w:rPr>
          <w:rFonts w:eastAsia="Times New Roman"/>
          <w:vanish/>
        </w:rPr>
        <w:t>NetUnrealizedInvestmentGainsLossesMemberus-gaap:AccumulatedNetUnrealizedInvestmentGainLossMember2022-06-300001333986eqh:UnrealizedInvestmentGainsLossesAllOtherMembereqh:NetUnrealizedGainsLossesOnInvestmentsMemberus-gaap:AccumulatedNetUnrealizedInvestmentGa</w:t>
      </w:r>
      <w:r>
        <w:rPr>
          <w:rFonts w:eastAsia="Times New Roman"/>
          <w:vanish/>
        </w:rPr>
        <w:t>inLossMember2021-03-310001333986eqh:UnrealizedInvestmentGainsLossesAllOtherMembereqh:DacMemberus-gaap:AccumulatedNetUnrealizedInvestmentGainLossMember2021-03-310001333986eqh:UnrealizedInvestmentGainsLossesAllOtherMembereqh:PolicyholdersLiabilitiesMemberus-</w:t>
      </w:r>
      <w:r>
        <w:rPr>
          <w:rFonts w:eastAsia="Times New Roman"/>
          <w:vanish/>
        </w:rPr>
        <w:t>gaap:AccumulatedNetUnrealizedInvestmentGainLossMember2021-03-310001333986eqh:UnrealizedInvestmentGainsLossesAllOtherMembereqh:DeferredIncomeTaxAssetLiabilityMemberus-gaap:AccumulatedNetUnrealizedInvestmentGainLossMember2021-03-310001333986eqh:UnrealizedInv</w:t>
      </w:r>
      <w:r>
        <w:rPr>
          <w:rFonts w:eastAsia="Times New Roman"/>
          <w:vanish/>
        </w:rPr>
        <w:t>estmentGainsLossesAllOtherMembereqh:AociGainLossesRelatedToNetUnrealizedInvestmentGainsLossesMemberus-gaap:AccumulatedNetUnrealizedInvestmentGainLossMember2021-03-310001333986eqh:UnrealizedInvestmentGainsLossesAllOtherMembereqh:NetUnrealizedGainsLossesOnIn</w:t>
      </w:r>
      <w:r>
        <w:rPr>
          <w:rFonts w:eastAsia="Times New Roman"/>
          <w:vanish/>
        </w:rPr>
        <w:t>vestmentsMemberus-gaap:AccumulatedNetUnrealizedInvestmentGainLossMember2021-04-012021-06-300001333986eqh:UnrealizedInvestmentGainsLossesAllOtherMembereqh:AociGainLossesRelatedToNetUnrealizedInvestmentGainsLossesMemberus-gaap:AccumulatedNetUnrealizedInvestm</w:t>
      </w:r>
      <w:r>
        <w:rPr>
          <w:rFonts w:eastAsia="Times New Roman"/>
          <w:vanish/>
        </w:rPr>
        <w:t>entGainLossMember2021-04-012021-06-300001333986eqh:UnrealizedInvestmentGainsLossesAllOtherMembereqh:DacMemberus-gaap:AccumulatedNetUnrealizedInvestmentGainLossMember2021-04-012021-06-300001333986eqh:UnrealizedInvestmentGainsLossesAllOtherMembereqh:Policyho</w:t>
      </w:r>
      <w:r>
        <w:rPr>
          <w:rFonts w:eastAsia="Times New Roman"/>
          <w:vanish/>
        </w:rPr>
        <w:t>ldersLiabilitiesMemberus-gaap:AccumulatedNetUnrealizedInvestmentGainLossMember2021-04-012021-06-300001333986eqh:UnrealizedInvestmentGainsLossesAllOtherMembereqh:DeferredIncomeTaxAssetLiabilityMemberus-gaap:AccumulatedNetUnrealizedInvestmentGainLossMember20</w:t>
      </w:r>
      <w:r>
        <w:rPr>
          <w:rFonts w:eastAsia="Times New Roman"/>
          <w:vanish/>
        </w:rPr>
        <w:t>21-04-012021-06-300001333986eqh:UnrealizedInvestmentGainsLossesAllOtherMembereqh:DacMemberus-gaap:FixedMaturitiesMemberus-gaap:AccumulatedNetUnrealizedInvestmentGainLossMember2021-04-012021-06-300001333986eqh:UnrealizedInvestmentGainsLossesAllOtherMemberus</w:t>
      </w:r>
      <w:r>
        <w:rPr>
          <w:rFonts w:eastAsia="Times New Roman"/>
          <w:vanish/>
        </w:rPr>
        <w:t>-gaap:FixedMaturitiesMembereqh:PolicyholdersLiabilitiesMemberus-gaap:AccumulatedNetUnrealizedInvestmentGainLossMember2021-04-012021-06-300001333986eqh:UnrealizedInvestmentGainsLossesAllOtherMembereqh:DeferredIncomeTaxAssetLiabilityMemberus-gaap:FixedMaturi</w:t>
      </w:r>
      <w:r>
        <w:rPr>
          <w:rFonts w:eastAsia="Times New Roman"/>
          <w:vanish/>
        </w:rPr>
        <w:t>tiesMemberus-gaap:AccumulatedNetUnrealizedInvestmentGainLossMember2021-04-012021-06-300001333986eqh:UnrealizedInvestmentGainsLossesAllOtherMembereqh:NetUnrealizedGainsLossesOnInvestmentsMemberus-gaap:AccumulatedNetUnrealizedInvestmentGainLossMember2021-06-</w:t>
      </w:r>
      <w:r>
        <w:rPr>
          <w:rFonts w:eastAsia="Times New Roman"/>
          <w:vanish/>
        </w:rPr>
        <w:t>300001333986eqh:UnrealizedInvestmentGainsLossesAllOtherMembereqh:DacMemberus-gaap:AccumulatedNetUnrealizedInvestmentGainLossMember2021-06-300001333986eqh:UnrealizedInvestmentGainsLossesAllOtherMembereqh:PolicyholdersLiabilitiesMemberus-gaap:AccumulatedNetU</w:t>
      </w:r>
      <w:r>
        <w:rPr>
          <w:rFonts w:eastAsia="Times New Roman"/>
          <w:vanish/>
        </w:rPr>
        <w:t>nrealizedInvestmentGainLossMember2021-06-300001333986eqh:UnrealizedInvestmentGainsLossesAllOtherMembereqh:DeferredIncomeTaxAssetLiabilityMemberus-gaap:AccumulatedNetUnrealizedInvestmentGainLossMember2021-06-300001333986eqh:UnrealizedInvestmentGainsLossesAl</w:t>
      </w:r>
      <w:r>
        <w:rPr>
          <w:rFonts w:eastAsia="Times New Roman"/>
          <w:vanish/>
        </w:rPr>
        <w:t>lOtherMembereqh:AociGainLossesRelatedToNetUnrealizedInvestmentGainsLossesMemberus-gaap:AccumulatedNetUnrealizedInvestmentGainLossMember2021-06-300001333986eqh:UnrealizedInvestmentGainsLossesAllOtherMembereqh:NetUnrealizedGainsLossesOnInvestmentsMemberus-ga</w:t>
      </w:r>
      <w:r>
        <w:rPr>
          <w:rFonts w:eastAsia="Times New Roman"/>
          <w:vanish/>
        </w:rPr>
        <w:t>ap:AccumulatedNetUnrealizedInvestmentGainLossMember2021-12-310001333986eqh:UnrealizedInvestmentGainsLossesAllOtherMembereqh:DacMemberus-gaap:AccumulatedNetUnrealizedInvestmentGainLossMember2021-12-310001333986eqh:UnrealizedInvestmentGainsLossesAllOtherMemb</w:t>
      </w:r>
      <w:r>
        <w:rPr>
          <w:rFonts w:eastAsia="Times New Roman"/>
          <w:vanish/>
        </w:rPr>
        <w:t>ereqh:PolicyholdersLiabilitiesMemberus-gaap:AccumulatedNetUnrealizedInvestmentGainLossMember2021-12-310001333986eqh:UnrealizedInvestmentGainsLossesAllOtherMembereqh:DeferredIncomeTaxAssetLiabilityMemberus-gaap:AccumulatedNetUnrealizedInvestmentGainLossMemb</w:t>
      </w:r>
      <w:r>
        <w:rPr>
          <w:rFonts w:eastAsia="Times New Roman"/>
          <w:vanish/>
        </w:rPr>
        <w:t>er2021-12-310001333986eqh:UnrealizedInvestmentGainsLossesAllOtherMembereqh:AociGainLossesRelatedToNetUnrealizedInvestmentGainsLossesMemberus-gaap:AccumulatedNetUnrealizedInvestmentGainLossMember2021-12-310001333986eqh:UnrealizedInvestmentGainsLossesAllOthe</w:t>
      </w:r>
      <w:r>
        <w:rPr>
          <w:rFonts w:eastAsia="Times New Roman"/>
          <w:vanish/>
        </w:rPr>
        <w:t>rMembereqh:NetUnrealizedGainsLossesOnInvestmentsMemberus-gaap:AccumulatedNetUnrealizedInvestmentGainLossMember2022-01-012022-06-300001333986eqh:UnrealizedInvestmentGainsLossesAllOtherMembereqh:AociGainLossesRelatedToNetUnrealizedInvestmentGainsLossesMember</w:t>
      </w:r>
      <w:r>
        <w:rPr>
          <w:rFonts w:eastAsia="Times New Roman"/>
          <w:vanish/>
        </w:rPr>
        <w:t>us-gaap:AccumulatedNetUnrealizedInvestmentGainLossMember2022-01-012022-06-300001333986eqh:UnrealizedInvestmentGainsLossesAllOtherMembereqh:DacMemberus-gaap:AccumulatedNetUnrealizedInvestmentGainLossMember2022-01-012022-06-300001333986eqh:UnrealizedInvestme</w:t>
      </w:r>
      <w:r>
        <w:rPr>
          <w:rFonts w:eastAsia="Times New Roman"/>
          <w:vanish/>
        </w:rPr>
        <w:t>ntGainsLossesAllOtherMembereqh:PolicyholdersLiabilitiesMemberus-gaap:AccumulatedNetUnrealizedInvestmentGainLossMember2022-01-012022-06-300001333986eqh:UnrealizedInvestmentGainsLossesAllOtherMembereqh:DeferredIncomeTaxAssetLiabilityMemberus-gaap:Accumulated</w:t>
      </w:r>
      <w:r>
        <w:rPr>
          <w:rFonts w:eastAsia="Times New Roman"/>
          <w:vanish/>
        </w:rPr>
        <w:t>NetUnrealizedInvestmentGainLossMember2022-01-012022-06-300001333986eqh:UnrealizedInvestmentGainsLossesAllOtherMembereqh:DacMemberus-gaap:FixedMaturitiesMemberus-gaap:AccumulatedNetUnrealizedInvestmentGainLossMember2022-01-012022-06-300001333986eqh:Unrealiz</w:t>
      </w:r>
      <w:r>
        <w:rPr>
          <w:rFonts w:eastAsia="Times New Roman"/>
          <w:vanish/>
        </w:rPr>
        <w:t>edInvestmentGainsLossesAllOtherMemberus-gaap:FixedMaturitiesMembereqh:PolicyholdersLiabilitiesMemberus-gaap:AccumulatedNetUnrealizedInvestmentGainLossMember2022-01-012022-06-300001333986eqh:UnrealizedInvestmentGainsLossesAllOtherMembereqh:DeferredIncomeTax</w:t>
      </w:r>
      <w:r>
        <w:rPr>
          <w:rFonts w:eastAsia="Times New Roman"/>
          <w:vanish/>
        </w:rPr>
        <w:t>AssetLiabilityMemberus-gaap:FixedMaturitiesMemberus-gaap:AccumulatedNetUnrealizedInvestmentGainLossMember2022-01-012022-06-300001333986eqh:UnrealizedInvestmentGainsLossesAllOtherMembereqh:NetUnrealizedGainsLossesOnInvestmentsMemberus-gaap:AccumulatedNetUnr</w:t>
      </w:r>
      <w:r>
        <w:rPr>
          <w:rFonts w:eastAsia="Times New Roman"/>
          <w:vanish/>
        </w:rPr>
        <w:t>ealizedInvestmentGainLossMember2020-12-310001333986eqh:UnrealizedInvestmentGainsLossesAllOtherMembereqh:DacMemberus-gaap:AccumulatedNetUnrealizedInvestmentGainLossMember2020-12-310001333986eqh:UnrealizedInvestmentGainsLossesAllOtherMembereqh:PolicyholdersL</w:t>
      </w:r>
      <w:r>
        <w:rPr>
          <w:rFonts w:eastAsia="Times New Roman"/>
          <w:vanish/>
        </w:rPr>
        <w:t>iabilitiesMemberus-gaap:AccumulatedNetUnrealizedInvestmentGainLossMember2020-12-310001333986eqh:UnrealizedInvestmentGainsLossesAllOtherMembereqh:DeferredIncomeTaxAssetLiabilityMemberus-gaap:AccumulatedNetUnrealizedInvestmentGainLossMember2020-12-3100013339</w:t>
      </w:r>
      <w:r>
        <w:rPr>
          <w:rFonts w:eastAsia="Times New Roman"/>
          <w:vanish/>
        </w:rPr>
        <w:t>86eqh:UnrealizedInvestmentGainsLossesAllOtherMembereqh:AociGainLossesRelatedToNetUnrealizedInvestmentGainsLossesMemberus-gaap:AccumulatedNetUnrealizedInvestmentGainLossMember2020-12-310001333986eqh:UnrealizedInvestmentGainsLossesAllOtherMembereqh:NetUnreal</w:t>
      </w:r>
      <w:r>
        <w:rPr>
          <w:rFonts w:eastAsia="Times New Roman"/>
          <w:vanish/>
        </w:rPr>
        <w:t>izedGainsLossesOnInvestmentsMemberus-gaap:AccumulatedNetUnrealizedInvestmentGainLossMember2021-01-012021-06-300001333986eqh:UnrealizedInvestmentGainsLossesAllOtherMembereqh:AociGainLossesRelatedToNetUnrealizedInvestmentGainsLossesMemberus-gaap:AccumulatedN</w:t>
      </w:r>
      <w:r>
        <w:rPr>
          <w:rFonts w:eastAsia="Times New Roman"/>
          <w:vanish/>
        </w:rPr>
        <w:t>etUnrealizedInvestmentGainLossMember2021-01-012021-06-300001333986eqh:UnrealizedInvestmentGainsLossesAllOtherMembereqh:DacMemberus-gaap:AccumulatedNetUnrealizedInvestmentGainLossMember2021-01-012021-06-300001333986eqh:UnrealizedInvestmentGainsLossesAllOthe</w:t>
      </w:r>
      <w:r>
        <w:rPr>
          <w:rFonts w:eastAsia="Times New Roman"/>
          <w:vanish/>
        </w:rPr>
        <w:t>rMembereqh:PolicyholdersLiabilitiesMemberus-gaap:AccumulatedNetUnrealizedInvestmentGainLossMember2021-01-012021-06-300001333986eqh:UnrealizedInvestmentGainsLossesAllOtherMembereqh:DeferredIncomeTaxAssetLiabilityMemberus-gaap:AccumulatedNetUnrealizedInvestm</w:t>
      </w:r>
      <w:r>
        <w:rPr>
          <w:rFonts w:eastAsia="Times New Roman"/>
          <w:vanish/>
        </w:rPr>
        <w:t>entGainLossMember2021-01-012021-06-300001333986eqh:UnrealizedInvestmentGainsLossesAllOtherMembereqh:DacMemberus-gaap:FixedMaturitiesMemberus-gaap:AccumulatedNetUnrealizedInvestmentGainLossMember2021-01-012021-06-300001333986eqh:UnrealizedInvestmentGainsLos</w:t>
      </w:r>
      <w:r>
        <w:rPr>
          <w:rFonts w:eastAsia="Times New Roman"/>
          <w:vanish/>
        </w:rPr>
        <w:t>sesAllOtherMemberus-gaap:FixedMaturitiesMembereqh:PolicyholdersLiabilitiesMemberus-gaap:AccumulatedNetUnrealizedInvestmentGainLossMember2021-01-012021-06-300001333986eqh:UnrealizedInvestmentGainsLossesAllOtherMembereqh:DeferredIncomeTaxAssetLiabilityMember</w:t>
      </w:r>
      <w:r>
        <w:rPr>
          <w:rFonts w:eastAsia="Times New Roman"/>
          <w:vanish/>
        </w:rPr>
        <w:t>us-gaap:FixedMaturitiesMemberus-gaap:AccumulatedNetUnrealizedInvestmentGainLossMember2021-01-012021-06-30eqh:issue0001333986us-gaap:FixedMaturitiesMembereqh:OtherThanInvestmentGradeMemberus-gaap:ExternalCreditRatingNonInvestmentGradeMember2022-06-300001333</w:t>
      </w:r>
      <w:r>
        <w:rPr>
          <w:rFonts w:eastAsia="Times New Roman"/>
          <w:vanish/>
        </w:rPr>
        <w:t>986us-gaap:FixedMaturitiesMembereqh:OtherThanInvestmentGradeMemberus-gaap:ExternalCreditRatingNonInvestmentGradeMember2021-12-310001333986eqh:AgriculturalMortgageLoansMember2022-06-300001333986us-gaap:CommercialLoanMember2022-06-300001333986us-gaap:Commerc</w:t>
      </w:r>
      <w:r>
        <w:rPr>
          <w:rFonts w:eastAsia="Times New Roman"/>
          <w:vanish/>
        </w:rPr>
        <w:t>ialLoanMember2021-12-310001333986eqh:AgriculturalMortgageLoansMember2021-12-310001333986eqh:AgriculturalMortgageLoansMember2022-01-012022-06-300001333986us-gaap:CommercialLoanMember2021-01-012021-06-300001333986us-gaap:CommercialLoanMember2022-01-012022-06</w:t>
      </w:r>
      <w:r>
        <w:rPr>
          <w:rFonts w:eastAsia="Times New Roman"/>
          <w:vanish/>
        </w:rPr>
        <w:t>-300001333986eqh:AgriculturalMortgageLoansMember2021-01-012021-06-300001333986eqh:IndividuallyAssessedMortgageLoansMember2022-06-300001333986us-gaap:CommercialLoanMember2022-03-310001333986us-gaap:CommercialLoanMember2021-03-310001333986us-gaap:CommercialL</w:t>
      </w:r>
      <w:r>
        <w:rPr>
          <w:rFonts w:eastAsia="Times New Roman"/>
          <w:vanish/>
        </w:rPr>
        <w:t>oanMember2020-12-310001333986us-gaap:CommercialLoanMember2022-04-012022-06-300001333986us-gaap:CommercialLoanMember2021-04-012021-06-300001333986us-gaap:CommercialLoanMember2021-06-300001333986eqh:AgriculturalMortgageLoansMember2022-03-310001333986eqh:Agri</w:t>
      </w:r>
      <w:r>
        <w:rPr>
          <w:rFonts w:eastAsia="Times New Roman"/>
          <w:vanish/>
        </w:rPr>
        <w:t>culturalMortgageLoansMember2021-03-310001333986eqh:AgriculturalMortgageLoansMember2020-12-310001333986eqh:AgriculturalMortgageLoansMember2022-04-012022-06-300001333986eqh:AgriculturalMortgageLoansMember2021-04-012021-06-300001333986eqh:AgriculturalMortgage</w:t>
      </w:r>
      <w:r>
        <w:rPr>
          <w:rFonts w:eastAsia="Times New Roman"/>
          <w:vanish/>
        </w:rPr>
        <w:t>LoansMember2021-06-300001333986us-gaap:CommercialLoanMembereqh:ZeroToFiftyPercentMember2022-06-300001333986us-gaap:CommercialLoanMembereqh:FiftyToSeventyPercentMember2022-06-300001333986us-gaap:CommercialLoanMembereqh:SeventyToNinetyPercentMember2022-06-30</w:t>
      </w:r>
      <w:r>
        <w:rPr>
          <w:rFonts w:eastAsia="Times New Roman"/>
          <w:vanish/>
        </w:rPr>
        <w:t>0001333986us-gaap:CommercialLoanMembereqh:MoreThanNinetyPercentMember2022-06-300001333986eqh:AgriculturalMortgageLoansMembereqh:ZeroToFiftyPercentMember2022-06-300001333986eqh:AgriculturalMortgageLoansMembereqh:FiftyToSeventyPercentMember2022-06-3000013339</w:t>
      </w:r>
      <w:r>
        <w:rPr>
          <w:rFonts w:eastAsia="Times New Roman"/>
          <w:vanish/>
        </w:rPr>
        <w:t>86eqh:SeventyToNinetyPercentMembereqh:AgriculturalMortgageLoansMember2022-06-300001333986eqh:MoreThanNinetyPercentMembereqh:AgriculturalMortgageLoansMember2022-06-300001333986eqh:TotalMortgagesLoanMembereqh:ZeroToFiftyPercentMember2022-06-300001333986eqh:T</w:t>
      </w:r>
      <w:r>
        <w:rPr>
          <w:rFonts w:eastAsia="Times New Roman"/>
          <w:vanish/>
        </w:rPr>
        <w:t>otalMortgagesLoanMembereqh:FiftyToSeventyPercentMember2022-06-300001333986eqh:SeventyToNinetyPercentMembereqh:TotalMortgagesLoanMember2022-06-300001333986eqh:MoreThanNinetyPercentMembereqh:TotalMortgagesLoanMember2022-06-300001333986eqh:TotalMortgagesLoanM</w:t>
      </w:r>
      <w:r>
        <w:rPr>
          <w:rFonts w:eastAsia="Times New Roman"/>
          <w:vanish/>
        </w:rPr>
        <w:t>ember2022-06-300001333986us-gaap:CommercialLoanMembereqh:RatioGreaterThan2TimesMember2022-06-300001333986us-gaap:CommercialLoanMembereqh:RatioBetween18To2TimesMember2022-06-300001333986us-gaap:CommercialLoanMembereqh:RatioBetween15To18TimesMember2022-06-30</w:t>
      </w:r>
      <w:r>
        <w:rPr>
          <w:rFonts w:eastAsia="Times New Roman"/>
          <w:vanish/>
        </w:rPr>
        <w:t>0001333986us-gaap:CommercialLoanMembereqh:RatioBetween12To15TimesMember2022-06-300001333986us-gaap:CommercialLoanMembereqh:RatioBetween1To12TimesMember2022-06-300001333986us-gaap:CommercialLoanMembereqh:RatioLessThan1TimesMember2022-06-300001333986eqh:Agri</w:t>
      </w:r>
      <w:r>
        <w:rPr>
          <w:rFonts w:eastAsia="Times New Roman"/>
          <w:vanish/>
        </w:rPr>
        <w:t>culturalMortgageLoansMembereqh:RatioGreaterThan2TimesMember2022-06-300001333986eqh:AgriculturalMortgageLoansMembereqh:RatioBetween18To2TimesMember2022-06-300001333986eqh:RatioBetween15To18TimesMembereqh:AgriculturalMortgageLoansMember2022-06-300001333986eq</w:t>
      </w:r>
      <w:r>
        <w:rPr>
          <w:rFonts w:eastAsia="Times New Roman"/>
          <w:vanish/>
        </w:rPr>
        <w:t>h:RatioBetween12To15TimesMembereqh:AgriculturalMortgageLoansMember2022-06-300001333986eqh:RatioBetween1To12TimesMembereqh:AgriculturalMortgageLoansMember2022-06-300001333986eqh:RatioLessThan1TimesMembereqh:AgriculturalMortgageLoansMember2022-06-30000133398</w:t>
      </w:r>
      <w:r>
        <w:rPr>
          <w:rFonts w:eastAsia="Times New Roman"/>
          <w:vanish/>
        </w:rPr>
        <w:t>6eqh:TotalMortgagesLoanMembereqh:RatioGreaterThan2TimesMember2022-06-300001333986eqh:TotalMortgagesLoanMembereqh:RatioBetween18To2TimesMember2022-06-300001333986eqh:RatioBetween15To18TimesMembereqh:TotalMortgagesLoanMember2022-06-300001333986eqh:RatioBetwe</w:t>
      </w:r>
      <w:r>
        <w:rPr>
          <w:rFonts w:eastAsia="Times New Roman"/>
          <w:vanish/>
        </w:rPr>
        <w:t>en12To15TimesMembereqh:TotalMortgagesLoanMember2022-06-300001333986eqh:RatioBetween1To12TimesMembereqh:TotalMortgagesLoanMember2022-06-300001333986eqh:RatioLessThan1TimesMembereqh:TotalMortgagesLoanMember2022-06-300001333986us-gaap:CommercialLoanMembereqh:</w:t>
      </w:r>
      <w:r>
        <w:rPr>
          <w:rFonts w:eastAsia="Times New Roman"/>
          <w:vanish/>
        </w:rPr>
        <w:t>ZeroToFiftyPercentMember2021-12-310001333986us-gaap:CommercialLoanMembereqh:FiftyToSeventyPercentMember2021-12-310001333986us-gaap:CommercialLoanMembereqh:SeventyToNinetyPercentMember2021-12-310001333986us-gaap:CommercialLoanMembereqh:MoreThanNinetyPercent</w:t>
      </w:r>
      <w:r>
        <w:rPr>
          <w:rFonts w:eastAsia="Times New Roman"/>
          <w:vanish/>
        </w:rPr>
        <w:t>Member2021-12-310001333986eqh:AgriculturalMortgageLoansMembereqh:ZeroToFiftyPercentMember2021-12-310001333986eqh:AgriculturalMortgageLoansMembereqh:FiftyToSeventyPercentMember2021-12-310001333986eqh:SeventyToNinetyPercentMembereqh:AgriculturalMortgageLoans</w:t>
      </w:r>
      <w:r>
        <w:rPr>
          <w:rFonts w:eastAsia="Times New Roman"/>
          <w:vanish/>
        </w:rPr>
        <w:t>Member2021-12-310001333986eqh:MoreThanNinetyPercentMembereqh:AgriculturalMortgageLoansMember2021-12-310001333986eqh:TotalMortgagesLoanMembereqh:ZeroToFiftyPercentMember2021-12-310001333986eqh:TotalMortgagesLoanMembereqh:FiftyToSeventyPercentMember2021-12-3</w:t>
      </w:r>
      <w:r>
        <w:rPr>
          <w:rFonts w:eastAsia="Times New Roman"/>
          <w:vanish/>
        </w:rPr>
        <w:t>10001333986eqh:SeventyToNinetyPercentMembereqh:TotalMortgagesLoanMember2021-12-310001333986eqh:MoreThanNinetyPercentMembereqh:TotalMortgagesLoanMember2021-12-310001333986eqh:TotalMortgagesLoanMember2021-12-310001333986us-gaap:CommercialLoanMembereqh:RatioG</w:t>
      </w:r>
      <w:r>
        <w:rPr>
          <w:rFonts w:eastAsia="Times New Roman"/>
          <w:vanish/>
        </w:rPr>
        <w:t>reaterThan2TimesMember2021-12-310001333986us-gaap:CommercialLoanMembereqh:RatioBetween18To2TimesMember2021-12-310001333986us-gaap:CommercialLoanMembereqh:RatioBetween15To18TimesMember2021-12-310001333986us-gaap:CommercialLoanMembereqh:RatioBetween12To15Tim</w:t>
      </w:r>
      <w:r>
        <w:rPr>
          <w:rFonts w:eastAsia="Times New Roman"/>
          <w:vanish/>
        </w:rPr>
        <w:t>esMember2021-12-310001333986us-gaap:CommercialLoanMembereqh:RatioBetween1To12TimesMember2021-12-310001333986us-gaap:CommercialLoanMembereqh:RatioLessThan1TimesMember2021-12-310001333986eqh:AgriculturalMortgageLoansMembereqh:RatioGreaterThan2TimesMember2021</w:t>
      </w:r>
      <w:r>
        <w:rPr>
          <w:rFonts w:eastAsia="Times New Roman"/>
          <w:vanish/>
        </w:rPr>
        <w:t>-12-310001333986eqh:AgriculturalMortgageLoansMembereqh:RatioBetween18To2TimesMember2021-12-310001333986eqh:RatioBetween15To18TimesMembereqh:AgriculturalMortgageLoansMember2021-12-310001333986eqh:RatioBetween12To15TimesMembereqh:AgriculturalMortgageLoansMem</w:t>
      </w:r>
      <w:r>
        <w:rPr>
          <w:rFonts w:eastAsia="Times New Roman"/>
          <w:vanish/>
        </w:rPr>
        <w:t>ber2021-12-310001333986eqh:RatioBetween1To12TimesMembereqh:AgriculturalMortgageLoansMember2021-12-310001333986eqh:RatioLessThan1TimesMembereqh:AgriculturalMortgageLoansMember2021-12-310001333986eqh:TotalMortgagesLoanMembereqh:RatioGreaterThan2TimesMember20</w:t>
      </w:r>
      <w:r>
        <w:rPr>
          <w:rFonts w:eastAsia="Times New Roman"/>
          <w:vanish/>
        </w:rPr>
        <w:t>21-12-310001333986eqh:TotalMortgagesLoanMembereqh:RatioBetween18To2TimesMember2021-12-310001333986eqh:RatioBetween15To18TimesMembereqh:TotalMortgagesLoanMember2021-12-310001333986eqh:RatioBetween12To15TimesMembereqh:TotalMortgagesLoanMember2021-12-31000133</w:t>
      </w:r>
      <w:r>
        <w:rPr>
          <w:rFonts w:eastAsia="Times New Roman"/>
          <w:vanish/>
        </w:rPr>
        <w:t>3986eqh:RatioBetween1To12TimesMembereqh:TotalMortgagesLoanMember2021-12-310001333986eqh:RatioLessThan1TimesMembereqh:TotalMortgagesLoanMember2021-12-310001333986us-gaap:CommercialLoanMemberus-gaap:FinancingReceivables30To59DaysPastDueMember2022-06-30000133</w:t>
      </w:r>
      <w:r>
        <w:rPr>
          <w:rFonts w:eastAsia="Times New Roman"/>
          <w:vanish/>
        </w:rPr>
        <w:t>3986us-gaap:CommercialLoanMemberus-gaap:FinancingReceivables60To89DaysPastDueMember2022-06-300001333986us-gaap:CommercialLoanMemberus-gaap:FinancingReceivablesEqualToGreaterThan90DaysPastDueMember2022-06-300001333986us-gaap:FinancialAssetPastDueMemberus-ga</w:t>
      </w:r>
      <w:r>
        <w:rPr>
          <w:rFonts w:eastAsia="Times New Roman"/>
          <w:vanish/>
        </w:rPr>
        <w:t>ap:CommercialLoanMember2022-06-300001333986us-gaap:CommercialLoanMemberus-gaap:FinancialAssetNotPastDueMember2022-06-300001333986eqh:AgriculturalMortgageLoansMemberus-gaap:FinancingReceivables30To59DaysPastDueMember2022-06-300001333986eqh:AgriculturalMortg</w:t>
      </w:r>
      <w:r>
        <w:rPr>
          <w:rFonts w:eastAsia="Times New Roman"/>
          <w:vanish/>
        </w:rPr>
        <w:t>ageLoansMemberus-gaap:FinancingReceivables60To89DaysPastDueMember2022-06-300001333986eqh:AgriculturalMortgageLoansMemberus-gaap:FinancingReceivablesEqualToGreaterThan90DaysPastDueMember2022-06-300001333986us-gaap:FinancialAssetPastDueMembereqh:Agricultural</w:t>
      </w:r>
      <w:r>
        <w:rPr>
          <w:rFonts w:eastAsia="Times New Roman"/>
          <w:vanish/>
        </w:rPr>
        <w:t>MortgageLoansMember2022-06-300001333986eqh:AgriculturalMortgageLoansMemberus-gaap:FinancialAssetNotPastDueMember2022-06-300001333986us-gaap:FinancingReceivables30To59DaysPastDueMember2022-06-300001333986us-gaap:FinancingReceivables60To89DaysPastDueMember20</w:t>
      </w:r>
      <w:r>
        <w:rPr>
          <w:rFonts w:eastAsia="Times New Roman"/>
          <w:vanish/>
        </w:rPr>
        <w:t>22-06-300001333986us-gaap:FinancingReceivablesEqualToGreaterThan90DaysPastDueMember2022-06-300001333986us-gaap:FinancialAssetPastDueMember2022-06-300001333986us-gaap:FinancialAssetNotPastDueMember2022-06-300001333986us-gaap:CommercialLoanMemberus-gaap:Fina</w:t>
      </w:r>
      <w:r>
        <w:rPr>
          <w:rFonts w:eastAsia="Times New Roman"/>
          <w:vanish/>
        </w:rPr>
        <w:t>ncingReceivables30To59DaysPastDueMember2021-12-310001333986us-gaap:CommercialLoanMemberus-gaap:FinancingReceivables60To89DaysPastDueMember2021-12-310001333986us-gaap:CommercialLoanMemberus-gaap:FinancingReceivablesEqualToGreaterThan90DaysPastDueMember2021-</w:t>
      </w:r>
      <w:r>
        <w:rPr>
          <w:rFonts w:eastAsia="Times New Roman"/>
          <w:vanish/>
        </w:rPr>
        <w:t>12-310001333986us-gaap:FinancialAssetPastDueMemberus-gaap:CommercialLoanMember2021-12-310001333986us-gaap:CommercialLoanMemberus-gaap:FinancialAssetNotPastDueMember2021-12-310001333986us-gaap:CommercialLoanMember2021-01-012021-12-310001333986eqh:Agricultur</w:t>
      </w:r>
      <w:r>
        <w:rPr>
          <w:rFonts w:eastAsia="Times New Roman"/>
          <w:vanish/>
        </w:rPr>
        <w:t>alMortgageLoansMemberus-gaap:FinancingReceivables30To59DaysPastDueMember2021-12-310001333986eqh:AgriculturalMortgageLoansMemberus-gaap:FinancingReceivables60To89DaysPastDueMember2021-12-310001333986eqh:AgriculturalMortgageLoansMemberus-gaap:FinancingReceiv</w:t>
      </w:r>
      <w:r>
        <w:rPr>
          <w:rFonts w:eastAsia="Times New Roman"/>
          <w:vanish/>
        </w:rPr>
        <w:t>ablesEqualToGreaterThan90DaysPastDueMember2021-12-310001333986us-gaap:FinancialAssetPastDueMembereqh:AgriculturalMortgageLoansMember2021-12-310001333986eqh:AgriculturalMortgageLoansMemberus-gaap:FinancialAssetNotPastDueMember2021-12-310001333986eqh:Agricul</w:t>
      </w:r>
      <w:r>
        <w:rPr>
          <w:rFonts w:eastAsia="Times New Roman"/>
          <w:vanish/>
        </w:rPr>
        <w:t>turalMortgageLoansMember2021-01-012021-12-310001333986us-gaap:FinancingReceivables30To59DaysPastDueMember2021-12-310001333986us-gaap:FinancingReceivables60To89DaysPastDueMember2021-12-310001333986us-gaap:FinancingReceivablesEqualToGreaterThan90DaysPastDueM</w:t>
      </w:r>
      <w:r>
        <w:rPr>
          <w:rFonts w:eastAsia="Times New Roman"/>
          <w:vanish/>
        </w:rPr>
        <w:t>ember2021-12-310001333986us-gaap:FinancialAssetPastDueMember2021-12-310001333986us-gaap:FinancialAssetNotPastDueMember2021-12-3100013339862021-01-012021-12-310001333986us-gaap:FairValueMeasurementsRecurringMember2022-06-300001333986us-gaap:FairValueMeasure</w:t>
      </w:r>
      <w:r>
        <w:rPr>
          <w:rFonts w:eastAsia="Times New Roman"/>
          <w:vanish/>
        </w:rPr>
        <w:t>mentsRecurringMember2021-12-310001333986us-gaap:CashFlowHedgingMemberus-gaap:CurrencySwapMemberus-gaap:DesignatedAsHedgingInstrumentMember2022-06-300001333986us-gaap:CashFlowHedgingMemberus-gaap:CurrencySwapMemberus-gaap:DesignatedAsHedgingInstrumentMember</w:t>
      </w:r>
      <w:r>
        <w:rPr>
          <w:rFonts w:eastAsia="Times New Roman"/>
          <w:vanish/>
        </w:rPr>
        <w:t>2021-12-310001333986us-gaap:CashFlowHedgingMemberus-gaap:InterestRateSwapMemberus-gaap:DesignatedAsHedgingInstrumentMember2022-06-300001333986us-gaap:CashFlowHedgingMemberus-gaap:InterestRateSwapMemberus-gaap:DesignatedAsHedgingInstrumentMember2021-12-3100</w:t>
      </w:r>
      <w:r>
        <w:rPr>
          <w:rFonts w:eastAsia="Times New Roman"/>
          <w:vanish/>
        </w:rPr>
        <w:t>01333986us-gaap:CashFlowHedgingMemberus-gaap:DesignatedAsHedgingInstrumentMember2022-06-300001333986us-gaap:CashFlowHedgingMemberus-gaap:DesignatedAsHedgingInstrumentMember2021-12-310001333986us-gaap:NondesignatedMembereqh:EquityFuturesMember2022-06-300001</w:t>
      </w:r>
      <w:r>
        <w:rPr>
          <w:rFonts w:eastAsia="Times New Roman"/>
          <w:vanish/>
        </w:rPr>
        <w:t>333986us-gaap:NondesignatedMembereqh:EquityFuturesMember2021-12-310001333986us-gaap:NondesignatedMemberus-gaap:EquitySwapMember2022-06-300001333986us-gaap:NondesignatedMemberus-gaap:EquitySwapMember2021-12-310001333986us-gaap:NondesignatedMemberus-gaap:Sto</w:t>
      </w:r>
      <w:r>
        <w:rPr>
          <w:rFonts w:eastAsia="Times New Roman"/>
          <w:vanish/>
        </w:rPr>
        <w:t>ckOptionMember2022-06-300001333986us-gaap:NondesignatedMemberus-gaap:StockOptionMember2021-12-310001333986us-gaap:NondesignatedMembereqh:InterestRateFuturesMember2022-06-300001333986us-gaap:NondesignatedMembereqh:InterestRateFuturesMember2021-12-3100013339</w:t>
      </w:r>
      <w:r>
        <w:rPr>
          <w:rFonts w:eastAsia="Times New Roman"/>
          <w:vanish/>
        </w:rPr>
        <w:t>86us-gaap:NondesignatedMemberus-gaap:InterestRateSwapMember2022-06-300001333986us-gaap:NondesignatedMemberus-gaap:InterestRateSwapMember2021-12-310001333986us-gaap:NondesignatedMemberus-gaap:InterestRateSwaptionMember2022-06-300001333986us-gaap:Nondesignat</w:t>
      </w:r>
      <w:r>
        <w:rPr>
          <w:rFonts w:eastAsia="Times New Roman"/>
          <w:vanish/>
        </w:rPr>
        <w:t>edMemberus-gaap:InterestRateSwaptionMember2021-12-310001333986us-gaap:NondesignatedMemberus-gaap:CreditDefaultSwapMember2022-06-300001333986us-gaap:NondesignatedMemberus-gaap:CreditDefaultSwapMember2021-12-310001333986us-gaap:NondesignatedMemberus-gaap:Cur</w:t>
      </w:r>
      <w:r>
        <w:rPr>
          <w:rFonts w:eastAsia="Times New Roman"/>
          <w:vanish/>
        </w:rPr>
        <w:t>rencySwapMember2022-06-300001333986us-gaap:NondesignatedMemberus-gaap:CurrencySwapMember2021-12-310001333986us-gaap:NondesignatedMembereqh:CurrencyFowardMember2022-06-300001333986us-gaap:NondesignatedMembereqh:CurrencyFowardMember2021-12-310001333986us-gaa</w:t>
      </w:r>
      <w:r>
        <w:rPr>
          <w:rFonts w:eastAsia="Times New Roman"/>
          <w:vanish/>
        </w:rPr>
        <w:t>p:NondesignatedMembereqh:MarginMember2022-06-300001333986us-gaap:NondesignatedMembereqh:MarginMember2021-12-310001333986us-gaap:CollateralizedSecuritiesMemberus-gaap:NondesignatedMember2022-06-300001333986us-gaap:CollateralizedSecuritiesMemberus-gaap:Nonde</w:t>
      </w:r>
      <w:r>
        <w:rPr>
          <w:rFonts w:eastAsia="Times New Roman"/>
          <w:vanish/>
        </w:rPr>
        <w:t>signatedMember2021-12-310001333986us-gaap:NondesignatedMember2022-06-300001333986us-gaap:NondesignatedMember2021-12-310001333986eqh:EmbeddedDerivativeDueFromReinsuranceReinsurersMember2022-06-300001333986eqh:EmbeddedDerivativeDueFromReinsuranceReinsurersMe</w:t>
      </w:r>
      <w:r>
        <w:rPr>
          <w:rFonts w:eastAsia="Times New Roman"/>
          <w:vanish/>
        </w:rPr>
        <w:t>mber2021-12-310001333986eqh:EmbeddedDerivativeGMIBReinsuranceMember2022-06-300001333986eqh:EmbeddedDerivativeGMIBReinsuranceMember2021-12-310001333986us-gaap:GuaranteedMinimumWithdrawalBenefitMember2022-06-300001333986us-gaap:GuaranteedMinimumWithdrawalBen</w:t>
      </w:r>
      <w:r>
        <w:rPr>
          <w:rFonts w:eastAsia="Times New Roman"/>
          <w:vanish/>
        </w:rPr>
        <w:t>efitMember2021-12-310001333986eqh:EmbeddedDerivativeNonGMxBInsuranceProductsMember2022-06-300001333986eqh:EmbeddedDerivativeNonGMxBInsuranceProductsMember2021-12-310001333986us-gaap:EmbeddedDerivativeFinancialInstrumentsMember2022-06-300001333986us-gaap:Em</w:t>
      </w:r>
      <w:r>
        <w:rPr>
          <w:rFonts w:eastAsia="Times New Roman"/>
          <w:vanish/>
        </w:rPr>
        <w:t>beddedDerivativeFinancialInstrumentsMember2021-12-310001333986eqh:DerivativeInstrumentsIncludingEmbeddedDerivativeMember2022-06-300001333986eqh:DerivativeInstrumentsIncludingEmbeddedDerivativeMember2021-12-310001333986us-gaap:CashFlowHedgingMemberus-gaap:C</w:t>
      </w:r>
      <w:r>
        <w:rPr>
          <w:rFonts w:eastAsia="Times New Roman"/>
          <w:vanish/>
        </w:rPr>
        <w:t>urrencySwapMemberus-gaap:DesignatedAsHedgingInstrumentMember2022-04-012022-06-300001333986us-gaap:CashFlowHedgingMemberus-gaap:CurrencySwapMemberus-gaap:DesignatedAsHedgingInstrumentMember2022-01-012022-06-300001333986us-gaap:CashFlowHedgingMemberus-gaap:I</w:t>
      </w:r>
      <w:r>
        <w:rPr>
          <w:rFonts w:eastAsia="Times New Roman"/>
          <w:vanish/>
        </w:rPr>
        <w:t>nterestRateSwapMemberus-gaap:DesignatedAsHedgingInstrumentMember2022-04-012022-06-300001333986us-gaap:CashFlowHedgingMemberus-gaap:InterestRateSwapMemberus-gaap:DesignatedAsHedgingInstrumentMember2022-01-012022-06-300001333986us-gaap:CashFlowHedgingMemberu</w:t>
      </w:r>
      <w:r>
        <w:rPr>
          <w:rFonts w:eastAsia="Times New Roman"/>
          <w:vanish/>
        </w:rPr>
        <w:t>s-gaap:DesignatedAsHedgingInstrumentMember2022-04-012022-06-300001333986us-gaap:CashFlowHedgingMemberus-gaap:DesignatedAsHedgingInstrumentMember2022-01-012022-06-300001333986us-gaap:NondesignatedMembereqh:EquityFuturesMember2022-04-012022-06-300001333986us</w:t>
      </w:r>
      <w:r>
        <w:rPr>
          <w:rFonts w:eastAsia="Times New Roman"/>
          <w:vanish/>
        </w:rPr>
        <w:t>-gaap:NondesignatedMembereqh:EquityFuturesMember2022-01-012022-06-300001333986us-gaap:NondesignatedMemberus-gaap:EquitySwapMember2022-04-012022-06-300001333986us-gaap:NondesignatedMemberus-gaap:EquitySwapMember2022-01-012022-06-300001333986us-gaap:Nondesig</w:t>
      </w:r>
      <w:r>
        <w:rPr>
          <w:rFonts w:eastAsia="Times New Roman"/>
          <w:vanish/>
        </w:rPr>
        <w:t>natedMemberus-gaap:StockOptionMember2022-04-012022-06-300001333986us-gaap:NondesignatedMemberus-gaap:StockOptionMember2022-01-012022-06-300001333986us-gaap:NondesignatedMembereqh:InterestRateFuturesMember2022-04-012022-06-300001333986us-gaap:NondesignatedM</w:t>
      </w:r>
      <w:r>
        <w:rPr>
          <w:rFonts w:eastAsia="Times New Roman"/>
          <w:vanish/>
        </w:rPr>
        <w:t>embereqh:InterestRateFuturesMember2022-01-012022-06-300001333986us-gaap:NondesignatedMemberus-gaap:InterestRateSwapMember2022-04-012022-06-300001333986us-gaap:NondesignatedMemberus-gaap:InterestRateSwapMember2022-01-012022-06-300001333986us-gaap:Nondesigna</w:t>
      </w:r>
      <w:r>
        <w:rPr>
          <w:rFonts w:eastAsia="Times New Roman"/>
          <w:vanish/>
        </w:rPr>
        <w:t>tedMemberus-gaap:InterestRateSwaptionMember2022-04-012022-06-300001333986us-gaap:NondesignatedMemberus-gaap:InterestRateSwaptionMember2022-01-012022-06-300001333986us-gaap:NondesignatedMemberus-gaap:CreditDefaultSwapMember2022-04-012022-06-300001333986us-g</w:t>
      </w:r>
      <w:r>
        <w:rPr>
          <w:rFonts w:eastAsia="Times New Roman"/>
          <w:vanish/>
        </w:rPr>
        <w:t>aap:NondesignatedMemberus-gaap:CreditDefaultSwapMember2022-01-012022-06-300001333986us-gaap:NondesignatedMemberus-gaap:CurrencySwapMember2022-04-012022-06-300001333986us-gaap:NondesignatedMemberus-gaap:CurrencySwapMember2022-01-012022-06-300001333986us-gaa</w:t>
      </w:r>
      <w:r>
        <w:rPr>
          <w:rFonts w:eastAsia="Times New Roman"/>
          <w:vanish/>
        </w:rPr>
        <w:t>p:NondesignatedMembereqh:CurrencyFowardMember2022-04-012022-06-300001333986us-gaap:NondesignatedMembereqh:CurrencyFowardMember2022-01-012022-06-300001333986us-gaap:NondesignatedMembereqh:MarginMember2022-04-012022-06-300001333986us-gaap:NondesignatedMember</w:t>
      </w:r>
      <w:r>
        <w:rPr>
          <w:rFonts w:eastAsia="Times New Roman"/>
          <w:vanish/>
        </w:rPr>
        <w:t>eqh:MarginMember2022-01-012022-06-300001333986us-gaap:CollateralizedSecuritiesMemberus-gaap:NondesignatedMember2022-04-012022-06-300001333986us-gaap:CollateralizedSecuritiesMemberus-gaap:NondesignatedMember2022-01-012022-06-300001333986us-gaap:Nondesignate</w:t>
      </w:r>
      <w:r>
        <w:rPr>
          <w:rFonts w:eastAsia="Times New Roman"/>
          <w:vanish/>
        </w:rPr>
        <w:t>dMember2022-04-012022-06-300001333986us-gaap:NondesignatedMember2022-01-012022-06-300001333986eqh:EmbeddedDerivativeDueFromReinsuranceReinsurersMember2022-04-012022-06-300001333986eqh:EmbeddedDerivativeDueFromReinsuranceReinsurersMember2022-01-012022-06-30</w:t>
      </w:r>
      <w:r>
        <w:rPr>
          <w:rFonts w:eastAsia="Times New Roman"/>
          <w:vanish/>
        </w:rPr>
        <w:t>0001333986eqh:EmbeddedDerivativeGMIBReinsuranceMember2022-04-012022-06-300001333986eqh:EmbeddedDerivativeGMIBReinsuranceMember2022-01-012022-06-300001333986us-gaap:GuaranteedMinimumWithdrawalBenefitMember2022-04-012022-06-300001333986us-gaap:GuaranteedMini</w:t>
      </w:r>
      <w:r>
        <w:rPr>
          <w:rFonts w:eastAsia="Times New Roman"/>
          <w:vanish/>
        </w:rPr>
        <w:t>mumWithdrawalBenefitMember2022-01-012022-06-300001333986eqh:EmbeddedDerivativeNonGMxBInsuranceProductsMember2022-04-012022-06-300001333986eqh:EmbeddedDerivativeNonGMxBInsuranceProductsMember2022-01-012022-06-300001333986us-gaap:EmbeddedDerivativeFinancialI</w:t>
      </w:r>
      <w:r>
        <w:rPr>
          <w:rFonts w:eastAsia="Times New Roman"/>
          <w:vanish/>
        </w:rPr>
        <w:t>nstrumentsMember2022-04-012022-06-300001333986us-gaap:EmbeddedDerivativeFinancialInstrumentsMember2022-01-012022-06-300001333986eqh:DerivativeInstrumentsIncludingEmbeddedDerivativeMember2022-04-012022-06-300001333986eqh:DerivativeInstrumentsIncludingEmbedd</w:t>
      </w:r>
      <w:r>
        <w:rPr>
          <w:rFonts w:eastAsia="Times New Roman"/>
          <w:vanish/>
        </w:rPr>
        <w:t>edDerivativeMember2022-01-012022-06-300001333986us-gaap:CashFlowHedgingMemberus-gaap:CurrencySwapMemberus-gaap:DesignatedAsHedgingInstrumentMember2021-04-012021-06-300001333986us-gaap:CashFlowHedgingMemberus-gaap:CurrencySwapMemberus-gaap:DesignatedAsHedgi</w:t>
      </w:r>
      <w:r>
        <w:rPr>
          <w:rFonts w:eastAsia="Times New Roman"/>
          <w:vanish/>
        </w:rPr>
        <w:t>ngInstrumentMember2021-01-012021-06-300001333986us-gaap:CashFlowHedgingMemberus-gaap:InterestRateSwapMemberus-gaap:DesignatedAsHedgingInstrumentMember2021-04-012021-06-300001333986us-gaap:CashFlowHedgingMemberus-gaap:InterestRateSwapMemberus-gaap:Designate</w:t>
      </w:r>
      <w:r>
        <w:rPr>
          <w:rFonts w:eastAsia="Times New Roman"/>
          <w:vanish/>
        </w:rPr>
        <w:t>dAsHedgingInstrumentMember2021-01-012021-06-300001333986us-gaap:CashFlowHedgingMemberus-gaap:DesignatedAsHedgingInstrumentMember2021-04-012021-06-300001333986us-gaap:CashFlowHedgingMemberus-gaap:DesignatedAsHedgingInstrumentMember2021-01-012021-06-30000133</w:t>
      </w:r>
      <w:r>
        <w:rPr>
          <w:rFonts w:eastAsia="Times New Roman"/>
          <w:vanish/>
        </w:rPr>
        <w:t>3986us-gaap:NondesignatedMembereqh:EquityFuturesMember2021-04-012021-06-300001333986us-gaap:NondesignatedMembereqh:EquityFuturesMember2021-01-012021-06-300001333986us-gaap:NondesignatedMemberus-gaap:EquitySwapMember2021-04-012021-06-300001333986us-gaap:Non</w:t>
      </w:r>
      <w:r>
        <w:rPr>
          <w:rFonts w:eastAsia="Times New Roman"/>
          <w:vanish/>
        </w:rPr>
        <w:t>designatedMemberus-gaap:EquitySwapMember2021-01-012021-06-300001333986us-gaap:NondesignatedMemberus-gaap:StockOptionMember2021-04-012021-06-300001333986us-gaap:NondesignatedMemberus-gaap:StockOptionMember2021-01-012021-06-300001333986us-gaap:NondesignatedM</w:t>
      </w:r>
      <w:r>
        <w:rPr>
          <w:rFonts w:eastAsia="Times New Roman"/>
          <w:vanish/>
        </w:rPr>
        <w:t>embereqh:InterestRateFuturesMember2021-04-012021-06-300001333986us-gaap:NondesignatedMembereqh:InterestRateFuturesMember2021-01-012021-06-300001333986us-gaap:NondesignatedMemberus-gaap:InterestRateSwapMember2021-04-012021-06-300001333986us-gaap:Nondesignat</w:t>
      </w:r>
      <w:r>
        <w:rPr>
          <w:rFonts w:eastAsia="Times New Roman"/>
          <w:vanish/>
        </w:rPr>
        <w:t>edMemberus-gaap:InterestRateSwapMember2021-01-012021-06-300001333986us-gaap:NondesignatedMemberus-gaap:InterestRateSwaptionMember2021-04-012021-06-300001333986us-gaap:NondesignatedMemberus-gaap:InterestRateSwaptionMember2021-01-012021-06-300001333986us-gaa</w:t>
      </w:r>
      <w:r>
        <w:rPr>
          <w:rFonts w:eastAsia="Times New Roman"/>
          <w:vanish/>
        </w:rPr>
        <w:t>p:NondesignatedMemberus-gaap:CreditDefaultSwapMember2021-04-012021-06-300001333986us-gaap:NondesignatedMemberus-gaap:CreditDefaultSwapMember2021-01-012021-06-300001333986us-gaap:NondesignatedMemberus-gaap:CurrencySwapMember2021-04-012021-06-300001333986us-</w:t>
      </w:r>
      <w:r>
        <w:rPr>
          <w:rFonts w:eastAsia="Times New Roman"/>
          <w:vanish/>
        </w:rPr>
        <w:t>gaap:NondesignatedMemberus-gaap:CurrencySwapMember2021-01-012021-06-300001333986us-gaap:NondesignatedMembereqh:CurrencyFowardMember2021-04-012021-06-300001333986us-gaap:NondesignatedMembereqh:CurrencyFowardMember2021-01-012021-06-300001333986us-gaap:Nondes</w:t>
      </w:r>
      <w:r>
        <w:rPr>
          <w:rFonts w:eastAsia="Times New Roman"/>
          <w:vanish/>
        </w:rPr>
        <w:t>ignatedMembereqh:MarginMember2021-04-012021-06-300001333986us-gaap:NondesignatedMembereqh:MarginMember2021-01-012021-06-300001333986us-gaap:CollateralizedSecuritiesMemberus-gaap:NondesignatedMember2021-04-012021-06-300001333986us-gaap:CollateralizedSecurit</w:t>
      </w:r>
      <w:r>
        <w:rPr>
          <w:rFonts w:eastAsia="Times New Roman"/>
          <w:vanish/>
        </w:rPr>
        <w:t>iesMemberus-gaap:NondesignatedMember2021-01-012021-06-300001333986us-gaap:NondesignatedMember2021-04-012021-06-300001333986us-gaap:NondesignatedMember2021-01-012021-06-300001333986eqh:EmbeddedDerivativeDueFromReinsuranceReinsurersMember2021-04-012021-06-30</w:t>
      </w:r>
      <w:r>
        <w:rPr>
          <w:rFonts w:eastAsia="Times New Roman"/>
          <w:vanish/>
        </w:rPr>
        <w:t>0001333986eqh:EmbeddedDerivativeDueFromReinsuranceReinsurersMember2021-01-012021-06-300001333986eqh:EmbeddedDerivativeGMIBReinsuranceMember2021-04-012021-06-300001333986eqh:EmbeddedDerivativeGMIBReinsuranceMember2021-01-012021-06-300001333986us-gaap:Guaran</w:t>
      </w:r>
      <w:r>
        <w:rPr>
          <w:rFonts w:eastAsia="Times New Roman"/>
          <w:vanish/>
        </w:rPr>
        <w:t>teedMinimumWithdrawalBenefitMember2021-04-012021-06-300001333986us-gaap:GuaranteedMinimumWithdrawalBenefitMember2021-01-012021-06-300001333986eqh:EmbeddedDerivativeNonGMxBInsuranceProductsMember2021-04-012021-06-300001333986eqh:EmbeddedDerivativeNonGMxBIns</w:t>
      </w:r>
      <w:r>
        <w:rPr>
          <w:rFonts w:eastAsia="Times New Roman"/>
          <w:vanish/>
        </w:rPr>
        <w:t>uranceProductsMember2021-01-012021-06-300001333986us-gaap:EmbeddedDerivativeFinancialInstrumentsMember2021-04-012021-06-300001333986us-gaap:EmbeddedDerivativeFinancialInstrumentsMember2021-01-012021-06-300001333986eqh:DerivativeInstrumentsIncludingEmbedded</w:t>
      </w:r>
      <w:r>
        <w:rPr>
          <w:rFonts w:eastAsia="Times New Roman"/>
          <w:vanish/>
        </w:rPr>
        <w:t>DerivativeMember2021-04-012021-06-300001333986eqh:DerivativeInstrumentsIncludingEmbeddedDerivativeMember2021-01-012021-06-300001333986us-gaap:AccumulatedGainLossNetCashFlowHedgeParentMember2022-03-310001333986us-gaap:AccumulatedGainLossNetCashFlowHedgePare</w:t>
      </w:r>
      <w:r>
        <w:rPr>
          <w:rFonts w:eastAsia="Times New Roman"/>
          <w:vanish/>
        </w:rPr>
        <w:t>ntMember2021-03-310001333986us-gaap:AccumulatedGainLossNetCashFlowHedgeParentMember2021-12-310001333986us-gaap:AccumulatedGainLossNetCashFlowHedgeParentMember2020-12-310001333986us-gaap:CurrencySwapMemberus-gaap:AccumulatedGainLossNetCashFlowHedgeParentMem</w:t>
      </w:r>
      <w:r>
        <w:rPr>
          <w:rFonts w:eastAsia="Times New Roman"/>
          <w:vanish/>
        </w:rPr>
        <w:t>ber2022-04-012022-06-300001333986us-gaap:CurrencySwapMemberus-gaap:AccumulatedGainLossNetCashFlowHedgeParentMember2021-04-012021-06-300001333986us-gaap:CurrencySwapMemberus-gaap:AccumulatedGainLossNetCashFlowHedgeParentMember2022-01-012022-06-300001333986u</w:t>
      </w:r>
      <w:r>
        <w:rPr>
          <w:rFonts w:eastAsia="Times New Roman"/>
          <w:vanish/>
        </w:rPr>
        <w:t>s-gaap:CurrencySwapMemberus-gaap:AccumulatedGainLossNetCashFlowHedgeParentMember2021-01-012021-06-300001333986us-gaap:InterestRateSwapMemberus-gaap:AccumulatedGainLossNetCashFlowHedgeParentMember2022-04-012022-06-300001333986us-gaap:InterestRateSwapMemberu</w:t>
      </w:r>
      <w:r>
        <w:rPr>
          <w:rFonts w:eastAsia="Times New Roman"/>
          <w:vanish/>
        </w:rPr>
        <w:t>s-gaap:AccumulatedGainLossNetCashFlowHedgeParentMember2021-04-012021-06-300001333986us-gaap:InterestRateSwapMemberus-gaap:AccumulatedGainLossNetCashFlowHedgeParentMember2022-01-012022-06-300001333986us-gaap:InterestRateSwapMemberus-gaap:AccumulatedGainLoss</w:t>
      </w:r>
      <w:r>
        <w:rPr>
          <w:rFonts w:eastAsia="Times New Roman"/>
          <w:vanish/>
        </w:rPr>
        <w:t>NetCashFlowHedgeParentMember2021-01-012021-06-300001333986us-gaap:AccumulatedGainLossNetCashFlowHedgeParentMember2022-04-012022-06-300001333986us-gaap:AccumulatedGainLossNetCashFlowHedgeParentMember2021-04-012021-06-300001333986us-gaap:AccumulatedGainLossN</w:t>
      </w:r>
      <w:r>
        <w:rPr>
          <w:rFonts w:eastAsia="Times New Roman"/>
          <w:vanish/>
        </w:rPr>
        <w:t>etCashFlowHedgeParentMember2022-01-012022-06-300001333986us-gaap:AccumulatedGainLossNetCashFlowHedgeParentMember2021-01-012021-06-300001333986us-gaap:AccumulatedGainLossNetCashFlowHedgeParentMember2022-06-300001333986us-gaap:AccumulatedGainLossNetCashFlowH</w:t>
      </w:r>
      <w:r>
        <w:rPr>
          <w:rFonts w:eastAsia="Times New Roman"/>
          <w:vanish/>
        </w:rPr>
        <w:t>edgeParentMember2021-06-300001333986eqh:Sp500Russell1000Nasdaq100AndEmergingMarketIndicesMember2022-06-300001333986eqh:Sp500Russell1000Nasdaq100AndEmergingMarketIndicesMember2021-12-310001333986eqh:UsTreasuryNotesUltraLongBondsAndEuroDollarMember2022-06-30</w:t>
      </w:r>
      <w:r>
        <w:rPr>
          <w:rFonts w:eastAsia="Times New Roman"/>
          <w:vanish/>
        </w:rPr>
        <w:t>0001333986eqh:UsTreasuryNotesUltraLongBondsAndEuroDollarMember2021-12-310001333986eqh:EuroStoxxFTSE100TopixASX200AndEAFEIndicesMember2022-06-300001333986eqh:EuroStoxxFTSE100TopixASX200AndEAFEIndicesMember2021-12-310001333986us-gaap:DerivativeMember2022-06-</w:t>
      </w:r>
      <w:r>
        <w:rPr>
          <w:rFonts w:eastAsia="Times New Roman"/>
          <w:vanish/>
        </w:rPr>
        <w:t>300001333986eqh:OtherFinancialAssetsMember2022-06-300001333986eqh:OtherInvestedAssetsMember2022-06-300001333986eqh:OtherFinancialLiabilitiesMember2022-06-300001333986us-gaap:OtherLiabilitiesMember2022-06-300001333986us-gaap:DerivativeMember2021-12-31000133</w:t>
      </w:r>
      <w:r>
        <w:rPr>
          <w:rFonts w:eastAsia="Times New Roman"/>
          <w:vanish/>
        </w:rPr>
        <w:t>3986eqh:OtherFinancialAssetsMember2021-12-310001333986eqh:OtherInvestedAssetsMember2021-12-310001333986eqh:OtherFinancialLiabilitiesMember2021-12-310001333986us-gaap:OtherLiabilitiesMember2021-12-310001333986eqh:GMDBDirectMember2022-03-310001333986eqh:GMDB</w:t>
      </w:r>
      <w:r>
        <w:rPr>
          <w:rFonts w:eastAsia="Times New Roman"/>
          <w:vanish/>
        </w:rPr>
        <w:t>AssumedMember2022-03-310001333986eqh:GMDBCededMember2022-03-310001333986eqh:GMIBDirectMember2022-03-310001333986eqh:GMIBAssumedMember2022-03-310001333986eqh:GMIBCededMember2022-03-310001333986eqh:GMDBDirectMember2022-04-012022-06-300001333986eqh:GMDBAssume</w:t>
      </w:r>
      <w:r>
        <w:rPr>
          <w:rFonts w:eastAsia="Times New Roman"/>
          <w:vanish/>
        </w:rPr>
        <w:t>dMember2022-04-012022-06-300001333986eqh:GMDBCededMember2022-04-012022-06-300001333986eqh:GMIBDirectMember2022-04-012022-06-300001333986eqh:GMIBAssumedMember2022-04-012022-06-300001333986eqh:GMIBCededMember2022-04-012022-06-300001333986eqh:GMDBDirectMember</w:t>
      </w:r>
      <w:r>
        <w:rPr>
          <w:rFonts w:eastAsia="Times New Roman"/>
          <w:vanish/>
        </w:rPr>
        <w:t>2022-06-300001333986eqh:GMDBAssumedMember2022-06-300001333986eqh:GMDBCededMember2022-06-300001333986eqh:GMIBDirectMember2022-06-300001333986eqh:GMIBAssumedMember2022-06-300001333986eqh:GMIBCededMember2022-06-300001333986eqh:GMDBDirectMember2021-03-31000133</w:t>
      </w:r>
      <w:r>
        <w:rPr>
          <w:rFonts w:eastAsia="Times New Roman"/>
          <w:vanish/>
        </w:rPr>
        <w:t>3986eqh:GMDBAssumedMember2021-03-310001333986eqh:GMDBCededMember2021-03-310001333986eqh:GMIBDirectMember2021-03-310001333986eqh:GMIBAssumedMember2021-03-310001333986eqh:GMIBCededMember2021-03-310001333986eqh:GMDBDirectMember2021-04-012021-06-300001333986eq</w:t>
      </w:r>
      <w:r>
        <w:rPr>
          <w:rFonts w:eastAsia="Times New Roman"/>
          <w:vanish/>
        </w:rPr>
        <w:t>h:GMDBAssumedMember2021-04-012021-06-300001333986eqh:GMDBCededMember2021-04-012021-06-300001333986eqh:GMIBDirectMember2021-04-012021-06-300001333986eqh:GMIBAssumedMember2021-04-012021-06-300001333986eqh:GMIBCededMember2021-04-012021-06-300001333986eqh:GMDB</w:t>
      </w:r>
      <w:r>
        <w:rPr>
          <w:rFonts w:eastAsia="Times New Roman"/>
          <w:vanish/>
        </w:rPr>
        <w:t>DirectMember2021-06-300001333986eqh:GMDBAssumedMember2021-06-300001333986eqh:GMDBCededMember2021-06-300001333986eqh:GMIBDirectMember2021-06-300001333986eqh:GMIBAssumedMember2021-06-300001333986eqh:GMIBCededMember2021-06-300001333986eqh:GMDBDirectMember2021</w:t>
      </w:r>
      <w:r>
        <w:rPr>
          <w:rFonts w:eastAsia="Times New Roman"/>
          <w:vanish/>
        </w:rPr>
        <w:t>-12-310001333986eqh:GMDBAssumedMember2021-12-310001333986eqh:GMDBCededMember2021-12-310001333986eqh:GMIBDirectMember2021-12-310001333986eqh:GMIBAssumedMember2021-12-310001333986eqh:GMIBCededMember2021-12-310001333986eqh:GMDBDirectMember2022-01-012022-06-30</w:t>
      </w:r>
      <w:r>
        <w:rPr>
          <w:rFonts w:eastAsia="Times New Roman"/>
          <w:vanish/>
        </w:rPr>
        <w:t>0001333986eqh:GMDBAssumedMember2022-01-012022-06-300001333986eqh:GMDBCededMember2022-01-012022-06-300001333986eqh:GMIBDirectMember2022-01-012022-06-300001333986eqh:GMIBAssumedMember2022-01-012022-06-300001333986eqh:GMIBCededMember2022-01-012022-06-30000133</w:t>
      </w:r>
      <w:r>
        <w:rPr>
          <w:rFonts w:eastAsia="Times New Roman"/>
          <w:vanish/>
        </w:rPr>
        <w:t>3986eqh:GMDBDirectMember2020-12-310001333986eqh:GMDBAssumedMember2020-12-310001333986eqh:GMDBCededMember2020-12-310001333986eqh:GMIBDirectMember2020-12-310001333986eqh:GMIBAssumedMember2020-12-310001333986eqh:GMIBCededMember2020-12-310001333986eqh:GMDBDire</w:t>
      </w:r>
      <w:r>
        <w:rPr>
          <w:rFonts w:eastAsia="Times New Roman"/>
          <w:vanish/>
        </w:rPr>
        <w:t>ctMember2021-01-012021-06-300001333986eqh:GMDBAssumedMember2021-01-012021-06-300001333986eqh:GMDBCededMember2021-01-012021-06-300001333986eqh:GMIBDirectMember2021-01-012021-06-300001333986eqh:GMIBAssumedMember2021-01-012021-06-300001333986eqh:GMIBCededMemb</w:t>
      </w:r>
      <w:r>
        <w:rPr>
          <w:rFonts w:eastAsia="Times New Roman"/>
          <w:vanish/>
        </w:rPr>
        <w:t>er2021-01-012021-06-300001333986eqh:ReturnOfPremiumMemberus-gaap:GuaranteedMinimumDeathBenefitMemberus-gaap:ImmediateVariableAnnuityMember2022-06-300001333986eqh:RatchetMemberus-gaap:GuaranteedMinimumDeathBenefitMemberus-gaap:ImmediateVariableAnnuityMember</w:t>
      </w:r>
      <w:r>
        <w:rPr>
          <w:rFonts w:eastAsia="Times New Roman"/>
          <w:vanish/>
        </w:rPr>
        <w:t>2022-06-300001333986eqh:RollUpMemberus-gaap:GuaranteedMinimumDeathBenefitMemberus-gaap:ImmediateVariableAnnuityMember2022-06-300001333986eqh:ComboMemberus-gaap:GuaranteedMinimumDeathBenefitMemberus-gaap:ImmediateVariableAnnuityMember2022-06-300001333986us-</w:t>
      </w:r>
      <w:r>
        <w:rPr>
          <w:rFonts w:eastAsia="Times New Roman"/>
          <w:vanish/>
        </w:rPr>
        <w:t>gaap:GuaranteedMinimumDeathBenefitMemberus-gaap:ImmediateVariableAnnuityMember2022-06-300001333986eqh:ReturnOfPremiumMemberus-gaap:GuaranteedMinimumDeathBenefitMemberus-gaap:ImmediateVariableAnnuityMember2022-01-012022-06-300001333986eqh:RatchetMemberus-ga</w:t>
      </w:r>
      <w:r>
        <w:rPr>
          <w:rFonts w:eastAsia="Times New Roman"/>
          <w:vanish/>
        </w:rPr>
        <w:t>ap:GuaranteedMinimumDeathBenefitMemberus-gaap:ImmediateVariableAnnuityMember2022-01-012022-06-300001333986eqh:RollUpMemberus-gaap:GuaranteedMinimumDeathBenefitMemberus-gaap:ImmediateVariableAnnuityMember2022-01-012022-06-300001333986eqh:ComboMemberus-gaap:</w:t>
      </w:r>
      <w:r>
        <w:rPr>
          <w:rFonts w:eastAsia="Times New Roman"/>
          <w:vanish/>
        </w:rPr>
        <w:t>GuaranteedMinimumDeathBenefitMemberus-gaap:ImmediateVariableAnnuityMember2022-01-012022-06-300001333986us-gaap:GuaranteedMinimumDeathBenefitMemberus-gaap:ImmediateVariableAnnuityMember2022-01-012022-06-300001333986eqh:ReturnOfPremiumMemberus-gaap:Guarantee</w:t>
      </w:r>
      <w:r>
        <w:rPr>
          <w:rFonts w:eastAsia="Times New Roman"/>
          <w:vanish/>
        </w:rPr>
        <w:t>dMinimumIncomeBenefitMemberus-gaap:ImmediateVariableAnnuityMember2022-06-300001333986eqh:RatchetMemberus-gaap:GuaranteedMinimumIncomeBenefitMemberus-gaap:ImmediateVariableAnnuityMember2022-06-300001333986us-gaap:GuaranteedMinimumIncomeBenefitMembereqh:Roll</w:t>
      </w:r>
      <w:r>
        <w:rPr>
          <w:rFonts w:eastAsia="Times New Roman"/>
          <w:vanish/>
        </w:rPr>
        <w:t>UpMemberus-gaap:ImmediateVariableAnnuityMember2022-06-300001333986us-gaap:GuaranteedMinimumIncomeBenefitMembereqh:ComboMemberus-gaap:ImmediateVariableAnnuityMember2022-06-300001333986us-gaap:GuaranteedMinimumIncomeBenefitMemberus-gaap:ImmediateVariableAnnu</w:t>
      </w:r>
      <w:r>
        <w:rPr>
          <w:rFonts w:eastAsia="Times New Roman"/>
          <w:vanish/>
        </w:rPr>
        <w:t>ityMember2022-06-300001333986us-gaap:GuaranteedMinimumDeathBenefitMemberus-gaap:CommonStockMember2022-06-300001333986us-gaap:GuaranteedMinimumIncomeBenefitMemberus-gaap:CommonStockMember2022-06-300001333986us-gaap:GuaranteedMinimumDeathBenefitMemberus-gaap</w:t>
      </w:r>
      <w:r>
        <w:rPr>
          <w:rFonts w:eastAsia="Times New Roman"/>
          <w:vanish/>
        </w:rPr>
        <w:t>:CommonStockMember2021-12-310001333986us-gaap:GuaranteedMinimumIncomeBenefitMemberus-gaap:CommonStockMember2021-12-310001333986us-gaap:FixedIncomeInvestmentsMemberus-gaap:GuaranteedMinimumDeathBenefitMember2022-06-300001333986us-gaap:GuaranteedMinimumIncom</w:t>
      </w:r>
      <w:r>
        <w:rPr>
          <w:rFonts w:eastAsia="Times New Roman"/>
          <w:vanish/>
        </w:rPr>
        <w:t>eBenefitMemberus-gaap:FixedIncomeInvestmentsMember2022-06-300001333986us-gaap:FixedIncomeInvestmentsMemberus-gaap:GuaranteedMinimumDeathBenefitMember2021-12-310001333986us-gaap:GuaranteedMinimumIncomeBenefitMemberus-gaap:FixedIncomeInvestmentsMember2021-12</w:t>
      </w:r>
      <w:r>
        <w:rPr>
          <w:rFonts w:eastAsia="Times New Roman"/>
          <w:vanish/>
        </w:rPr>
        <w:t>-310001333986us-gaap:GuaranteedMinimumDeathBenefitMemberus-gaap:BalancedFundsMember2022-06-300001333986us-gaap:GuaranteedMinimumIncomeBenefitMemberus-gaap:BalancedFundsMember2022-06-300001333986us-gaap:GuaranteedMinimumDeathBenefitMemberus-gaap:BalancedFun</w:t>
      </w:r>
      <w:r>
        <w:rPr>
          <w:rFonts w:eastAsia="Times New Roman"/>
          <w:vanish/>
        </w:rPr>
        <w:t>dsMember2021-12-310001333986us-gaap:GuaranteedMinimumIncomeBenefitMemberus-gaap:BalancedFundsMember2021-12-310001333986us-gaap:GuaranteedMinimumDeathBenefitMemberus-gaap:OtherInvestmentsMember2022-06-300001333986us-gaap:GuaranteedMinimumIncomeBenefitMember</w:t>
      </w:r>
      <w:r>
        <w:rPr>
          <w:rFonts w:eastAsia="Times New Roman"/>
          <w:vanish/>
        </w:rPr>
        <w:t>us-gaap:OtherInvestmentsMember2022-06-300001333986us-gaap:GuaranteedMinimumDeathBenefitMemberus-gaap:OtherInvestmentsMember2021-12-310001333986us-gaap:GuaranteedMinimumIncomeBenefitMemberus-gaap:OtherInvestmentsMember2021-12-310001333986us-gaap:GuaranteedM</w:t>
      </w:r>
      <w:r>
        <w:rPr>
          <w:rFonts w:eastAsia="Times New Roman"/>
          <w:vanish/>
        </w:rPr>
        <w:t>inimumDeathBenefitMember2022-06-300001333986us-gaap:GuaranteedMinimumIncomeBenefitMember2022-06-300001333986us-gaap:GuaranteedMinimumDeathBenefitMember2021-12-310001333986us-gaap:GuaranteedMinimumIncomeBenefitMember2021-12-310001333986eqh:DirectLiabilities</w:t>
      </w:r>
      <w:r>
        <w:rPr>
          <w:rFonts w:eastAsia="Times New Roman"/>
          <w:vanish/>
        </w:rPr>
        <w:t>ForGuaranteesMember2022-03-310001333986eqh:DirectLiabilitiesForGuaranteesMember2021-03-310001333986eqh:DirectLiabilitiesForGuaranteesMember2021-12-310001333986eqh:DirectLiabilitiesForGuaranteesMember2020-12-310001333986eqh:DirectLiabilitiesForGuaranteesMem</w:t>
      </w:r>
      <w:r>
        <w:rPr>
          <w:rFonts w:eastAsia="Times New Roman"/>
          <w:vanish/>
        </w:rPr>
        <w:t>ber2022-04-012022-06-300001333986eqh:DirectLiabilitiesForGuaranteesMember2021-04-012021-06-300001333986eqh:DirectLiabilitiesForGuaranteesMember2022-01-012022-06-300001333986eqh:DirectLiabilitiesForGuaranteesMember2021-01-012021-06-300001333986eqh:DirectLia</w:t>
      </w:r>
      <w:r>
        <w:rPr>
          <w:rFonts w:eastAsia="Times New Roman"/>
          <w:vanish/>
        </w:rPr>
        <w:t>bilitiesForGuaranteesMember2022-06-300001333986eqh:DirectLiabilitiesForGuaranteesMember2021-06-300001333986eqh:RollUpMemberus-gaap:GuaranteedMinimumDeathBenefitMembersrt:MinimumMemberus-gaap:ImmediateVariableAnnuityMember2022-01-012022-06-300001333986eqh:C</w:t>
      </w:r>
      <w:r>
        <w:rPr>
          <w:rFonts w:eastAsia="Times New Roman"/>
          <w:vanish/>
        </w:rPr>
        <w:t>omboMemberus-gaap:GuaranteedMinimumDeathBenefitMembersrt:MinimumMemberus-gaap:ImmediateVariableAnnuityMember2022-01-012022-06-300001333986us-gaap:GuaranteedMinimumDeathBenefitMembersrt:MinimumMemberus-gaap:ImmediateVariableAnnuityMember2022-01-012022-06-30</w:t>
      </w:r>
      <w:r>
        <w:rPr>
          <w:rFonts w:eastAsia="Times New Roman"/>
          <w:vanish/>
        </w:rPr>
        <w:t>0001333986srt:MaximumMembereqh:RollUpMemberus-gaap:GuaranteedMinimumDeathBenefitMemberus-gaap:ImmediateVariableAnnuityMember2022-01-012022-06-300001333986srt:MaximumMembereqh:ComboMemberus-gaap:GuaranteedMinimumDeathBenefitMemberus-gaap:ImmediateVariableAn</w:t>
      </w:r>
      <w:r>
        <w:rPr>
          <w:rFonts w:eastAsia="Times New Roman"/>
          <w:vanish/>
        </w:rPr>
        <w:t>nuityMember2022-01-012022-06-300001333986srt:MaximumMemberus-gaap:GuaranteedMinimumDeathBenefitMemberus-gaap:ImmediateVariableAnnuityMember2022-01-012022-06-300001333986us-gaap:GuaranteedMinimumIncomeBenefitMembereqh:RollUpMemberus-gaap:ImmediateVariableAn</w:t>
      </w:r>
      <w:r>
        <w:rPr>
          <w:rFonts w:eastAsia="Times New Roman"/>
          <w:vanish/>
        </w:rPr>
        <w:t>nuityMember2022-01-012022-06-300001333986us-gaap:GuaranteedMinimumIncomeBenefitMembereqh:ComboMemberus-gaap:ImmediateVariableAnnuityMember2022-01-012022-06-300001333986us-gaap:GuaranteedMinimumIncomeBenefitMemberus-gaap:ImmediateVariableAnnuityMember2022-0</w:t>
      </w:r>
      <w:r>
        <w:rPr>
          <w:rFonts w:eastAsia="Times New Roman"/>
          <w:vanish/>
        </w:rPr>
        <w:t>1-012022-06-300001333986us-gaap:GuaranteedMinimumIncomeBenefitMembereqh:RollUpMembersrt:MinimumMemberus-gaap:ImmediateVariableAnnuityMember2022-01-012022-06-300001333986us-gaap:GuaranteedMinimumIncomeBenefitMembereqh:ComboMembersrt:MinimumMemberus-gaap:Imm</w:t>
      </w:r>
      <w:r>
        <w:rPr>
          <w:rFonts w:eastAsia="Times New Roman"/>
          <w:vanish/>
        </w:rPr>
        <w:t>ediateVariableAnnuityMember2022-01-012022-06-300001333986us-gaap:GuaranteedMinimumIncomeBenefitMembersrt:MinimumMemberus-gaap:ImmediateVariableAnnuityMember2022-01-012022-06-300001333986srt:MaximumMemberus-gaap:GuaranteedMinimumIncomeBenefitMembereqh:RollU</w:t>
      </w:r>
      <w:r>
        <w:rPr>
          <w:rFonts w:eastAsia="Times New Roman"/>
          <w:vanish/>
        </w:rPr>
        <w:t>pMemberus-gaap:ImmediateVariableAnnuityMember2022-01-012022-06-300001333986srt:MaximumMemberus-gaap:GuaranteedMinimumIncomeBenefitMembereqh:ComboMemberus-gaap:ImmediateVariableAnnuityMember2022-01-012022-06-300001333986srt:MaximumMemberus-gaap:GuaranteedMi</w:t>
      </w:r>
      <w:r>
        <w:rPr>
          <w:rFonts w:eastAsia="Times New Roman"/>
          <w:vanish/>
        </w:rPr>
        <w:t>nimumIncomeBenefitMemberus-gaap:ImmediateVariableAnnuityMember2022-01-012022-06-300001333986us-gaap:FairValueInputsLevel1Memberus-gaap:FairValueMeasurementsRecurringMembereqh:PublicCorporateMember2022-06-300001333986us-gaap:FairValueInputsLevel2Memberus-ga</w:t>
      </w:r>
      <w:r>
        <w:rPr>
          <w:rFonts w:eastAsia="Times New Roman"/>
          <w:vanish/>
        </w:rPr>
        <w:t>ap:FairValueMeasurementsRecurringMembereqh:PublicCorporateMember2022-06-300001333986us-gaap:FairValueInputsLevel3Memberus-gaap:FairValueMeasurementsRecurringMembereqh:PublicCorporateMember2022-06-300001333986us-gaap:FairValueMeasurementsRecurringMembereqh:</w:t>
      </w:r>
      <w:r>
        <w:rPr>
          <w:rFonts w:eastAsia="Times New Roman"/>
          <w:vanish/>
        </w:rPr>
        <w:t>PublicCorporateMember2022-06-300001333986us-gaap:FairValueInputsLevel1Memberus-gaap:FairValueMeasurementsRecurringMemberus-gaap:USTreasuryAndGovernmentMember2022-06-300001333986us-gaap:FairValueInputsLevel2Memberus-gaap:FairValueMeasurementsRecurringMember</w:t>
      </w:r>
      <w:r>
        <w:rPr>
          <w:rFonts w:eastAsia="Times New Roman"/>
          <w:vanish/>
        </w:rPr>
        <w:t>us-gaap:USTreasuryAndGovernmentMember2022-06-300001333986us-gaap:FairValueInputsLevel3Memberus-gaap:FairValueMeasurementsRecurringMemberus-gaap:USTreasuryAndGovernmentMember2022-06-300001333986us-gaap:FairValueMeasurementsRecurringMemberus-gaap:USTreasuryA</w:t>
      </w:r>
      <w:r>
        <w:rPr>
          <w:rFonts w:eastAsia="Times New Roman"/>
          <w:vanish/>
        </w:rPr>
        <w:t>ndGovernmentMember2022-06-300001333986us-gaap:FairValueInputsLevel1Memberus-gaap:USStatesAndPoliticalSubdivisionsMemberus-gaap:FairValueMeasurementsRecurringMember2022-06-300001333986us-gaap:USStatesAndPoliticalSubdivisionsMemberus-gaap:FairValueInputsLeve</w:t>
      </w:r>
      <w:r>
        <w:rPr>
          <w:rFonts w:eastAsia="Times New Roman"/>
          <w:vanish/>
        </w:rPr>
        <w:t>l2Memberus-gaap:FairValueMeasurementsRecurringMember2022-06-300001333986us-gaap:USStatesAndPoliticalSubdivisionsMemberus-gaap:FairValueInputsLevel3Memberus-gaap:FairValueMeasurementsRecurringMember2022-06-300001333986us-gaap:USStatesAndPoliticalSubdivision</w:t>
      </w:r>
      <w:r>
        <w:rPr>
          <w:rFonts w:eastAsia="Times New Roman"/>
          <w:vanish/>
        </w:rPr>
        <w:t>sMemberus-gaap:FairValueMeasurementsRecurringMember2022-06-300001333986us-gaap:FairValueInputsLevel1Memberus-gaap:FairValueMeasurementsRecurringMemberus-gaap:ForeignGovernmentDebtSecuritiesMember2022-06-300001333986us-gaap:FairValueInputsLevel2Memberus-gaa</w:t>
      </w:r>
      <w:r>
        <w:rPr>
          <w:rFonts w:eastAsia="Times New Roman"/>
          <w:vanish/>
        </w:rPr>
        <w:t>p:FairValueMeasurementsRecurringMemberus-gaap:ForeignGovernmentDebtSecuritiesMember2022-06-300001333986us-gaap:FairValueInputsLevel3Memberus-gaap:FairValueMeasurementsRecurringMemberus-gaap:ForeignGovernmentDebtSecuritiesMember2022-06-300001333986us-gaap:F</w:t>
      </w:r>
      <w:r>
        <w:rPr>
          <w:rFonts w:eastAsia="Times New Roman"/>
          <w:vanish/>
        </w:rPr>
        <w:t>airValueMeasurementsRecurringMemberus-gaap:ForeignGovernmentDebtSecuritiesMember2022-06-300001333986us-gaap:ResidentialMortgageBackedSecuritiesMemberus-gaap:FairValueInputsLevel1Memberus-gaap:FairValueMeasurementsRecurringMember2022-06-300001333986us-gaap:</w:t>
      </w:r>
      <w:r>
        <w:rPr>
          <w:rFonts w:eastAsia="Times New Roman"/>
          <w:vanish/>
        </w:rPr>
        <w:t>ResidentialMortgageBackedSecuritiesMemberus-gaap:FairValueInputsLevel2Memberus-gaap:FairValueMeasurementsRecurringMember2022-06-300001333986us-gaap:ResidentialMortgageBackedSecuritiesMemberus-gaap:FairValueInputsLevel3Memberus-gaap:FairValueMeasurementsRec</w:t>
      </w:r>
      <w:r>
        <w:rPr>
          <w:rFonts w:eastAsia="Times New Roman"/>
          <w:vanish/>
        </w:rPr>
        <w:t>urringMember2022-06-300001333986us-gaap:ResidentialMortgageBackedSecuritiesMemberus-gaap:FairValueMeasurementsRecurringMember2022-06-300001333986us-gaap:FairValueInputsLevel1Memberus-gaap:AssetBackedSecuritiesMemberus-gaap:FairValueMeasurementsRecurringMem</w:t>
      </w:r>
      <w:r>
        <w:rPr>
          <w:rFonts w:eastAsia="Times New Roman"/>
          <w:vanish/>
        </w:rPr>
        <w:t>ber2022-06-300001333986us-gaap:FairValueInputsLevel2Memberus-gaap:AssetBackedSecuritiesMemberus-gaap:FairValueMeasurementsRecurringMember2022-06-300001333986us-gaap:FairValueInputsLevel3Memberus-gaap:AssetBackedSecuritiesMemberus-gaap:FairValueMeasurements</w:t>
      </w:r>
      <w:r>
        <w:rPr>
          <w:rFonts w:eastAsia="Times New Roman"/>
          <w:vanish/>
        </w:rPr>
        <w:t>RecurringMember2022-06-300001333986us-gaap:AssetBackedSecuritiesMemberus-gaap:FairValueMeasurementsRecurringMember2022-06-300001333986us-gaap:FairValueInputsLevel1Memberus-gaap:FairValueMeasurementsRecurringMemberus-gaap:CommercialMortgageBackedSecuritiesM</w:t>
      </w:r>
      <w:r>
        <w:rPr>
          <w:rFonts w:eastAsia="Times New Roman"/>
          <w:vanish/>
        </w:rPr>
        <w:t>ember2022-06-300001333986us-gaap:FairValueInputsLevel2Memberus-gaap:FairValueMeasurementsRecurringMemberus-gaap:CommercialMortgageBackedSecuritiesMember2022-06-300001333986us-gaap:FairValueInputsLevel3Memberus-gaap:FairValueMeasurementsRecurringMemberus-ga</w:t>
      </w:r>
      <w:r>
        <w:rPr>
          <w:rFonts w:eastAsia="Times New Roman"/>
          <w:vanish/>
        </w:rPr>
        <w:t>ap:CommercialMortgageBackedSecuritiesMember2022-06-300001333986us-gaap:FairValueMeasurementsRecurringMemberus-gaap:CommercialMortgageBackedSecuritiesMember2022-06-300001333986us-gaap:FairValueInputsLevel1Memberus-gaap:FairValueMeasurementsRecurringMemberus</w:t>
      </w:r>
      <w:r>
        <w:rPr>
          <w:rFonts w:eastAsia="Times New Roman"/>
          <w:vanish/>
        </w:rPr>
        <w:t>-gaap:RedeemablePreferredStockMember2022-06-300001333986us-gaap:FairValueInputsLevel2Memberus-gaap:FairValueMeasurementsRecurringMemberus-gaap:RedeemablePreferredStockMember2022-06-300001333986us-gaap:FairValueInputsLevel3Memberus-gaap:FairValueMeasurement</w:t>
      </w:r>
      <w:r>
        <w:rPr>
          <w:rFonts w:eastAsia="Times New Roman"/>
          <w:vanish/>
        </w:rPr>
        <w:t>sRecurringMemberus-gaap:RedeemablePreferredStockMember2022-06-300001333986us-gaap:FairValueMeasurementsRecurringMemberus-gaap:RedeemablePreferredStockMember2022-06-300001333986us-gaap:FairValueInputsLevel1Memberus-gaap:FairValueMeasurementsRecurringMember2</w:t>
      </w:r>
      <w:r>
        <w:rPr>
          <w:rFonts w:eastAsia="Times New Roman"/>
          <w:vanish/>
        </w:rPr>
        <w:t>022-06-300001333986us-gaap:FairValueInputsLevel2Memberus-gaap:FairValueMeasurementsRecurringMember2022-06-300001333986us-gaap:FairValueInputsLevel3Memberus-gaap:FairValueMeasurementsRecurringMember2022-06-300001333986us-gaap:FairValueInputsLevel1Memberus-g</w:t>
      </w:r>
      <w:r>
        <w:rPr>
          <w:rFonts w:eastAsia="Times New Roman"/>
          <w:vanish/>
        </w:rPr>
        <w:t>aap:FairValueMeasurementsRecurringMemberus-gaap:ShortTermInvestmentsMember2022-06-300001333986us-gaap:FairValueInputsLevel2Memberus-gaap:FairValueMeasurementsRecurringMemberus-gaap:ShortTermInvestmentsMember2022-06-300001333986us-gaap:FairValueInputsLevel3</w:t>
      </w:r>
      <w:r>
        <w:rPr>
          <w:rFonts w:eastAsia="Times New Roman"/>
          <w:vanish/>
        </w:rPr>
        <w:t>Memberus-gaap:FairValueMeasurementsRecurringMemberus-gaap:ShortTermInvestmentsMember2022-06-300001333986us-gaap:FairValueMeasurementsRecurringMemberus-gaap:ShortTermInvestmentsMember2022-06-300001333986us-gaap:FairValueInputsLevel1Membereqh:AssetsofConsoli</w:t>
      </w:r>
      <w:r>
        <w:rPr>
          <w:rFonts w:eastAsia="Times New Roman"/>
          <w:vanish/>
        </w:rPr>
        <w:t>datedVIEsVOEsMemberus-gaap:FairValueMeasurementsRecurringMember2022-06-300001333986us-gaap:FairValueInputsLevel2Membereqh:AssetsofConsolidatedVIEsVOEsMemberus-gaap:FairValueMeasurementsRecurringMember2022-06-300001333986us-gaap:FairValueInputsLevel3Membere</w:t>
      </w:r>
      <w:r>
        <w:rPr>
          <w:rFonts w:eastAsia="Times New Roman"/>
          <w:vanish/>
        </w:rPr>
        <w:t>qh:AssetsofConsolidatedVIEsVOEsMemberus-gaap:FairValueMeasurementsRecurringMember2022-06-300001333986eqh:AssetsofConsolidatedVIEsVOEsMemberus-gaap:FairValueMeasurementsRecurringMember2022-06-300001333986us-gaap:FairValueInputsLevel1Memberus-gaap:SwapMember</w:t>
      </w:r>
      <w:r>
        <w:rPr>
          <w:rFonts w:eastAsia="Times New Roman"/>
          <w:vanish/>
        </w:rPr>
        <w:t>us-gaap:FairValueMeasurementsRecurringMember2022-06-300001333986us-gaap:FairValueInputsLevel2Memberus-gaap:SwapMemberus-gaap:FairValueMeasurementsRecurringMember2022-06-300001333986us-gaap:SwapMemberus-gaap:FairValueInputsLevel3Memberus-gaap:FairValueMeasu</w:t>
      </w:r>
      <w:r>
        <w:rPr>
          <w:rFonts w:eastAsia="Times New Roman"/>
          <w:vanish/>
        </w:rPr>
        <w:t>rementsRecurringMember2022-06-300001333986us-gaap:SwapMemberus-gaap:FairValueMeasurementsRecurringMember2022-06-300001333986us-gaap:FairValueInputsLevel1Memberus-gaap:CreditDefaultSwapMemberus-gaap:FairValueMeasurementsRecurringMember2022-06-300001333986us</w:t>
      </w:r>
      <w:r>
        <w:rPr>
          <w:rFonts w:eastAsia="Times New Roman"/>
          <w:vanish/>
        </w:rPr>
        <w:t>-gaap:FairValueInputsLevel2Memberus-gaap:CreditDefaultSwapMemberus-gaap:FairValueMeasurementsRecurringMember2022-06-300001333986us-gaap:FairValueInputsLevel3Memberus-gaap:CreditDefaultSwapMemberus-gaap:FairValueMeasurementsRecurringMember2022-06-3000013339</w:t>
      </w:r>
      <w:r>
        <w:rPr>
          <w:rFonts w:eastAsia="Times New Roman"/>
          <w:vanish/>
        </w:rPr>
        <w:t>86us-gaap:CreditDefaultSwapMemberus-gaap:FairValueMeasurementsRecurringMember2022-06-300001333986us-gaap:FairValueInputsLevel1Memberus-gaap:FairValueMeasurementsRecurringMemberus-gaap:FutureMember2022-06-300001333986us-gaap:FairValueInputsLevel2Memberus-ga</w:t>
      </w:r>
      <w:r>
        <w:rPr>
          <w:rFonts w:eastAsia="Times New Roman"/>
          <w:vanish/>
        </w:rPr>
        <w:t>ap:FairValueMeasurementsRecurringMemberus-gaap:FutureMember2022-06-300001333986us-gaap:FairValueInputsLevel3Memberus-gaap:FairValueMeasurementsRecurringMemberus-gaap:FutureMember2022-06-300001333986us-gaap:FairValueMeasurementsRecurringMemberus-gaap:Future</w:t>
      </w:r>
      <w:r>
        <w:rPr>
          <w:rFonts w:eastAsia="Times New Roman"/>
          <w:vanish/>
        </w:rPr>
        <w:t>Member2022-06-300001333986us-gaap:FairValueInputsLevel1Memberus-gaap:FairValueMeasurementsRecurringMemberus-gaap:OptionMember2022-06-300001333986us-gaap:FairValueInputsLevel2Memberus-gaap:FairValueMeasurementsRecurringMemberus-gaap:OptionMember2022-06-3000</w:t>
      </w:r>
      <w:r>
        <w:rPr>
          <w:rFonts w:eastAsia="Times New Roman"/>
          <w:vanish/>
        </w:rPr>
        <w:t>01333986us-gaap:FairValueInputsLevel3Memberus-gaap:FairValueMeasurementsRecurringMemberus-gaap:OptionMember2022-06-300001333986us-gaap:FairValueMeasurementsRecurringMemberus-gaap:OptionMember2022-06-300001333986us-gaap:GuaranteedMinimumWithdrawalBenefitMem</w:t>
      </w:r>
      <w:r>
        <w:rPr>
          <w:rFonts w:eastAsia="Times New Roman"/>
          <w:vanish/>
        </w:rPr>
        <w:t>berus-gaap:FairValueInputsLevel1Memberus-gaap:FairValueMeasurementsRecurringMember2022-06-300001333986us-gaap:GuaranteedMinimumWithdrawalBenefitMemberus-gaap:FairValueInputsLevel2Memberus-gaap:FairValueMeasurementsRecurringMember2022-06-300001333986us-gaap</w:t>
      </w:r>
      <w:r>
        <w:rPr>
          <w:rFonts w:eastAsia="Times New Roman"/>
          <w:vanish/>
        </w:rPr>
        <w:t>:GuaranteedMinimumWithdrawalBenefitMemberus-gaap:FairValueInputsLevel3Memberus-gaap:FairValueMeasurementsRecurringMember2022-06-300001333986us-gaap:GuaranteedMinimumWithdrawalBenefitMemberus-gaap:FairValueMeasurementsRecurringMember2022-06-300001333986us-g</w:t>
      </w:r>
      <w:r>
        <w:rPr>
          <w:rFonts w:eastAsia="Times New Roman"/>
          <w:vanish/>
        </w:rPr>
        <w:t>aap:FairValueInputsLevel1Membereqh:EmbeddedDerivativeNonGMxBInsuranceProductsMemberus-gaap:FairValueMeasurementsRecurringMember2022-06-300001333986us-gaap:FairValueInputsLevel2Membereqh:EmbeddedDerivativeNonGMxBInsuranceProductsMemberus-gaap:FairValueMeasu</w:t>
      </w:r>
      <w:r>
        <w:rPr>
          <w:rFonts w:eastAsia="Times New Roman"/>
          <w:vanish/>
        </w:rPr>
        <w:t>rementsRecurringMember2022-06-300001333986us-gaap:FairValueInputsLevel3Membereqh:EmbeddedDerivativeNonGMxBInsuranceProductsMemberus-gaap:FairValueMeasurementsRecurringMember2022-06-300001333986eqh:EmbeddedDerivativeNonGMxBInsuranceProductsMemberus-gaap:Fai</w:t>
      </w:r>
      <w:r>
        <w:rPr>
          <w:rFonts w:eastAsia="Times New Roman"/>
          <w:vanish/>
        </w:rPr>
        <w:t>rValueMeasurementsRecurringMember2022-06-300001333986us-gaap:FairValueInputsLevel1Memberus-gaap:VariableInterestEntityPrimaryBeneficiaryMemberus-gaap:FairValueMeasurementsRecurringMember2022-06-300001333986us-gaap:VariableInterestEntityPrimaryBeneficiaryMe</w:t>
      </w:r>
      <w:r>
        <w:rPr>
          <w:rFonts w:eastAsia="Times New Roman"/>
          <w:vanish/>
        </w:rPr>
        <w:t>mberus-gaap:FairValueInputsLevel2Memberus-gaap:FairValueMeasurementsRecurringMember2022-06-300001333986us-gaap:VariableInterestEntityPrimaryBeneficiaryMemberus-gaap:FairValueInputsLevel3Memberus-gaap:FairValueMeasurementsRecurringMember2022-06-300001333986</w:t>
      </w:r>
      <w:r>
        <w:rPr>
          <w:rFonts w:eastAsia="Times New Roman"/>
          <w:vanish/>
        </w:rPr>
        <w:t>us-gaap:VariableInterestEntityPrimaryBeneficiaryMemberus-gaap:FairValueMeasurementsRecurringMember2022-06-300001333986us-gaap:FairValueMeasuredAtNetAssetValuePerShareMemberus-gaap:FairValueMeasurementsRecurringMember2022-06-300001333986us-gaap:Collateraliz</w:t>
      </w:r>
      <w:r>
        <w:rPr>
          <w:rFonts w:eastAsia="Times New Roman"/>
          <w:vanish/>
        </w:rPr>
        <w:t>edLoanObligationsMemberus-gaap:CarryingReportedAmountFairValueDisclosureMember2022-06-300001333986us-gaap:CarryingReportedAmountFairValueDisclosureMemberus-gaap:OtherLiabilitiesMember2022-06-300001333986us-gaap:FairValueInputsLevel1Memberus-gaap:FairValueM</w:t>
      </w:r>
      <w:r>
        <w:rPr>
          <w:rFonts w:eastAsia="Times New Roman"/>
          <w:vanish/>
        </w:rPr>
        <w:t>easurementsRecurringMembereqh:PublicCorporateMember2021-12-310001333986us-gaap:FairValueInputsLevel2Memberus-gaap:FairValueMeasurementsRecurringMembereqh:PublicCorporateMember2021-12-310001333986us-gaap:FairValueInputsLevel3Memberus-gaap:FairValueMeasureme</w:t>
      </w:r>
      <w:r>
        <w:rPr>
          <w:rFonts w:eastAsia="Times New Roman"/>
          <w:vanish/>
        </w:rPr>
        <w:t>ntsRecurringMembereqh:PublicCorporateMember2021-12-310001333986us-gaap:FairValueMeasurementsRecurringMembereqh:PublicCorporateMember2021-12-310001333986us-gaap:FairValueInputsLevel1Memberus-gaap:FairValueMeasurementsRecurringMemberus-gaap:USTreasuryAndGove</w:t>
      </w:r>
      <w:r>
        <w:rPr>
          <w:rFonts w:eastAsia="Times New Roman"/>
          <w:vanish/>
        </w:rPr>
        <w:t>rnmentMember2021-12-310001333986us-gaap:FairValueInputsLevel2Memberus-gaap:FairValueMeasurementsRecurringMemberus-gaap:USTreasuryAndGovernmentMember2021-12-310001333986us-gaap:FairValueInputsLevel3Memberus-gaap:FairValueMeasurementsRecurringMemberus-gaap:U</w:t>
      </w:r>
      <w:r>
        <w:rPr>
          <w:rFonts w:eastAsia="Times New Roman"/>
          <w:vanish/>
        </w:rPr>
        <w:t>STreasuryAndGovernmentMember2021-12-310001333986us-gaap:FairValueMeasurementsRecurringMemberus-gaap:USTreasuryAndGovernmentMember2021-12-310001333986us-gaap:FairValueInputsLevel1Memberus-gaap:USStatesAndPoliticalSubdivisionsMemberus-gaap:FairValueMeasureme</w:t>
      </w:r>
      <w:r>
        <w:rPr>
          <w:rFonts w:eastAsia="Times New Roman"/>
          <w:vanish/>
        </w:rPr>
        <w:t>ntsRecurringMember2021-12-310001333986us-gaap:USStatesAndPoliticalSubdivisionsMemberus-gaap:FairValueInputsLevel2Memberus-gaap:FairValueMeasurementsRecurringMember2021-12-310001333986us-gaap:USStatesAndPoliticalSubdivisionsMemberus-gaap:FairValueInputsLeve</w:t>
      </w:r>
      <w:r>
        <w:rPr>
          <w:rFonts w:eastAsia="Times New Roman"/>
          <w:vanish/>
        </w:rPr>
        <w:t>l3Memberus-gaap:FairValueMeasurementsRecurringMember2021-12-310001333986us-gaap:USStatesAndPoliticalSubdivisionsMemberus-gaap:FairValueMeasurementsRecurringMember2021-12-310001333986us-gaap:FairValueInputsLevel1Memberus-gaap:FairValueMeasurementsRecurringM</w:t>
      </w:r>
      <w:r>
        <w:rPr>
          <w:rFonts w:eastAsia="Times New Roman"/>
          <w:vanish/>
        </w:rPr>
        <w:t>emberus-gaap:ForeignGovernmentDebtSecuritiesMember2021-12-310001333986us-gaap:FairValueInputsLevel2Memberus-gaap:FairValueMeasurementsRecurringMemberus-gaap:ForeignGovernmentDebtSecuritiesMember2021-12-310001333986us-gaap:FairValueInputsLevel3Memberus-gaap</w:t>
      </w:r>
      <w:r>
        <w:rPr>
          <w:rFonts w:eastAsia="Times New Roman"/>
          <w:vanish/>
        </w:rPr>
        <w:t>:FairValueMeasurementsRecurringMemberus-gaap:ForeignGovernmentDebtSecuritiesMember2021-12-310001333986us-gaap:FairValueMeasurementsRecurringMemberus-gaap:ForeignGovernmentDebtSecuritiesMember2021-12-310001333986us-gaap:ResidentialMortgageBackedSecuritiesMe</w:t>
      </w:r>
      <w:r>
        <w:rPr>
          <w:rFonts w:eastAsia="Times New Roman"/>
          <w:vanish/>
        </w:rPr>
        <w:t>mberus-gaap:FairValueInputsLevel1Memberus-gaap:FairValueMeasurementsRecurringMember2021-12-310001333986us-gaap:ResidentialMortgageBackedSecuritiesMemberus-gaap:FairValueInputsLevel2Memberus-gaap:FairValueMeasurementsRecurringMember2021-12-310001333986us-ga</w:t>
      </w:r>
      <w:r>
        <w:rPr>
          <w:rFonts w:eastAsia="Times New Roman"/>
          <w:vanish/>
        </w:rPr>
        <w:t>ap:ResidentialMortgageBackedSecuritiesMemberus-gaap:FairValueInputsLevel3Memberus-gaap:FairValueMeasurementsRecurringMember2021-12-310001333986us-gaap:ResidentialMortgageBackedSecuritiesMemberus-gaap:FairValueMeasurementsRecurringMember2021-12-310001333986</w:t>
      </w:r>
      <w:r>
        <w:rPr>
          <w:rFonts w:eastAsia="Times New Roman"/>
          <w:vanish/>
        </w:rPr>
        <w:t>us-gaap:FairValueInputsLevel1Memberus-gaap:AssetBackedSecuritiesMemberus-gaap:FairValueMeasurementsRecurringMember2021-12-310001333986us-gaap:FairValueInputsLevel2Memberus-gaap:AssetBackedSecuritiesMemberus-gaap:FairValueMeasurementsRecurringMember2021-12-</w:t>
      </w:r>
      <w:r>
        <w:rPr>
          <w:rFonts w:eastAsia="Times New Roman"/>
          <w:vanish/>
        </w:rPr>
        <w:t>310001333986us-gaap:FairValueInputsLevel3Memberus-gaap:AssetBackedSecuritiesMemberus-gaap:FairValueMeasurementsRecurringMember2021-12-310001333986us-gaap:AssetBackedSecuritiesMemberus-gaap:FairValueMeasurementsRecurringMember2021-12-310001333986us-gaap:Fai</w:t>
      </w:r>
      <w:r>
        <w:rPr>
          <w:rFonts w:eastAsia="Times New Roman"/>
          <w:vanish/>
        </w:rPr>
        <w:t>rValueInputsLevel1Memberus-gaap:FairValueMeasurementsRecurringMemberus-gaap:CommercialMortgageBackedSecuritiesMember2021-12-310001333986us-gaap:FairValueInputsLevel2Memberus-gaap:FairValueMeasurementsRecurringMemberus-gaap:CommercialMortgageBackedSecuritie</w:t>
      </w:r>
      <w:r>
        <w:rPr>
          <w:rFonts w:eastAsia="Times New Roman"/>
          <w:vanish/>
        </w:rPr>
        <w:t>sMember2021-12-310001333986us-gaap:FairValueInputsLevel3Memberus-gaap:FairValueMeasurementsRecurringMemberus-gaap:CommercialMortgageBackedSecuritiesMember2021-12-310001333986us-gaap:FairValueMeasurementsRecurringMemberus-gaap:CommercialMortgageBackedSecuri</w:t>
      </w:r>
      <w:r>
        <w:rPr>
          <w:rFonts w:eastAsia="Times New Roman"/>
          <w:vanish/>
        </w:rPr>
        <w:t>tiesMember2021-12-310001333986us-gaap:FairValueInputsLevel1Memberus-gaap:FairValueMeasurementsRecurringMemberus-gaap:RedeemablePreferredStockMember2021-12-310001333986us-gaap:FairValueInputsLevel2Memberus-gaap:FairValueMeasurementsRecurringMemberus-gaap:Re</w:t>
      </w:r>
      <w:r>
        <w:rPr>
          <w:rFonts w:eastAsia="Times New Roman"/>
          <w:vanish/>
        </w:rPr>
        <w:t>deemablePreferredStockMember2021-12-310001333986us-gaap:FairValueInputsLevel3Memberus-gaap:FairValueMeasurementsRecurringMemberus-gaap:RedeemablePreferredStockMember2021-12-310001333986us-gaap:FairValueMeasurementsRecurringMemberus-gaap:RedeemablePreferred</w:t>
      </w:r>
      <w:r>
        <w:rPr>
          <w:rFonts w:eastAsia="Times New Roman"/>
          <w:vanish/>
        </w:rPr>
        <w:t>StockMember2021-12-310001333986us-gaap:FairValueInputsLevel1Memberus-gaap:FairValueMeasurementsRecurringMember2021-12-310001333986us-gaap:FairValueInputsLevel2Memberus-gaap:FairValueMeasurementsRecurringMember2021-12-310001333986us-gaap:FairValueInputsLeve</w:t>
      </w:r>
      <w:r>
        <w:rPr>
          <w:rFonts w:eastAsia="Times New Roman"/>
          <w:vanish/>
        </w:rPr>
        <w:t>l3Memberus-gaap:FairValueMeasurementsRecurringMember2021-12-310001333986us-gaap:FairValueInputsLevel1Memberus-gaap:FairValueMeasurementsRecurringMemberus-gaap:ShortTermInvestmentsMember2021-12-310001333986us-gaap:FairValueInputsLevel2Memberus-gaap:FairValu</w:t>
      </w:r>
      <w:r>
        <w:rPr>
          <w:rFonts w:eastAsia="Times New Roman"/>
          <w:vanish/>
        </w:rPr>
        <w:t>eMeasurementsRecurringMemberus-gaap:ShortTermInvestmentsMember2021-12-310001333986us-gaap:FairValueInputsLevel3Memberus-gaap:FairValueMeasurementsRecurringMemberus-gaap:ShortTermInvestmentsMember2021-12-310001333986us-gaap:FairValueMeasurementsRecurringMem</w:t>
      </w:r>
      <w:r>
        <w:rPr>
          <w:rFonts w:eastAsia="Times New Roman"/>
          <w:vanish/>
        </w:rPr>
        <w:t>berus-gaap:ShortTermInvestmentsMember2021-12-310001333986us-gaap:FairValueInputsLevel1Membereqh:AssetsofConsolidatedVIEsVOEsMemberus-gaap:FairValueMeasurementsRecurringMember2021-12-310001333986us-gaap:FairValueInputsLevel2Membereqh:AssetsofConsolidatedVIE</w:t>
      </w:r>
      <w:r>
        <w:rPr>
          <w:rFonts w:eastAsia="Times New Roman"/>
          <w:vanish/>
        </w:rPr>
        <w:t>sVOEsMemberus-gaap:FairValueMeasurementsRecurringMember2021-12-310001333986us-gaap:FairValueInputsLevel3Membereqh:AssetsofConsolidatedVIEsVOEsMemberus-gaap:FairValueMeasurementsRecurringMember2021-12-310001333986eqh:AssetsofConsolidatedVIEsVOEsMemberus-gaa</w:t>
      </w:r>
      <w:r>
        <w:rPr>
          <w:rFonts w:eastAsia="Times New Roman"/>
          <w:vanish/>
        </w:rPr>
        <w:t>p:FairValueMeasurementsRecurringMember2021-12-310001333986us-gaap:FairValueInputsLevel1Memberus-gaap:SwapMemberus-gaap:FairValueMeasurementsRecurringMember2021-12-310001333986us-gaap:FairValueInputsLevel2Memberus-gaap:SwapMemberus-gaap:FairValueMeasurement</w:t>
      </w:r>
      <w:r>
        <w:rPr>
          <w:rFonts w:eastAsia="Times New Roman"/>
          <w:vanish/>
        </w:rPr>
        <w:t>sRecurringMember2021-12-310001333986us-gaap:SwapMemberus-gaap:FairValueInputsLevel3Memberus-gaap:FairValueMeasurementsRecurringMember2021-12-310001333986us-gaap:SwapMemberus-gaap:FairValueMeasurementsRecurringMember2021-12-310001333986us-gaap:FairValueInpu</w:t>
      </w:r>
      <w:r>
        <w:rPr>
          <w:rFonts w:eastAsia="Times New Roman"/>
          <w:vanish/>
        </w:rPr>
        <w:t>tsLevel1Memberus-gaap:CreditDefaultSwapMemberus-gaap:FairValueMeasurementsRecurringMember2021-12-310001333986us-gaap:FairValueInputsLevel2Memberus-gaap:CreditDefaultSwapMemberus-gaap:FairValueMeasurementsRecurringMember2021-12-310001333986us-gaap:FairValue</w:t>
      </w:r>
      <w:r>
        <w:rPr>
          <w:rFonts w:eastAsia="Times New Roman"/>
          <w:vanish/>
        </w:rPr>
        <w:t>InputsLevel3Memberus-gaap:CreditDefaultSwapMemberus-gaap:FairValueMeasurementsRecurringMember2021-12-310001333986us-gaap:CreditDefaultSwapMemberus-gaap:FairValueMeasurementsRecurringMember2021-12-310001333986us-gaap:FairValueInputsLevel1Memberus-gaap:FairV</w:t>
      </w:r>
      <w:r>
        <w:rPr>
          <w:rFonts w:eastAsia="Times New Roman"/>
          <w:vanish/>
        </w:rPr>
        <w:t>alueMeasurementsRecurringMemberus-gaap:FutureMember2021-12-310001333986us-gaap:FairValueInputsLevel2Memberus-gaap:FairValueMeasurementsRecurringMemberus-gaap:FutureMember2021-12-310001333986us-gaap:FairValueInputsLevel3Memberus-gaap:FairValueMeasurementsRe</w:t>
      </w:r>
      <w:r>
        <w:rPr>
          <w:rFonts w:eastAsia="Times New Roman"/>
          <w:vanish/>
        </w:rPr>
        <w:t>curringMemberus-gaap:FutureMember2021-12-310001333986us-gaap:FairValueMeasurementsRecurringMemberus-gaap:FutureMember2021-12-310001333986us-gaap:FairValueInputsLevel1Memberus-gaap:FairValueMeasurementsRecurringMemberus-gaap:OptionMember2021-12-310001333986</w:t>
      </w:r>
      <w:r>
        <w:rPr>
          <w:rFonts w:eastAsia="Times New Roman"/>
          <w:vanish/>
        </w:rPr>
        <w:t>us-gaap:FairValueInputsLevel2Memberus-gaap:FairValueMeasurementsRecurringMemberus-gaap:OptionMember2021-12-310001333986us-gaap:FairValueInputsLevel3Memberus-gaap:FairValueMeasurementsRecurringMemberus-gaap:OptionMember2021-12-310001333986us-gaap:FairValueM</w:t>
      </w:r>
      <w:r>
        <w:rPr>
          <w:rFonts w:eastAsia="Times New Roman"/>
          <w:vanish/>
        </w:rPr>
        <w:t>easurementsRecurringMemberus-gaap:OptionMember2021-12-310001333986us-gaap:FairValueInputsLevel1Memberus-gaap:InterestRateSwaptionMemberus-gaap:FairValueMeasurementsRecurringMember2021-12-310001333986us-gaap:FairValueInputsLevel2Memberus-gaap:InterestRateSw</w:t>
      </w:r>
      <w:r>
        <w:rPr>
          <w:rFonts w:eastAsia="Times New Roman"/>
          <w:vanish/>
        </w:rPr>
        <w:t>aptionMemberus-gaap:FairValueMeasurementsRecurringMember2021-12-310001333986us-gaap:FairValueInputsLevel3Memberus-gaap:InterestRateSwaptionMemberus-gaap:FairValueMeasurementsRecurringMember2021-12-310001333986us-gaap:InterestRateSwaptionMemberus-gaap:FairV</w:t>
      </w:r>
      <w:r>
        <w:rPr>
          <w:rFonts w:eastAsia="Times New Roman"/>
          <w:vanish/>
        </w:rPr>
        <w:t>alueMeasurementsRecurringMember2021-12-310001333986us-gaap:GuaranteedMinimumWithdrawalBenefitMemberus-gaap:FairValueInputsLevel1Memberus-gaap:FairValueMeasurementsRecurringMember2021-12-310001333986us-gaap:GuaranteedMinimumWithdrawalBenefitMemberus-gaap:Fa</w:t>
      </w:r>
      <w:r>
        <w:rPr>
          <w:rFonts w:eastAsia="Times New Roman"/>
          <w:vanish/>
        </w:rPr>
        <w:t>irValueInputsLevel2Memberus-gaap:FairValueMeasurementsRecurringMember2021-12-310001333986us-gaap:GuaranteedMinimumWithdrawalBenefitMemberus-gaap:FairValueInputsLevel3Memberus-gaap:FairValueMeasurementsRecurringMember2021-12-310001333986us-gaap:GuaranteedMi</w:t>
      </w:r>
      <w:r>
        <w:rPr>
          <w:rFonts w:eastAsia="Times New Roman"/>
          <w:vanish/>
        </w:rPr>
        <w:t>nimumWithdrawalBenefitMemberus-gaap:FairValueMeasurementsRecurringMember2021-12-310001333986us-gaap:FairValueInputsLevel1Membereqh:EmbeddedDerivativeNonGMxBInsuranceProductsMemberus-gaap:FairValueMeasurementsRecurringMember2021-12-310001333986us-gaap:FairV</w:t>
      </w:r>
      <w:r>
        <w:rPr>
          <w:rFonts w:eastAsia="Times New Roman"/>
          <w:vanish/>
        </w:rPr>
        <w:t>alueInputsLevel2Membereqh:EmbeddedDerivativeNonGMxBInsuranceProductsMemberus-gaap:FairValueMeasurementsRecurringMember2021-12-310001333986us-gaap:FairValueInputsLevel3Membereqh:EmbeddedDerivativeNonGMxBInsuranceProductsMemberus-gaap:FairValueMeasurementsRe</w:t>
      </w:r>
      <w:r>
        <w:rPr>
          <w:rFonts w:eastAsia="Times New Roman"/>
          <w:vanish/>
        </w:rPr>
        <w:t>curringMember2021-12-310001333986eqh:EmbeddedDerivativeNonGMxBInsuranceProductsMemberus-gaap:FairValueMeasurementsRecurringMember2021-12-310001333986us-gaap:FairValueInputsLevel1Memberus-gaap:VariableInterestEntityPrimaryBeneficiaryMemberus-gaap:FairValueM</w:t>
      </w:r>
      <w:r>
        <w:rPr>
          <w:rFonts w:eastAsia="Times New Roman"/>
          <w:vanish/>
        </w:rPr>
        <w:t>easurementsRecurringMember2021-12-310001333986us-gaap:VariableInterestEntityPrimaryBeneficiaryMemberus-gaap:FairValueInputsLevel2Memberus-gaap:FairValueMeasurementsRecurringMember2021-12-310001333986us-gaap:VariableInterestEntityPrimaryBeneficiaryMemberus-</w:t>
      </w:r>
      <w:r>
        <w:rPr>
          <w:rFonts w:eastAsia="Times New Roman"/>
          <w:vanish/>
        </w:rPr>
        <w:t>gaap:FairValueInputsLevel3Memberus-gaap:FairValueMeasurementsRecurringMember2021-12-310001333986us-gaap:VariableInterestEntityPrimaryBeneficiaryMemberus-gaap:FairValueMeasurementsRecurringMember2021-12-310001333986us-gaap:FairValueMeasuredAtNetAssetValuePe</w:t>
      </w:r>
      <w:r>
        <w:rPr>
          <w:rFonts w:eastAsia="Times New Roman"/>
          <w:vanish/>
        </w:rPr>
        <w:t>rShareMemberus-gaap:FairValueMeasurementsRecurringMember2021-12-310001333986us-gaap:CollateralizedLoanObligationsMemberus-gaap:CarryingReportedAmountFairValueDisclosureMember2021-12-310001333986us-gaap:CorporateDebtSecuritiesMemberus-gaap:FairValueInputsLe</w:t>
      </w:r>
      <w:r>
        <w:rPr>
          <w:rFonts w:eastAsia="Times New Roman"/>
          <w:vanish/>
        </w:rPr>
        <w:t>vel3Member2022-03-310001333986us-gaap:USStatesAndPoliticalSubdivisionsMemberus-gaap:FairValueInputsLevel3Member2022-03-310001333986us-gaap:AssetBackedSecuritiesMemberus-gaap:FairValueInputsLevel3Member2022-03-310001333986us-gaap:FairValueInputsLevel3Member</w:t>
      </w:r>
      <w:r>
        <w:rPr>
          <w:rFonts w:eastAsia="Times New Roman"/>
          <w:vanish/>
        </w:rPr>
        <w:t>us-gaap:CommercialMortgageBackedSecuritiesMember2022-03-310001333986eqh:TradingSecuritiesMemberus-gaap:FairValueInputsLevel3Member2022-03-310001333986eqh:FixedMaturitiesAtFairValueUsingTheFairValueOptionMemberus-gaap:FairValueInputsLevel3Member2022-03-3100</w:t>
      </w:r>
      <w:r>
        <w:rPr>
          <w:rFonts w:eastAsia="Times New Roman"/>
          <w:vanish/>
        </w:rPr>
        <w:t>01333986us-gaap:CorporateDebtSecuritiesMemberus-gaap:FairValueInputsLevel3Member2022-04-012022-06-300001333986us-gaap:USStatesAndPoliticalSubdivisionsMemberus-gaap:FairValueInputsLevel3Member2022-04-012022-06-300001333986us-gaap:AssetBackedSecuritiesMember</w:t>
      </w:r>
      <w:r>
        <w:rPr>
          <w:rFonts w:eastAsia="Times New Roman"/>
          <w:vanish/>
        </w:rPr>
        <w:t>us-gaap:FairValueInputsLevel3Member2022-04-012022-06-300001333986us-gaap:FairValueInputsLevel3Memberus-gaap:CommercialMortgageBackedSecuritiesMember2022-04-012022-06-300001333986eqh:TradingSecuritiesMemberus-gaap:FairValueInputsLevel3Member2022-04-012022-0</w:t>
      </w:r>
      <w:r>
        <w:rPr>
          <w:rFonts w:eastAsia="Times New Roman"/>
          <w:vanish/>
        </w:rPr>
        <w:t>6-300001333986eqh:FixedMaturitiesAtFairValueUsingTheFairValueOptionMemberus-gaap:FairValueInputsLevel3Member2022-04-012022-06-300001333986us-gaap:CorporateDebtSecuritiesMemberus-gaap:FairValueInputsLevel3Member2022-06-300001333986us-gaap:USStatesAndPolitic</w:t>
      </w:r>
      <w:r>
        <w:rPr>
          <w:rFonts w:eastAsia="Times New Roman"/>
          <w:vanish/>
        </w:rPr>
        <w:t>alSubdivisionsMemberus-gaap:FairValueInputsLevel3Member2022-06-300001333986us-gaap:AssetBackedSecuritiesMemberus-gaap:FairValueInputsLevel3Member2022-06-300001333986us-gaap:FairValueInputsLevel3Memberus-gaap:CommercialMortgageBackedSecuritiesMember2022-06-</w:t>
      </w:r>
      <w:r>
        <w:rPr>
          <w:rFonts w:eastAsia="Times New Roman"/>
          <w:vanish/>
        </w:rPr>
        <w:t>300001333986eqh:TradingSecuritiesMemberus-gaap:FairValueInputsLevel3Member2022-06-300001333986eqh:FixedMaturitiesAtFairValueUsingTheFairValueOptionMemberus-gaap:FairValueInputsLevel3Member2022-06-300001333986us-gaap:CorporateDebtSecuritiesMemberus-gaap:Fai</w:t>
      </w:r>
      <w:r>
        <w:rPr>
          <w:rFonts w:eastAsia="Times New Roman"/>
          <w:vanish/>
        </w:rPr>
        <w:t>rValueInputsLevel3Member2021-03-310001333986us-gaap:USStatesAndPoliticalSubdivisionsMemberus-gaap:FairValueInputsLevel3Member2021-03-310001333986us-gaap:AssetBackedSecuritiesMemberus-gaap:FairValueInputsLevel3Member2021-03-310001333986us-gaap:FairValueInpu</w:t>
      </w:r>
      <w:r>
        <w:rPr>
          <w:rFonts w:eastAsia="Times New Roman"/>
          <w:vanish/>
        </w:rPr>
        <w:t>tsLevel3Memberus-gaap:CommercialMortgageBackedSecuritiesMember2021-03-310001333986eqh:TradingSecuritiesMemberus-gaap:FairValueInputsLevel3Member2021-03-310001333986eqh:FixedMaturitiesAtFairValueUsingTheFairValueOptionMemberus-gaap:FairValueInputsLevel3Memb</w:t>
      </w:r>
      <w:r>
        <w:rPr>
          <w:rFonts w:eastAsia="Times New Roman"/>
          <w:vanish/>
        </w:rPr>
        <w:t>er2021-03-310001333986us-gaap:CorporateDebtSecuritiesMemberus-gaap:FairValueInputsLevel3Member2021-04-012021-06-300001333986us-gaap:USStatesAndPoliticalSubdivisionsMemberus-gaap:FairValueInputsLevel3Member2021-04-012021-06-300001333986us-gaap:AssetBackedSe</w:t>
      </w:r>
      <w:r>
        <w:rPr>
          <w:rFonts w:eastAsia="Times New Roman"/>
          <w:vanish/>
        </w:rPr>
        <w:t>curitiesMemberus-gaap:FairValueInputsLevel3Member2021-04-012021-06-300001333986us-gaap:FairValueInputsLevel3Memberus-gaap:CommercialMortgageBackedSecuritiesMember2021-04-012021-06-300001333986eqh:TradingSecuritiesMemberus-gaap:FairValueInputsLevel3Member20</w:t>
      </w:r>
      <w:r>
        <w:rPr>
          <w:rFonts w:eastAsia="Times New Roman"/>
          <w:vanish/>
        </w:rPr>
        <w:t>21-04-012021-06-300001333986eqh:FixedMaturitiesAtFairValueUsingTheFairValueOptionMemberus-gaap:FairValueInputsLevel3Member2021-04-012021-06-300001333986us-gaap:CorporateDebtSecuritiesMemberus-gaap:FairValueInputsLevel3Member2021-06-300001333986us-gaap:USSt</w:t>
      </w:r>
      <w:r>
        <w:rPr>
          <w:rFonts w:eastAsia="Times New Roman"/>
          <w:vanish/>
        </w:rPr>
        <w:t>atesAndPoliticalSubdivisionsMemberus-gaap:FairValueInputsLevel3Member2021-06-300001333986us-gaap:AssetBackedSecuritiesMemberus-gaap:FairValueInputsLevel3Member2021-06-300001333986us-gaap:FairValueInputsLevel3Memberus-gaap:CommercialMortgageBackedSecurities</w:t>
      </w:r>
      <w:r>
        <w:rPr>
          <w:rFonts w:eastAsia="Times New Roman"/>
          <w:vanish/>
        </w:rPr>
        <w:t>Member2021-06-300001333986eqh:TradingSecuritiesMemberus-gaap:FairValueInputsLevel3Member2021-06-300001333986eqh:FixedMaturitiesAtFairValueUsingTheFairValueOptionMemberus-gaap:FairValueInputsLevel3Member2021-06-300001333986us-gaap:CorporateDebtSecuritiesMem</w:t>
      </w:r>
      <w:r>
        <w:rPr>
          <w:rFonts w:eastAsia="Times New Roman"/>
          <w:vanish/>
        </w:rPr>
        <w:t>berus-gaap:FairValueInputsLevel3Member2021-12-310001333986us-gaap:USStatesAndPoliticalSubdivisionsMemberus-gaap:FairValueInputsLevel3Member2021-12-310001333986us-gaap:AssetBackedSecuritiesMemberus-gaap:FairValueInputsLevel3Member2021-12-310001333986us-gaap</w:t>
      </w:r>
      <w:r>
        <w:rPr>
          <w:rFonts w:eastAsia="Times New Roman"/>
          <w:vanish/>
        </w:rPr>
        <w:t>:FairValueInputsLevel3Memberus-gaap:CommercialMortgageBackedSecuritiesMember2021-12-310001333986eqh:TradingSecuritiesMemberus-gaap:FairValueInputsLevel3Member2021-12-310001333986eqh:FixedMaturitiesAtFairValueUsingTheFairValueOptionMemberus-gaap:FairValueIn</w:t>
      </w:r>
      <w:r>
        <w:rPr>
          <w:rFonts w:eastAsia="Times New Roman"/>
          <w:vanish/>
        </w:rPr>
        <w:t>putsLevel3Member2021-12-310001333986us-gaap:CorporateDebtSecuritiesMemberus-gaap:FairValueInputsLevel3Member2022-01-012022-06-300001333986us-gaap:USStatesAndPoliticalSubdivisionsMemberus-gaap:FairValueInputsLevel3Member2022-01-012022-06-300001333986us-gaap</w:t>
      </w:r>
      <w:r>
        <w:rPr>
          <w:rFonts w:eastAsia="Times New Roman"/>
          <w:vanish/>
        </w:rPr>
        <w:t>:AssetBackedSecuritiesMemberus-gaap:FairValueInputsLevel3Member2022-01-012022-06-300001333986us-gaap:FairValueInputsLevel3Memberus-gaap:CommercialMortgageBackedSecuritiesMember2022-01-012022-06-300001333986eqh:TradingSecuritiesMemberus-gaap:FairValueInputs</w:t>
      </w:r>
      <w:r>
        <w:rPr>
          <w:rFonts w:eastAsia="Times New Roman"/>
          <w:vanish/>
        </w:rPr>
        <w:t>Level3Member2022-01-012022-06-300001333986eqh:FixedMaturitiesAtFairValueUsingTheFairValueOptionMemberus-gaap:FairValueInputsLevel3Member2022-01-012022-06-300001333986us-gaap:CorporateDebtSecuritiesMemberus-gaap:FairValueInputsLevel3Member2020-12-3100013339</w:t>
      </w:r>
      <w:r>
        <w:rPr>
          <w:rFonts w:eastAsia="Times New Roman"/>
          <w:vanish/>
        </w:rPr>
        <w:t>86us-gaap:USStatesAndPoliticalSubdivisionsMemberus-gaap:FairValueInputsLevel3Member2020-12-310001333986us-gaap:AssetBackedSecuritiesMemberus-gaap:FairValueInputsLevel3Member2020-12-310001333986us-gaap:FairValueInputsLevel3Memberus-gaap:CommercialMortgageBa</w:t>
      </w:r>
      <w:r>
        <w:rPr>
          <w:rFonts w:eastAsia="Times New Roman"/>
          <w:vanish/>
        </w:rPr>
        <w:t>ckedSecuritiesMember2020-12-310001333986eqh:TradingSecuritiesMemberus-gaap:FairValueInputsLevel3Member2020-12-310001333986eqh:FixedMaturitiesAtFairValueUsingTheFairValueOptionMemberus-gaap:FairValueInputsLevel3Member2020-12-310001333986us-gaap:CorporateDeb</w:t>
      </w:r>
      <w:r>
        <w:rPr>
          <w:rFonts w:eastAsia="Times New Roman"/>
          <w:vanish/>
        </w:rPr>
        <w:t>tSecuritiesMemberus-gaap:FairValueInputsLevel3Member2021-01-012021-06-300001333986us-gaap:USStatesAndPoliticalSubdivisionsMemberus-gaap:FairValueInputsLevel3Member2021-01-012021-06-300001333986us-gaap:AssetBackedSecuritiesMemberus-gaap:FairValueInputsLevel</w:t>
      </w:r>
      <w:r>
        <w:rPr>
          <w:rFonts w:eastAsia="Times New Roman"/>
          <w:vanish/>
        </w:rPr>
        <w:t>3Member2021-01-012021-06-300001333986us-gaap:FairValueInputsLevel3Memberus-gaap:CommercialMortgageBackedSecuritiesMember2021-01-012021-06-300001333986eqh:TradingSecuritiesMemberus-gaap:FairValueInputsLevel3Member2021-01-012021-06-300001333986eqh:FixedMatur</w:t>
      </w:r>
      <w:r>
        <w:rPr>
          <w:rFonts w:eastAsia="Times New Roman"/>
          <w:vanish/>
        </w:rPr>
        <w:t>itiesAtFairValueUsingTheFairValueOptionMemberus-gaap:FairValueInputsLevel3Member2021-01-012021-06-300001333986us-gaap:EquityMethodInvestmentsMemberus-gaap:FairValueInputsLevel3Member2022-03-310001333986us-gaap:FairValueInputsLevel3Membereqh:EmbeddedDerivat</w:t>
      </w:r>
      <w:r>
        <w:rPr>
          <w:rFonts w:eastAsia="Times New Roman"/>
          <w:vanish/>
        </w:rPr>
        <w:t>iveGMIBReinsuranceMember2022-03-310001333986eqh:EmbeddedDerivativeDueFromReinsuranceReinsurersMemberus-gaap:FairValueInputsLevel3Member2022-03-310001333986eqh:SeparateAccountsMemberus-gaap:FairValueInputsLevel3Member2022-03-310001333986eqh:GuaranteedIncome</w:t>
      </w:r>
      <w:r>
        <w:rPr>
          <w:rFonts w:eastAsia="Times New Roman"/>
          <w:vanish/>
        </w:rPr>
        <w:t>BenefitGuaranteedWithdrawalBenefitAndOtherFeaturesLiabilityMemberus-gaap:FairValueInputsLevel3Member2022-03-310001333986eqh:ContingentPaymentArrangementsMemberus-gaap:FairValueInputsLevel3Member2022-03-310001333986us-gaap:EquityMethodInvestmentsMemberus-ga</w:t>
      </w:r>
      <w:r>
        <w:rPr>
          <w:rFonts w:eastAsia="Times New Roman"/>
          <w:vanish/>
        </w:rPr>
        <w:t>ap:FairValueInputsLevel3Member2022-04-012022-06-300001333986us-gaap:FairValueInputsLevel3Membereqh:EmbeddedDerivativeGMIBReinsuranceMember2022-04-012022-06-300001333986eqh:EmbeddedDerivativeDueFromReinsuranceReinsurersMemberus-gaap:FairValueInputsLevel3Mem</w:t>
      </w:r>
      <w:r>
        <w:rPr>
          <w:rFonts w:eastAsia="Times New Roman"/>
          <w:vanish/>
        </w:rPr>
        <w:t>ber2022-04-012022-06-300001333986eqh:SeparateAccountsMemberus-gaap:FairValueInputsLevel3Member2022-04-012022-06-300001333986eqh:GuaranteedIncomeBenefitGuaranteedWithdrawalBenefitAndOtherFeaturesLiabilityMemberus-gaap:FairValueInputsLevel3Member2022-04-0120</w:t>
      </w:r>
      <w:r>
        <w:rPr>
          <w:rFonts w:eastAsia="Times New Roman"/>
          <w:vanish/>
        </w:rPr>
        <w:t>22-06-300001333986eqh:ContingentPaymentArrangementsMemberus-gaap:FairValueInputsLevel3Member2022-04-012022-06-300001333986us-gaap:EquityMethodInvestmentsMemberus-gaap:FairValueInputsLevel3Member2022-06-300001333986us-gaap:FairValueInputsLevel3Membereqh:Emb</w:t>
      </w:r>
      <w:r>
        <w:rPr>
          <w:rFonts w:eastAsia="Times New Roman"/>
          <w:vanish/>
        </w:rPr>
        <w:t>eddedDerivativeGMIBReinsuranceMember2022-06-300001333986eqh:EmbeddedDerivativeDueFromReinsuranceReinsurersMemberus-gaap:FairValueInputsLevel3Member2022-06-300001333986eqh:SeparateAccountsMemberus-gaap:FairValueInputsLevel3Member2022-06-300001333986eqh:Guar</w:t>
      </w:r>
      <w:r>
        <w:rPr>
          <w:rFonts w:eastAsia="Times New Roman"/>
          <w:vanish/>
        </w:rPr>
        <w:t>anteedIncomeBenefitGuaranteedWithdrawalBenefitAndOtherFeaturesLiabilityMemberus-gaap:FairValueInputsLevel3Member2022-06-300001333986eqh:ContingentPaymentArrangementsMemberus-gaap:FairValueInputsLevel3Member2022-06-300001333986us-gaap:EquityMethodInvestment</w:t>
      </w:r>
      <w:r>
        <w:rPr>
          <w:rFonts w:eastAsia="Times New Roman"/>
          <w:vanish/>
        </w:rPr>
        <w:t>sMemberus-gaap:FairValueInputsLevel3Member2021-03-310001333986us-gaap:FairValueInputsLevel3Membereqh:EmbeddedDerivativeGMIBReinsuranceMember2021-03-310001333986eqh:EmbeddedDerivativeDueFromReinsuranceReinsurersMemberus-gaap:FairValueInputsLevel3Member2021-</w:t>
      </w:r>
      <w:r>
        <w:rPr>
          <w:rFonts w:eastAsia="Times New Roman"/>
          <w:vanish/>
        </w:rPr>
        <w:t>03-310001333986eqh:SeparateAccountsMemberus-gaap:FairValueInputsLevel3Member2021-03-310001333986eqh:GuaranteedIncomeBenefitGuaranteedWithdrawalBenefitAndOtherFeaturesLiabilityMemberus-gaap:FairValueInputsLevel3Member2021-03-310001333986eqh:ContingentPaymen</w:t>
      </w:r>
      <w:r>
        <w:rPr>
          <w:rFonts w:eastAsia="Times New Roman"/>
          <w:vanish/>
        </w:rPr>
        <w:t>tArrangementsMemberus-gaap:FairValueInputsLevel3Member2021-03-310001333986us-gaap:EquityMethodInvestmentsMemberus-gaap:FairValueInputsLevel3Member2021-04-012021-06-300001333986us-gaap:FairValueInputsLevel3Membereqh:EmbeddedDerivativeGMIBReinsuranceMember20</w:t>
      </w:r>
      <w:r>
        <w:rPr>
          <w:rFonts w:eastAsia="Times New Roman"/>
          <w:vanish/>
        </w:rPr>
        <w:t>21-04-012021-06-300001333986eqh:EmbeddedDerivativeDueFromReinsuranceReinsurersMemberus-gaap:FairValueInputsLevel3Member2021-04-012021-06-300001333986eqh:SeparateAccountsMemberus-gaap:FairValueInputsLevel3Member2021-04-012021-06-300001333986eqh:GuaranteedIn</w:t>
      </w:r>
      <w:r>
        <w:rPr>
          <w:rFonts w:eastAsia="Times New Roman"/>
          <w:vanish/>
        </w:rPr>
        <w:t>comeBenefitGuaranteedWithdrawalBenefitAndOtherFeaturesLiabilityMemberus-gaap:FairValueInputsLevel3Member2021-04-012021-06-300001333986eqh:ContingentPaymentArrangementsMemberus-gaap:FairValueInputsLevel3Member2021-04-012021-06-300001333986us-gaap:EquityMeth</w:t>
      </w:r>
      <w:r>
        <w:rPr>
          <w:rFonts w:eastAsia="Times New Roman"/>
          <w:vanish/>
        </w:rPr>
        <w:t>odInvestmentsMemberus-gaap:FairValueInputsLevel3Member2021-06-300001333986us-gaap:FairValueInputsLevel3Membereqh:EmbeddedDerivativeGMIBReinsuranceMember2021-06-300001333986eqh:EmbeddedDerivativeDueFromReinsuranceReinsurersMemberus-gaap:FairValueInputsLevel</w:t>
      </w:r>
      <w:r>
        <w:rPr>
          <w:rFonts w:eastAsia="Times New Roman"/>
          <w:vanish/>
        </w:rPr>
        <w:t>3Member2021-06-300001333986eqh:SeparateAccountsMemberus-gaap:FairValueInputsLevel3Member2021-06-300001333986eqh:GuaranteedIncomeBenefitGuaranteedWithdrawalBenefitAndOtherFeaturesLiabilityMemberus-gaap:FairValueInputsLevel3Member2021-06-300001333986eqh:Cont</w:t>
      </w:r>
      <w:r>
        <w:rPr>
          <w:rFonts w:eastAsia="Times New Roman"/>
          <w:vanish/>
        </w:rPr>
        <w:t>ingentPaymentArrangementsMemberus-gaap:FairValueInputsLevel3Member2021-06-300001333986us-gaap:EquityMethodInvestmentsMemberus-gaap:FairValueInputsLevel3Member2021-12-310001333986us-gaap:FairValueInputsLevel3Membereqh:EmbeddedDerivativeGMIBReinsuranceMember</w:t>
      </w:r>
      <w:r>
        <w:rPr>
          <w:rFonts w:eastAsia="Times New Roman"/>
          <w:vanish/>
        </w:rPr>
        <w:t>2021-12-310001333986eqh:EmbeddedDerivativeDueFromReinsuranceReinsurersMemberus-gaap:FairValueInputsLevel3Member2021-12-310001333986eqh:SeparateAccountsMemberus-gaap:FairValueInputsLevel3Member2021-12-310001333986eqh:GuaranteedIncomeBenefitGuaranteedWithdra</w:t>
      </w:r>
      <w:r>
        <w:rPr>
          <w:rFonts w:eastAsia="Times New Roman"/>
          <w:vanish/>
        </w:rPr>
        <w:t>walBenefitAndOtherFeaturesLiabilityMemberus-gaap:FairValueInputsLevel3Member2021-12-310001333986eqh:ContingentPaymentArrangementsMemberus-gaap:FairValueInputsLevel3Member2021-12-310001333986us-gaap:EquityMethodInvestmentsMemberus-gaap:FairValueInputsLevel3</w:t>
      </w:r>
      <w:r>
        <w:rPr>
          <w:rFonts w:eastAsia="Times New Roman"/>
          <w:vanish/>
        </w:rPr>
        <w:t>Member2022-01-012022-06-300001333986us-gaap:FairValueInputsLevel3Membereqh:EmbeddedDerivativeGMIBReinsuranceMember2022-01-012022-06-300001333986eqh:EmbeddedDerivativeDueFromReinsuranceReinsurersMemberus-gaap:FairValueInputsLevel3Member2022-01-012022-06-300</w:t>
      </w:r>
      <w:r>
        <w:rPr>
          <w:rFonts w:eastAsia="Times New Roman"/>
          <w:vanish/>
        </w:rPr>
        <w:t>001333986eqh:SeparateAccountsMemberus-gaap:FairValueInputsLevel3Member2022-01-012022-06-300001333986eqh:GuaranteedIncomeBenefitGuaranteedWithdrawalBenefitAndOtherFeaturesLiabilityMemberus-gaap:FairValueInputsLevel3Member2022-01-012022-06-300001333986eqh:Co</w:t>
      </w:r>
      <w:r>
        <w:rPr>
          <w:rFonts w:eastAsia="Times New Roman"/>
          <w:vanish/>
        </w:rPr>
        <w:t>ntingentPaymentArrangementsMemberus-gaap:FairValueInputsLevel3Member2022-01-012022-06-300001333986us-gaap:EquityMethodInvestmentsMemberus-gaap:FairValueInputsLevel3Member2020-12-310001333986us-gaap:FairValueInputsLevel3Membereqh:EmbeddedDerivativeGMIBReins</w:t>
      </w:r>
      <w:r>
        <w:rPr>
          <w:rFonts w:eastAsia="Times New Roman"/>
          <w:vanish/>
        </w:rPr>
        <w:t>uranceMember2020-12-310001333986eqh:EmbeddedDerivativeDueFromReinsuranceReinsurersMemberus-gaap:FairValueInputsLevel3Member2020-12-310001333986eqh:SeparateAccountsMemberus-gaap:FairValueInputsLevel3Member2020-12-310001333986eqh:GuaranteedIncomeBenefitGuara</w:t>
      </w:r>
      <w:r>
        <w:rPr>
          <w:rFonts w:eastAsia="Times New Roman"/>
          <w:vanish/>
        </w:rPr>
        <w:t>nteedWithdrawalBenefitAndOtherFeaturesLiabilityMemberus-gaap:FairValueInputsLevel3Member2020-12-310001333986eqh:ContingentPaymentArrangementsMemberus-gaap:FairValueInputsLevel3Member2020-12-310001333986us-gaap:EquityMethodInvestmentsMemberus-gaap:FairValue</w:t>
      </w:r>
      <w:r>
        <w:rPr>
          <w:rFonts w:eastAsia="Times New Roman"/>
          <w:vanish/>
        </w:rPr>
        <w:t>InputsLevel3Member2021-01-012021-06-300001333986us-gaap:FairValueInputsLevel3Membereqh:EmbeddedDerivativeGMIBReinsuranceMember2021-01-012021-06-300001333986eqh:EmbeddedDerivativeDueFromReinsuranceReinsurersMemberus-gaap:FairValueInputsLevel3Member2021-01-0</w:t>
      </w:r>
      <w:r>
        <w:rPr>
          <w:rFonts w:eastAsia="Times New Roman"/>
          <w:vanish/>
        </w:rPr>
        <w:t>12021-06-300001333986eqh:SeparateAccountsMemberus-gaap:FairValueInputsLevel3Member2021-01-012021-06-300001333986eqh:GuaranteedIncomeBenefitGuaranteedWithdrawalBenefitAndOtherFeaturesLiabilityMemberus-gaap:FairValueInputsLevel3Member2021-01-012021-06-300001</w:t>
      </w:r>
      <w:r>
        <w:rPr>
          <w:rFonts w:eastAsia="Times New Roman"/>
          <w:vanish/>
        </w:rPr>
        <w:t>333986eqh:ContingentPaymentArrangementsMemberus-gaap:FairValueInputsLevel3Member2021-01-012021-06-300001333986eqh:GuaranteedIncomeBenefitGuaranteedWithdrawalBenefitAndOtherFeaturesLiabilityMember2022-04-012022-06-300001333986eqh:GuaranteedIncomeBenefitGuar</w:t>
      </w:r>
      <w:r>
        <w:rPr>
          <w:rFonts w:eastAsia="Times New Roman"/>
          <w:vanish/>
        </w:rPr>
        <w:t>anteedWithdrawalBenefitAndOtherFeaturesLiabilityMember2021-04-012021-06-300001333986eqh:GuaranteedIncomeBenefitGuaranteedWithdrawalBenefitAndOtherFeaturesLiabilityMember2022-01-012022-06-300001333986eqh:GuaranteedIncomeBenefitGuaranteedWithdrawalBenefitAnd</w:t>
      </w:r>
      <w:r>
        <w:rPr>
          <w:rFonts w:eastAsia="Times New Roman"/>
          <w:vanish/>
        </w:rPr>
        <w:t>OtherFeaturesLiabilityMember2021-01-012021-06-300001333986eqh:EmbeddedDerivativeGMIBReinsuranceMember2022-04-012022-06-300001333986eqh:EmbeddedDerivativeGMIBReinsuranceMember2021-04-012021-06-300001333986eqh:EmbeddedDerivativeGMIBReinsuranceMember2022-01-0</w:t>
      </w:r>
      <w:r>
        <w:rPr>
          <w:rFonts w:eastAsia="Times New Roman"/>
          <w:vanish/>
        </w:rPr>
        <w:t>12022-06-300001333986eqh:EmbeddedDerivativeGMIBReinsuranceMember2021-01-012021-06-300001333986eqh:EmbeddedDerivativeDueFromReinsuranceReinsurersMember2022-04-012022-06-300001333986eqh:EmbeddedDerivativeDueFromReinsuranceReinsurersMember2021-04-012021-06-30</w:t>
      </w:r>
      <w:r>
        <w:rPr>
          <w:rFonts w:eastAsia="Times New Roman"/>
          <w:vanish/>
        </w:rPr>
        <w:t>0001333986eqh:EmbeddedDerivativeDueFromReinsuranceReinsurersMember2022-01-012022-06-300001333986eqh:EmbeddedDerivativeDueFromReinsuranceReinsurersMember2021-01-012021-06-300001333986us-gaap:CorporateDebtSecuritiesMemberus-gaap:FairValueInputsLevel3Membereq</w:t>
      </w:r>
      <w:r>
        <w:rPr>
          <w:rFonts w:eastAsia="Times New Roman"/>
          <w:vanish/>
        </w:rPr>
        <w:t>h:MatrixPricingModelValuationTechniqueMember2022-06-300001333986us-gaap:CorporateDebtSecuritiesMembereqh:MeasurementInputSpreadOverBenchmarkMemberus-gaap:FairValueInputsLevel3Membereqh:MatrixPricingModelValuationTechniqueMembersrt:MinimumMember2022-06-3000</w:t>
      </w:r>
      <w:r>
        <w:rPr>
          <w:rFonts w:eastAsia="Times New Roman"/>
          <w:vanish/>
        </w:rPr>
        <w:t>01333986us-gaap:CorporateDebtSecuritiesMembersrt:MaximumMembereqh:MeasurementInputSpreadOverBenchmarkMemberus-gaap:FairValueInputsLevel3Membereqh:MatrixPricingModelValuationTechniqueMember2022-06-300001333986us-gaap:CorporateDebtSecuritiesMembersrt:Weighte</w:t>
      </w:r>
      <w:r>
        <w:rPr>
          <w:rFonts w:eastAsia="Times New Roman"/>
          <w:vanish/>
        </w:rPr>
        <w:t>dAverageMembereqh:MeasurementInputSpreadOverBenchmarkMemberus-gaap:FairValueInputsLevel3Membereqh:MatrixPricingModelValuationTechniqueMember2022-06-300001333986us-gaap:CorporateDebtSecuritiesMembereqh:MarketComparableCompaniesValuationTechniqueMemberus-gaa</w:t>
      </w:r>
      <w:r>
        <w:rPr>
          <w:rFonts w:eastAsia="Times New Roman"/>
          <w:vanish/>
        </w:rPr>
        <w:t>p:FairValueInputsLevel3Member2022-06-300001333986us-gaap:CorporateDebtSecuritiesMembereqh:MarketComparableCompaniesValuationTechniqueMemberus-gaap:MeasurementInputEbitdaMultipleMemberus-gaap:FairValueInputsLevel3Membersrt:MinimumMember2022-06-300001333986u</w:t>
      </w:r>
      <w:r>
        <w:rPr>
          <w:rFonts w:eastAsia="Times New Roman"/>
          <w:vanish/>
        </w:rPr>
        <w:t>s-gaap:CorporateDebtSecuritiesMembersrt:MaximumMembereqh:MarketComparableCompaniesValuationTechniqueMemberus-gaap:MeasurementInputEbitdaMultipleMemberus-gaap:FairValueInputsLevel3Member2022-06-300001333986us-gaap:CorporateDebtSecuritiesMembereqh:MarketComp</w:t>
      </w:r>
      <w:r>
        <w:rPr>
          <w:rFonts w:eastAsia="Times New Roman"/>
          <w:vanish/>
        </w:rPr>
        <w:t>arableCompaniesValuationTechniqueMemberus-gaap:FairValueInputsLevel3Memberus-gaap:MeasurementInputDiscountRateMembersrt:MinimumMember2022-06-300001333986us-gaap:CorporateDebtSecuritiesMembersrt:MaximumMembereqh:MarketComparableCompaniesValuationTechniqueMe</w:t>
      </w:r>
      <w:r>
        <w:rPr>
          <w:rFonts w:eastAsia="Times New Roman"/>
          <w:vanish/>
        </w:rPr>
        <w:t>mberus-gaap:FairValueInputsLevel3Memberus-gaap:MeasurementInputDiscountRateMember2022-06-300001333986us-gaap:CorporateDebtSecuritiesMembereqh:MarketComparableCompaniesValuationTechniqueMemberus-gaap:FairValueInputsLevel3Membereqh:MeasurementInputCashFlowMu</w:t>
      </w:r>
      <w:r>
        <w:rPr>
          <w:rFonts w:eastAsia="Times New Roman"/>
          <w:vanish/>
        </w:rPr>
        <w:t>ltiplesMembersrt:MinimumMember2022-06-300001333986us-gaap:CorporateDebtSecuritiesMembersrt:MaximumMembereqh:MarketComparableCompaniesValuationTechniqueMemberus-gaap:FairValueInputsLevel3Membereqh:MeasurementInputCashFlowMultiplesMember2022-06-300001333986u</w:t>
      </w:r>
      <w:r>
        <w:rPr>
          <w:rFonts w:eastAsia="Times New Roman"/>
          <w:vanish/>
        </w:rPr>
        <w:t>s-gaap:CorporateDebtSecuritiesMembereqh:MarketComparableCompaniesValuationTechniqueMemberus-gaap:FairValueInputsLevel3Membersrt:MinimumMembereqh:MeasurementInputLoanToValueMember2022-06-300001333986us-gaap:CorporateDebtSecuritiesMembersrt:MaximumMembereqh:</w:t>
      </w:r>
      <w:r>
        <w:rPr>
          <w:rFonts w:eastAsia="Times New Roman"/>
          <w:vanish/>
        </w:rPr>
        <w:t>MarketComparableCompaniesValuationTechniqueMemberus-gaap:FairValueInputsLevel3Membereqh:MeasurementInputLoanToValueMember2022-06-300001333986us-gaap:CorporateDebtSecuritiesMembersrt:WeightedAverageMembereqh:MarketComparableCompaniesValuationTechniqueMember</w:t>
      </w:r>
      <w:r>
        <w:rPr>
          <w:rFonts w:eastAsia="Times New Roman"/>
          <w:vanish/>
        </w:rPr>
        <w:t>us-gaap:MeasurementInputEbitdaMultipleMemberus-gaap:FairValueInputsLevel3Member2022-06-300001333986us-gaap:CorporateDebtSecuritiesMembersrt:WeightedAverageMembereqh:MarketComparableCompaniesValuationTechniqueMemberus-gaap:FairValueInputsLevel3Memberus-gaap</w:t>
      </w:r>
      <w:r>
        <w:rPr>
          <w:rFonts w:eastAsia="Times New Roman"/>
          <w:vanish/>
        </w:rPr>
        <w:t>:MeasurementInputDiscountRateMember2022-06-300001333986us-gaap:CorporateDebtSecuritiesMembersrt:WeightedAverageMembereqh:MarketComparableCompaniesValuationTechniqueMemberus-gaap:FairValueInputsLevel3Membereqh:MeasurementInputCashFlowMultiplesMember2022-06-</w:t>
      </w:r>
      <w:r>
        <w:rPr>
          <w:rFonts w:eastAsia="Times New Roman"/>
          <w:vanish/>
        </w:rPr>
        <w:t>300001333986us-gaap:CorporateDebtSecuritiesMembersrt:WeightedAverageMembereqh:MarketComparableCompaniesValuationTechniqueMemberus-gaap:FairValueInputsLevel3Membereqh:MeasurementInputLoanToValueMember2022-06-300001333986eqh:DiscountedCashFlowValuationTechni</w:t>
      </w:r>
      <w:r>
        <w:rPr>
          <w:rFonts w:eastAsia="Times New Roman"/>
          <w:vanish/>
        </w:rPr>
        <w:t>queMembereqh:TradingSecuritiesMemberus-gaap:FairValueInputsLevel3Member2022-06-300001333986eqh:DiscountedCashFlowValuationTechniqueMembereqh:TradingSecuritiesMemberus-gaap:MeasurementInputRevenueMultipleMemberus-gaap:FairValueInputsLevel3Member2022-06-3000</w:t>
      </w:r>
      <w:r>
        <w:rPr>
          <w:rFonts w:eastAsia="Times New Roman"/>
          <w:vanish/>
        </w:rPr>
        <w:t>01333986eqh:DiscountedCashFlowValuationTechniqueMembereqh:TradingSecuritiesMemberus-gaap:FairValueInputsLevel3Membereqh:MeasurementInputsDiscountFactorMember2022-06-300001333986eqh:DiscountedCashFlowValuationTechniqueMembereqh:TradingSecuritiesMemberus-gaa</w:t>
      </w:r>
      <w:r>
        <w:rPr>
          <w:rFonts w:eastAsia="Times New Roman"/>
          <w:vanish/>
        </w:rPr>
        <w:t>p:FairValueInputsLevel3Member2022-01-012022-06-300001333986us-gaap:EquityMethodInvestmentsMembereqh:MarketComparableCompaniesValuationTechniqueMemberus-gaap:FairValueInputsLevel3Member2022-06-300001333986us-gaap:EquityMethodInvestmentsMembereqh:MarketCompa</w:t>
      </w:r>
      <w:r>
        <w:rPr>
          <w:rFonts w:eastAsia="Times New Roman"/>
          <w:vanish/>
        </w:rPr>
        <w:t>rableCompaniesValuationTechniqueMemberus-gaap:MeasurementInputRevenueMultipleMemberus-gaap:FairValueInputsLevel3Membersrt:MinimumMember2022-06-300001333986us-gaap:EquityMethodInvestmentsMembersrt:MaximumMembereqh:MarketComparableCompaniesValuationTechnique</w:t>
      </w:r>
      <w:r>
        <w:rPr>
          <w:rFonts w:eastAsia="Times New Roman"/>
          <w:vanish/>
        </w:rPr>
        <w:t>Memberus-gaap:MeasurementInputRevenueMultipleMemberus-gaap:FairValueInputsLevel3Member2022-06-300001333986srt:WeightedAverageMemberus-gaap:EquityMethodInvestmentsMembereqh:MarketComparableCompaniesValuationTechniqueMemberus-gaap:MeasurementInputRevenueMult</w:t>
      </w:r>
      <w:r>
        <w:rPr>
          <w:rFonts w:eastAsia="Times New Roman"/>
          <w:vanish/>
        </w:rPr>
        <w:t>ipleMemberus-gaap:FairValueInputsLevel3Member2022-06-300001333986eqh:DiscountedCashFlowValuationTechniqueMembereqh:EmbeddedDerivativeGMIBReinsuranceMemberus-gaap:FairValueInputsLevel3Member2022-06-300001333986eqh:DiscountedCashFlowValuationTechniqueMembere</w:t>
      </w:r>
      <w:r>
        <w:rPr>
          <w:rFonts w:eastAsia="Times New Roman"/>
          <w:vanish/>
        </w:rPr>
        <w:t>qh:EmbeddedDerivativeGMIBReinsuranceMemberus-gaap:FairValueInputsLevel3Membersrt:MinimumMemberus-gaap:MeasurementInputLapseRateMember2022-06-300001333986eqh:DiscountedCashFlowValuationTechniqueMembersrt:MaximumMembereqh:EmbeddedDerivativeGMIBReinsuranceMem</w:t>
      </w:r>
      <w:r>
        <w:rPr>
          <w:rFonts w:eastAsia="Times New Roman"/>
          <w:vanish/>
        </w:rPr>
        <w:t>berus-gaap:FairValueInputsLevel3Memberus-gaap:MeasurementInputLapseRateMember2022-06-300001333986eqh:DiscountedCashFlowValuationTechniqueMemberus-gaap:MeasurementInputWithdrawalRateMembereqh:EmbeddedDerivativeGMIBReinsuranceMemberus-gaap:FairValueInputsLev</w:t>
      </w:r>
      <w:r>
        <w:rPr>
          <w:rFonts w:eastAsia="Times New Roman"/>
          <w:vanish/>
        </w:rPr>
        <w:t>el3Membersrt:MinimumMember2022-06-300001333986eqh:DiscountedCashFlowValuationTechniqueMembersrt:MaximumMemberus-gaap:MeasurementInputWithdrawalRateMembereqh:EmbeddedDerivativeGMIBReinsuranceMemberus-gaap:FairValueInputsLevel3Member2022-06-300001333986eqh:D</w:t>
      </w:r>
      <w:r>
        <w:rPr>
          <w:rFonts w:eastAsia="Times New Roman"/>
          <w:vanish/>
        </w:rPr>
        <w:t>iscountedCashFlowValuationTechniqueMembereqh:EmbeddedDerivativeGMIBReinsuranceMemberus-gaap:MeasurementInputUtilizationRateMemberus-gaap:FairValueInputsLevel3Membersrt:MinimumMember2022-06-300001333986eqh:DiscountedCashFlowValuationTechniqueMembersrt:Maxim</w:t>
      </w:r>
      <w:r>
        <w:rPr>
          <w:rFonts w:eastAsia="Times New Roman"/>
          <w:vanish/>
        </w:rPr>
        <w:t>umMembereqh:EmbeddedDerivativeGMIBReinsuranceMemberus-gaap:MeasurementInputUtilizationRateMemberus-gaap:FairValueInputsLevel3Member2022-06-300001333986eqh:DiscountedCashFlowValuationTechniqueMembereqh:EmbeddedDerivativeGMIBReinsuranceMembereqh:MeasurementI</w:t>
      </w:r>
      <w:r>
        <w:rPr>
          <w:rFonts w:eastAsia="Times New Roman"/>
          <w:vanish/>
        </w:rPr>
        <w:t>nputNonperformanceRiskMemberus-gaap:FairValueInputsLevel3Membersrt:MinimumMember2022-06-300001333986eqh:DiscountedCashFlowValuationTechniqueMembersrt:MaximumMembereqh:EmbeddedDerivativeGMIBReinsuranceMembereqh:MeasurementInputNonperformanceRiskMemberus-gaa</w:t>
      </w:r>
      <w:r>
        <w:rPr>
          <w:rFonts w:eastAsia="Times New Roman"/>
          <w:vanish/>
        </w:rPr>
        <w:t>p:FairValueInputsLevel3Member2022-06-300001333986eqh:DiscountedCashFlowValuationTechniqueMembereqh:EmbeddedDerivativeGMIBReinsuranceMembereqh:MeasurementInputEquityVolatilityMemberus-gaap:FairValueInputsLevel3Membersrt:MinimumMember2022-06-300001333986eqh:</w:t>
      </w:r>
      <w:r>
        <w:rPr>
          <w:rFonts w:eastAsia="Times New Roman"/>
          <w:vanish/>
        </w:rPr>
        <w:t>DiscountedCashFlowValuationTechniqueMembersrt:MaximumMembereqh:EmbeddedDerivativeGMIBReinsuranceMembereqh:MeasurementInputEquityVolatilityMemberus-gaap:FairValueInputsLevel3Member2022-06-300001333986eqh:DiscountedCashFlowValuationTechniqueMemberus-gaap:Mea</w:t>
      </w:r>
      <w:r>
        <w:rPr>
          <w:rFonts w:eastAsia="Times New Roman"/>
          <w:vanish/>
        </w:rPr>
        <w:t>surementInputMortalityRateMembereqh:EmbeddedDerivativeGMIBReinsuranceMemberus-gaap:FairValueInputsLevel3Membereqh:RangeOneMembersrt:MinimumMember2022-06-300001333986eqh:DiscountedCashFlowValuationTechniqueMembersrt:MaximumMemberus-gaap:MeasurementInputMort</w:t>
      </w:r>
      <w:r>
        <w:rPr>
          <w:rFonts w:eastAsia="Times New Roman"/>
          <w:vanish/>
        </w:rPr>
        <w:t>alityRateMembereqh:EmbeddedDerivativeGMIBReinsuranceMemberus-gaap:FairValueInputsLevel3Membereqh:RangeOneMember2022-06-300001333986eqh:DiscountedCashFlowValuationTechniqueMembereqh:RangeTwoMemberus-gaap:MeasurementInputMortalityRateMembereqh:EmbeddedDeriva</w:t>
      </w:r>
      <w:r>
        <w:rPr>
          <w:rFonts w:eastAsia="Times New Roman"/>
          <w:vanish/>
        </w:rPr>
        <w:t>tiveGMIBReinsuranceMemberus-gaap:FairValueInputsLevel3Membersrt:MinimumMember2022-06-300001333986eqh:DiscountedCashFlowValuationTechniqueMembersrt:MaximumMembereqh:RangeTwoMemberus-gaap:MeasurementInputMortalityRateMembereqh:EmbeddedDerivativeGMIBReinsuran</w:t>
      </w:r>
      <w:r>
        <w:rPr>
          <w:rFonts w:eastAsia="Times New Roman"/>
          <w:vanish/>
        </w:rPr>
        <w:t>ceMemberus-gaap:FairValueInputsLevel3Member2022-06-300001333986eqh:RangeThreeMembereqh:DiscountedCashFlowValuationTechniqueMemberus-gaap:MeasurementInputMortalityRateMembereqh:EmbeddedDerivativeGMIBReinsuranceMemberus-gaap:FairValueInputsLevel3Membersrt:Mi</w:t>
      </w:r>
      <w:r>
        <w:rPr>
          <w:rFonts w:eastAsia="Times New Roman"/>
          <w:vanish/>
        </w:rPr>
        <w:t>nimumMember2022-06-300001333986eqh:RangeThreeMembereqh:DiscountedCashFlowValuationTechniqueMembersrt:MaximumMemberus-gaap:MeasurementInputMortalityRateMembereqh:EmbeddedDerivativeGMIBReinsuranceMemberus-gaap:FairValueInputsLevel3Member2022-06-300001333986s</w:t>
      </w:r>
      <w:r>
        <w:rPr>
          <w:rFonts w:eastAsia="Times New Roman"/>
          <w:vanish/>
        </w:rPr>
        <w:t>rt:WeightedAverageMembereqh:DiscountedCashFlowValuationTechniqueMembereqh:EmbeddedDerivativeGMIBReinsuranceMemberus-gaap:FairValueInputsLevel3Memberus-gaap:MeasurementInputLapseRateMember2022-06-300001333986srt:WeightedAverageMembereqh:DiscountedCashFlowVa</w:t>
      </w:r>
      <w:r>
        <w:rPr>
          <w:rFonts w:eastAsia="Times New Roman"/>
          <w:vanish/>
        </w:rPr>
        <w:t>luationTechniqueMemberus-gaap:MeasurementInputWithdrawalRateMembereqh:EmbeddedDerivativeGMIBReinsuranceMemberus-gaap:FairValueInputsLevel3Member2022-06-300001333986srt:WeightedAverageMembereqh:DiscountedCashFlowValuationTechniqueMembereqh:EmbeddedDerivativ</w:t>
      </w:r>
      <w:r>
        <w:rPr>
          <w:rFonts w:eastAsia="Times New Roman"/>
          <w:vanish/>
        </w:rPr>
        <w:t>eGMIBReinsuranceMemberus-gaap:MeasurementInputUtilizationRateMemberus-gaap:FairValueInputsLevel3Member2022-06-300001333986srt:WeightedAverageMembereqh:DiscountedCashFlowValuationTechniqueMembereqh:EmbeddedDerivativeGMIBReinsuranceMembereqh:MeasurementInput</w:t>
      </w:r>
      <w:r>
        <w:rPr>
          <w:rFonts w:eastAsia="Times New Roman"/>
          <w:vanish/>
        </w:rPr>
        <w:t>NonperformanceRiskMemberus-gaap:FairValueInputsLevel3Member2022-06-300001333986srt:WeightedAverageMembereqh:DiscountedCashFlowValuationTechniqueMembereqh:EmbeddedDerivativeGMIBReinsuranceMembereqh:MeasurementInputEquityVolatilityMemberus-gaap:FairValueInpu</w:t>
      </w:r>
      <w:r>
        <w:rPr>
          <w:rFonts w:eastAsia="Times New Roman"/>
          <w:vanish/>
        </w:rPr>
        <w:t>tsLevel3Member2022-06-300001333986srt:WeightedAverageMembereqh:DiscountedCashFlowValuationTechniqueMembereqh:RangeTwoMemberus-gaap:MeasurementInputMortalityRateMembereqh:EmbeddedDerivativeGMIBReinsuranceMemberus-gaap:FairValueInputsLevel3Member2022-06-3000</w:t>
      </w:r>
      <w:r>
        <w:rPr>
          <w:rFonts w:eastAsia="Times New Roman"/>
          <w:vanish/>
        </w:rPr>
        <w:t>01333986srt:WeightedAverageMembereqh:DiscountedCashFlowValuationTechniqueMemberus-gaap:MeasurementInputMortalityRateMembereqh:EmbeddedDerivativeGMIBReinsuranceMemberus-gaap:FairValueInputsLevel3Membereqh:RangeOneMember2022-06-300001333986eqh:RangeThreeMemb</w:t>
      </w:r>
      <w:r>
        <w:rPr>
          <w:rFonts w:eastAsia="Times New Roman"/>
          <w:vanish/>
        </w:rPr>
        <w:t>ersrt:WeightedAverageMembereqh:DiscountedCashFlowValuationTechniqueMemberus-gaap:MeasurementInputMortalityRateMembereqh:EmbeddedDerivativeGMIBReinsuranceMemberus-gaap:FairValueInputsLevel3Member2022-06-300001333986eqh:DiscountedCashFlowValuationTechniqueMe</w:t>
      </w:r>
      <w:r>
        <w:rPr>
          <w:rFonts w:eastAsia="Times New Roman"/>
          <w:vanish/>
        </w:rPr>
        <w:t>mbereqh:EmbeddedDerivativeDueFromReinsuranceReinsurersMemberus-gaap:FairValueInputsLevel3Member2022-06-300001333986eqh:DiscountedCashFlowValuationTechniqueMembereqh:EmbeddedDerivativeDueFromReinsuranceReinsurersMemberus-gaap:FairValueInputsLevel3Membersrt:</w:t>
      </w:r>
      <w:r>
        <w:rPr>
          <w:rFonts w:eastAsia="Times New Roman"/>
          <w:vanish/>
        </w:rPr>
        <w:t>MinimumMemberus-gaap:MeasurementInputLapseRateMember2022-06-300001333986eqh:DiscountedCashFlowValuationTechniqueMembersrt:MaximumMembereqh:EmbeddedDerivativeDueFromReinsuranceReinsurersMemberus-gaap:FairValueInputsLevel3Memberus-gaap:MeasurementInputLapseR</w:t>
      </w:r>
      <w:r>
        <w:rPr>
          <w:rFonts w:eastAsia="Times New Roman"/>
          <w:vanish/>
        </w:rPr>
        <w:t>ateMember2022-06-300001333986eqh:DiscountedCashFlowValuationTechniqueMemberus-gaap:MeasurementInputWithdrawalRateMembereqh:EmbeddedDerivativeDueFromReinsuranceReinsurersMemberus-gaap:FairValueInputsLevel3Membersrt:MinimumMember2022-06-300001333986eqh:Disco</w:t>
      </w:r>
      <w:r>
        <w:rPr>
          <w:rFonts w:eastAsia="Times New Roman"/>
          <w:vanish/>
        </w:rPr>
        <w:t>untedCashFlowValuationTechniqueMembersrt:MaximumMemberus-gaap:MeasurementInputWithdrawalRateMembereqh:EmbeddedDerivativeDueFromReinsuranceReinsurersMemberus-gaap:FairValueInputsLevel3Member2022-06-300001333986eqh:DiscountedCashFlowValuationTechniqueMemberu</w:t>
      </w:r>
      <w:r>
        <w:rPr>
          <w:rFonts w:eastAsia="Times New Roman"/>
          <w:vanish/>
        </w:rPr>
        <w:t>s-gaap:MeasurementInputUtilizationRateMembereqh:EmbeddedDerivativeDueFromReinsuranceReinsurersMemberus-gaap:FairValueInputsLevel3Membersrt:MinimumMember2022-06-300001333986eqh:DiscountedCashFlowValuationTechniqueMembersrt:MaximumMemberus-gaap:MeasurementIn</w:t>
      </w:r>
      <w:r>
        <w:rPr>
          <w:rFonts w:eastAsia="Times New Roman"/>
          <w:vanish/>
        </w:rPr>
        <w:t>putUtilizationRateMembereqh:EmbeddedDerivativeDueFromReinsuranceReinsurersMemberus-gaap:FairValueInputsLevel3Member2022-06-300001333986eqh:DiscountedCashFlowValuationTechniqueMembereqh:MeasurementInputNonperformanceRiskMembereqh:EmbeddedDerivativeDueFromRe</w:t>
      </w:r>
      <w:r>
        <w:rPr>
          <w:rFonts w:eastAsia="Times New Roman"/>
          <w:vanish/>
        </w:rPr>
        <w:t>insuranceReinsurersMemberus-gaap:FairValueInputsLevel3Member2022-06-300001333986eqh:DiscountedCashFlowValuationTechniqueMembereqh:MeasurementInputEquityVolatilityMembereqh:EmbeddedDerivativeDueFromReinsuranceReinsurersMemberus-gaap:FairValueInputsLevel3Mem</w:t>
      </w:r>
      <w:r>
        <w:rPr>
          <w:rFonts w:eastAsia="Times New Roman"/>
          <w:vanish/>
        </w:rPr>
        <w:t>bersrt:MinimumMember2022-06-300001333986eqh:DiscountedCashFlowValuationTechniqueMembersrt:MaximumMembereqh:MeasurementInputEquityVolatilityMembereqh:EmbeddedDerivativeDueFromReinsuranceReinsurersMemberus-gaap:FairValueInputsLevel3Member2022-06-300001333986</w:t>
      </w:r>
      <w:r>
        <w:rPr>
          <w:rFonts w:eastAsia="Times New Roman"/>
          <w:vanish/>
        </w:rPr>
        <w:t>eqh:DiscountedCashFlowValuationTechniqueMemberus-gaap:MeasurementInputMortalityRateMembereqh:EmbeddedDerivativeDueFromReinsuranceReinsurersMemberus-gaap:FairValueInputsLevel3Membereqh:RangeOneMembersrt:MinimumMember2022-06-300001333986eqh:DiscountedCashFlo</w:t>
      </w:r>
      <w:r>
        <w:rPr>
          <w:rFonts w:eastAsia="Times New Roman"/>
          <w:vanish/>
        </w:rPr>
        <w:t>wValuationTechniqueMembersrt:MaximumMemberus-gaap:MeasurementInputMortalityRateMembereqh:EmbeddedDerivativeDueFromReinsuranceReinsurersMemberus-gaap:FairValueInputsLevel3Membereqh:RangeOneMember2022-06-300001333986eqh:DiscountedCashFlowValuationTechniqueMe</w:t>
      </w:r>
      <w:r>
        <w:rPr>
          <w:rFonts w:eastAsia="Times New Roman"/>
          <w:vanish/>
        </w:rPr>
        <w:t>mbereqh:RangeTwoMemberus-gaap:MeasurementInputMortalityRateMembereqh:EmbeddedDerivativeDueFromReinsuranceReinsurersMemberus-gaap:FairValueInputsLevel3Membersrt:MinimumMember2022-06-300001333986eqh:DiscountedCashFlowValuationTechniqueMembersrt:MaximumMember</w:t>
      </w:r>
      <w:r>
        <w:rPr>
          <w:rFonts w:eastAsia="Times New Roman"/>
          <w:vanish/>
        </w:rPr>
        <w:t>eqh:RangeTwoMemberus-gaap:MeasurementInputMortalityRateMembereqh:EmbeddedDerivativeDueFromReinsuranceReinsurersMemberus-gaap:FairValueInputsLevel3Member2022-06-300001333986eqh:RangeThreeMembereqh:DiscountedCashFlowValuationTechniqueMemberus-gaap:Measuremen</w:t>
      </w:r>
      <w:r>
        <w:rPr>
          <w:rFonts w:eastAsia="Times New Roman"/>
          <w:vanish/>
        </w:rPr>
        <w:t>tInputMortalityRateMembereqh:EmbeddedDerivativeDueFromReinsuranceReinsurersMemberus-gaap:FairValueInputsLevel3Membersrt:MinimumMember2022-06-300001333986eqh:RangeThreeMembereqh:DiscountedCashFlowValuationTechniqueMembersrt:MaximumMemberus-gaap:MeasurementI</w:t>
      </w:r>
      <w:r>
        <w:rPr>
          <w:rFonts w:eastAsia="Times New Roman"/>
          <w:vanish/>
        </w:rPr>
        <w:t>nputMortalityRateMembereqh:EmbeddedDerivativeDueFromReinsuranceReinsurersMemberus-gaap:FairValueInputsLevel3Member2022-06-300001333986srt:WeightedAverageMembereqh:DiscountedCashFlowValuationTechniqueMembereqh:EmbeddedDerivativeDueFromReinsuranceReinsurersM</w:t>
      </w:r>
      <w:r>
        <w:rPr>
          <w:rFonts w:eastAsia="Times New Roman"/>
          <w:vanish/>
        </w:rPr>
        <w:t>emberus-gaap:FairValueInputsLevel3Memberus-gaap:MeasurementInputLapseRateMember2022-06-300001333986srt:WeightedAverageMembereqh:DiscountedCashFlowValuationTechniqueMemberus-gaap:MeasurementInputWithdrawalRateMembereqh:EmbeddedDerivativeDueFromReinsuranceRe</w:t>
      </w:r>
      <w:r>
        <w:rPr>
          <w:rFonts w:eastAsia="Times New Roman"/>
          <w:vanish/>
        </w:rPr>
        <w:t>insurersMemberus-gaap:FairValueInputsLevel3Member2022-06-300001333986srt:WeightedAverageMembereqh:DiscountedCashFlowValuationTechniqueMemberus-gaap:MeasurementInputUtilizationRateMembereqh:EmbeddedDerivativeDueFromReinsuranceReinsurersMemberus-gaap:FairVal</w:t>
      </w:r>
      <w:r>
        <w:rPr>
          <w:rFonts w:eastAsia="Times New Roman"/>
          <w:vanish/>
        </w:rPr>
        <w:t>ueInputsLevel3Member2022-06-300001333986srt:WeightedAverageMembereqh:DiscountedCashFlowValuationTechniqueMembereqh:MeasurementInputNonperformanceRiskMembereqh:EmbeddedDerivativeDueFromReinsuranceReinsurersMemberus-gaap:FairValueInputsLevel3Member2022-06-30</w:t>
      </w:r>
      <w:r>
        <w:rPr>
          <w:rFonts w:eastAsia="Times New Roman"/>
          <w:vanish/>
        </w:rPr>
        <w:t>0001333986srt:WeightedAverageMembereqh:DiscountedCashFlowValuationTechniqueMembereqh:MeasurementInputEquityVolatilityMembereqh:EmbeddedDerivativeDueFromReinsuranceReinsurersMemberus-gaap:FairValueInputsLevel3Member2022-06-300001333986srt:WeightedAverageMem</w:t>
      </w:r>
      <w:r>
        <w:rPr>
          <w:rFonts w:eastAsia="Times New Roman"/>
          <w:vanish/>
        </w:rPr>
        <w:t>bereqh:DiscountedCashFlowValuationTechniqueMemberus-gaap:MeasurementInputMortalityRateMembereqh:EmbeddedDerivativeDueFromReinsuranceReinsurersMemberus-gaap:FairValueInputsLevel3Membereqh:RangeOneMember2022-06-300001333986eqh:RangeThreeMembersrt:WeightedAve</w:t>
      </w:r>
      <w:r>
        <w:rPr>
          <w:rFonts w:eastAsia="Times New Roman"/>
          <w:vanish/>
        </w:rPr>
        <w:t>rageMembereqh:DiscountedCashFlowValuationTechniqueMemberus-gaap:MeasurementInputMortalityRateMembereqh:EmbeddedDerivativeDueFromReinsuranceReinsurersMemberus-gaap:FairValueInputsLevel3Member2022-06-300001333986srt:WeightedAverageMembereqh:DiscountedCashFlo</w:t>
      </w:r>
      <w:r>
        <w:rPr>
          <w:rFonts w:eastAsia="Times New Roman"/>
          <w:vanish/>
        </w:rPr>
        <w:t>wValuationTechniqueMembereqh:RangeTwoMemberus-gaap:MeasurementInputMortalityRateMembereqh:EmbeddedDerivativeDueFromReinsuranceReinsurersMemberus-gaap:FairValueInputsLevel3Member2022-06-300001333986eqh:DiscountedCashFlowValuationTechniqueMembereqh:AllianceB</w:t>
      </w:r>
      <w:r>
        <w:rPr>
          <w:rFonts w:eastAsia="Times New Roman"/>
          <w:vanish/>
        </w:rPr>
        <w:t>ernsteinMemberus-gaap:FairValueInputsLevel3Member2022-06-300001333986eqh:DiscountedCashFlowValuationTechniqueMembereqh:AllianceBernsteinMemberus-gaap:MeasurementInputLongTermRevenueGrowthRateMemberus-gaap:FairValueInputsLevel3Membersrt:MinimumMember2022-06</w:t>
      </w:r>
      <w:r>
        <w:rPr>
          <w:rFonts w:eastAsia="Times New Roman"/>
          <w:vanish/>
        </w:rPr>
        <w:t>-300001333986eqh:DiscountedCashFlowValuationTechniqueMembereqh:AllianceBernsteinMembersrt:MaximumMemberus-gaap:MeasurementInputLongTermRevenueGrowthRateMemberus-gaap:FairValueInputsLevel3Member2022-06-300001333986eqh:DiscountedCashFlowValuationTechniqueMem</w:t>
      </w:r>
      <w:r>
        <w:rPr>
          <w:rFonts w:eastAsia="Times New Roman"/>
          <w:vanish/>
        </w:rPr>
        <w:t>bereqh:AllianceBernsteinMemberus-gaap:FairValueInputsLevel3Memberus-gaap:MeasurementInputDiscountRateMembersrt:MinimumMember2022-06-300001333986eqh:DiscountedCashFlowValuationTechniqueMembereqh:AllianceBernsteinMembersrt:MaximumMemberus-gaap:FairValueInput</w:t>
      </w:r>
      <w:r>
        <w:rPr>
          <w:rFonts w:eastAsia="Times New Roman"/>
          <w:vanish/>
        </w:rPr>
        <w:t>sLevel3Memberus-gaap:MeasurementInputDiscountRateMember2022-06-300001333986srt:WeightedAverageMembereqh:DiscountedCashFlowValuationTechniqueMembereqh:AllianceBernsteinMemberus-gaap:MeasurementInputLongTermRevenueGrowthRateMemberus-gaap:FairValueInputsLevel</w:t>
      </w:r>
      <w:r>
        <w:rPr>
          <w:rFonts w:eastAsia="Times New Roman"/>
          <w:vanish/>
        </w:rPr>
        <w:t>3Member2022-06-300001333986srt:WeightedAverageMembereqh:DiscountedCashFlowValuationTechniqueMembereqh:AllianceBernsteinMemberus-gaap:FairValueInputsLevel3Memberus-gaap:MeasurementInputDiscountRateMember2022-06-300001333986eqh:GuaranteedMinimumInsuranceBene</w:t>
      </w:r>
      <w:r>
        <w:rPr>
          <w:rFonts w:eastAsia="Times New Roman"/>
          <w:vanish/>
        </w:rPr>
        <w:t>fitsnoLapseGuaranteeMembereqh:DiscountedCashFlowValuationTechniqueMemberus-gaap:FairValueInputsLevel3Member2022-06-300001333986eqh:GuaranteedMinimumInsuranceBenefitsnoLapseGuaranteeMembereqh:DiscountedCashFlowValuationTechniqueMembereqh:MeasurementInputNon</w:t>
      </w:r>
      <w:r>
        <w:rPr>
          <w:rFonts w:eastAsia="Times New Roman"/>
          <w:vanish/>
        </w:rPr>
        <w:t>performanceRiskMemberus-gaap:FairValueInputsLevel3Member2022-06-300001333986eqh:GuaranteedMinimumInsuranceBenefitsnoLapseGuaranteeMembereqh:DiscountedCashFlowValuationTechniqueMemberus-gaap:FairValueInputsLevel3Membersrt:MinimumMemberus-gaap:MeasurementInp</w:t>
      </w:r>
      <w:r>
        <w:rPr>
          <w:rFonts w:eastAsia="Times New Roman"/>
          <w:vanish/>
        </w:rPr>
        <w:t>utLapseRateMember2022-06-300001333986eqh:GuaranteedMinimumInsuranceBenefitsnoLapseGuaranteeMembereqh:DiscountedCashFlowValuationTechniqueMembersrt:MaximumMemberus-gaap:FairValueInputsLevel3Memberus-gaap:MeasurementInputLapseRateMember2022-06-300001333986eq</w:t>
      </w:r>
      <w:r>
        <w:rPr>
          <w:rFonts w:eastAsia="Times New Roman"/>
          <w:vanish/>
        </w:rPr>
        <w:t>h:GuaranteedMinimumInsuranceBenefitsnoLapseGuaranteeMembereqh:DiscountedCashFlowValuationTechniqueMemberus-gaap:MeasurementInputWithdrawalRateMemberus-gaap:FairValueInputsLevel3Membersrt:MinimumMember2022-06-300001333986eqh:GuaranteedMinimumInsuranceBenefi</w:t>
      </w:r>
      <w:r>
        <w:rPr>
          <w:rFonts w:eastAsia="Times New Roman"/>
          <w:vanish/>
        </w:rPr>
        <w:t>tsnoLapseGuaranteeMembereqh:DiscountedCashFlowValuationTechniqueMembersrt:MaximumMemberus-gaap:MeasurementInputWithdrawalRateMemberus-gaap:FairValueInputsLevel3Member2022-06-300001333986eqh:GuaranteedMinimumInsuranceBenefitsnoLapseGuaranteeMembereqh:Discou</w:t>
      </w:r>
      <w:r>
        <w:rPr>
          <w:rFonts w:eastAsia="Times New Roman"/>
          <w:vanish/>
        </w:rPr>
        <w:t>ntedCashFlowValuationTechniqueMemberus-gaap:FairValueInputsLevel3Membersrt:MinimumMembereqh:MeasurementInputAnnuitizationRateMember2022-06-300001333986eqh:GuaranteedMinimumInsuranceBenefitsnoLapseGuaranteeMembereqh:DiscountedCashFlowValuationTechniqueMembe</w:t>
      </w:r>
      <w:r>
        <w:rPr>
          <w:rFonts w:eastAsia="Times New Roman"/>
          <w:vanish/>
        </w:rPr>
        <w:t>rsrt:MaximumMemberus-gaap:FairValueInputsLevel3Membereqh:MeasurementInputAnnuitizationRateMember2022-06-300001333986eqh:GuaranteedMinimumInsuranceBenefitsnoLapseGuaranteeMembereqh:DiscountedCashFlowValuationTechniqueMemberus-gaap:MeasurementInputMortalityR</w:t>
      </w:r>
      <w:r>
        <w:rPr>
          <w:rFonts w:eastAsia="Times New Roman"/>
          <w:vanish/>
        </w:rPr>
        <w:t>ateMemberus-gaap:FairValueInputsLevel3Membereqh:RangeOneMembersrt:MinimumMember2022-06-300001333986eqh:GuaranteedMinimumInsuranceBenefitsnoLapseGuaranteeMembereqh:DiscountedCashFlowValuationTechniqueMembersrt:MaximumMemberus-gaap:MeasurementInputMortalityR</w:t>
      </w:r>
      <w:r>
        <w:rPr>
          <w:rFonts w:eastAsia="Times New Roman"/>
          <w:vanish/>
        </w:rPr>
        <w:t>ateMemberus-gaap:FairValueInputsLevel3Membereqh:RangeOneMember2022-06-300001333986eqh:GuaranteedMinimumInsuranceBenefitsnoLapseGuaranteeMembereqh:DiscountedCashFlowValuationTechniqueMembereqh:RangeTwoMemberus-gaap:MeasurementInputMortalityRateMemberus-gaap</w:t>
      </w:r>
      <w:r>
        <w:rPr>
          <w:rFonts w:eastAsia="Times New Roman"/>
          <w:vanish/>
        </w:rPr>
        <w:t>:FairValueInputsLevel3Membersrt:MinimumMember2022-06-300001333986eqh:GuaranteedMinimumInsuranceBenefitsnoLapseGuaranteeMembereqh:DiscountedCashFlowValuationTechniqueMembersrt:MaximumMembereqh:RangeTwoMemberus-gaap:MeasurementInputMortalityRateMemberus-gaap</w:t>
      </w:r>
      <w:r>
        <w:rPr>
          <w:rFonts w:eastAsia="Times New Roman"/>
          <w:vanish/>
        </w:rPr>
        <w:t>:FairValueInputsLevel3Member2022-06-300001333986eqh:GuaranteedMinimumInsuranceBenefitsnoLapseGuaranteeMembereqh:RangeThreeMembereqh:DiscountedCashFlowValuationTechniqueMemberus-gaap:MeasurementInputMortalityRateMemberus-gaap:FairValueInputsLevel3Membersrt:</w:t>
      </w:r>
      <w:r>
        <w:rPr>
          <w:rFonts w:eastAsia="Times New Roman"/>
          <w:vanish/>
        </w:rPr>
        <w:t>MinimumMember2022-06-300001333986eqh:GuaranteedMinimumInsuranceBenefitsnoLapseGuaranteeMembereqh:RangeThreeMembereqh:DiscountedCashFlowValuationTechniqueMembersrt:MaximumMemberus-gaap:MeasurementInputMortalityRateMemberus-gaap:FairValueInputsLevel3Member20</w:t>
      </w:r>
      <w:r>
        <w:rPr>
          <w:rFonts w:eastAsia="Times New Roman"/>
          <w:vanish/>
        </w:rPr>
        <w:t>22-06-300001333986eqh:GuaranteedMinimumInsuranceBenefitsnoLapseGuaranteeMembersrt:WeightedAverageMembereqh:DiscountedCashFlowValuationTechniqueMembereqh:MeasurementInputNonperformanceRiskMemberus-gaap:FairValueInputsLevel3Member2022-06-300001333986eqh:Guar</w:t>
      </w:r>
      <w:r>
        <w:rPr>
          <w:rFonts w:eastAsia="Times New Roman"/>
          <w:vanish/>
        </w:rPr>
        <w:t>anteedMinimumInsuranceBenefitsnoLapseGuaranteeMembersrt:WeightedAverageMembereqh:DiscountedCashFlowValuationTechniqueMemberus-gaap:FairValueInputsLevel3Memberus-gaap:MeasurementInputLapseRateMember2022-06-300001333986eqh:GuaranteedMinimumInsuranceBenefitsn</w:t>
      </w:r>
      <w:r>
        <w:rPr>
          <w:rFonts w:eastAsia="Times New Roman"/>
          <w:vanish/>
        </w:rPr>
        <w:t>oLapseGuaranteeMembersrt:WeightedAverageMembereqh:DiscountedCashFlowValuationTechniqueMemberus-gaap:MeasurementInputWithdrawalRateMemberus-gaap:FairValueInputsLevel3Member2022-06-300001333986eqh:GuaranteedMinimumInsuranceBenefitsnoLapseGuaranteeMembersrt:W</w:t>
      </w:r>
      <w:r>
        <w:rPr>
          <w:rFonts w:eastAsia="Times New Roman"/>
          <w:vanish/>
        </w:rPr>
        <w:t>eightedAverageMembereqh:DiscountedCashFlowValuationTechniqueMemberus-gaap:FairValueInputsLevel3Membereqh:MeasurementInputAnnuitizationRateMember2022-06-300001333986eqh:GuaranteedMinimumInsuranceBenefitsnoLapseGuaranteeMembersrt:WeightedAverageMembereqh:Dis</w:t>
      </w:r>
      <w:r>
        <w:rPr>
          <w:rFonts w:eastAsia="Times New Roman"/>
          <w:vanish/>
        </w:rPr>
        <w:t>countedCashFlowValuationTechniqueMembereqh:RangeTwoMemberus-gaap:MeasurementInputMortalityRateMemberus-gaap:FairValueInputsLevel3Member2022-06-300001333986eqh:GuaranteedMinimumInsuranceBenefitsnoLapseGuaranteeMembersrt:WeightedAverageMembereqh:DiscountedCa</w:t>
      </w:r>
      <w:r>
        <w:rPr>
          <w:rFonts w:eastAsia="Times New Roman"/>
          <w:vanish/>
        </w:rPr>
        <w:t>shFlowValuationTechniqueMemberus-gaap:MeasurementInputMortalityRateMemberus-gaap:FairValueInputsLevel3Membereqh:RangeOneMember2022-06-300001333986eqh:GuaranteedMinimumInsuranceBenefitsnoLapseGuaranteeMembereqh:RangeThreeMembersrt:WeightedAverageMembereqh:D</w:t>
      </w:r>
      <w:r>
        <w:rPr>
          <w:rFonts w:eastAsia="Times New Roman"/>
          <w:vanish/>
        </w:rPr>
        <w:t>iscountedCashFlowValuationTechniqueMemberus-gaap:MeasurementInputMortalityRateMemberus-gaap:FairValueInputsLevel3Member2022-06-300001333986eqh:DiscountedCashFlowValuationTechniqueMemberus-gaap:FairValueInputsLevel3Membereqh:GmwbGwblMember2022-06-3000013339</w:t>
      </w:r>
      <w:r>
        <w:rPr>
          <w:rFonts w:eastAsia="Times New Roman"/>
          <w:vanish/>
        </w:rPr>
        <w:t>86eqh:DiscountedCashFlowValuationTechniqueMembereqh:GmwbGwblMemberus-gaap:FairValueInputsLevel3Membersrt:MinimumMemberus-gaap:MeasurementInputLapseRateMember2022-06-300001333986eqh:DiscountedCashFlowValuationTechniqueMembersrt:MaximumMembereqh:GmwbGwblMemb</w:t>
      </w:r>
      <w:r>
        <w:rPr>
          <w:rFonts w:eastAsia="Times New Roman"/>
          <w:vanish/>
        </w:rPr>
        <w:t>erus-gaap:FairValueInputsLevel3Memberus-gaap:MeasurementInputLapseRateMember2022-06-300001333986eqh:DiscountedCashFlowValuationTechniqueMemberus-gaap:MeasurementInputWithdrawalRateMembereqh:GmwbGwblMemberus-gaap:FairValueInputsLevel3Membersrt:MinimumMember</w:t>
      </w:r>
      <w:r>
        <w:rPr>
          <w:rFonts w:eastAsia="Times New Roman"/>
          <w:vanish/>
        </w:rPr>
        <w:t>2022-06-300001333986eqh:DiscountedCashFlowValuationTechniqueMembersrt:MaximumMemberus-gaap:MeasurementInputWithdrawalRateMembereqh:GmwbGwblMemberus-gaap:FairValueInputsLevel3Member2022-06-300001333986eqh:DiscountedCashFlowValuationTechniqueMemberus-gaap:Me</w:t>
      </w:r>
      <w:r>
        <w:rPr>
          <w:rFonts w:eastAsia="Times New Roman"/>
          <w:vanish/>
        </w:rPr>
        <w:t>asurementInputUtilizationRateMemberus-gaap:FairValueInputsLevel3Membereqh:GmwbGwblMember2022-06-300001333986eqh:DiscountedCashFlowValuationTechniqueMembereqh:MeasurementInputEquityVolatilityMembereqh:GmwbGwblMemberus-gaap:FairValueInputsLevel3Membersrt:Min</w:t>
      </w:r>
      <w:r>
        <w:rPr>
          <w:rFonts w:eastAsia="Times New Roman"/>
          <w:vanish/>
        </w:rPr>
        <w:t>imumMember2022-06-300001333986eqh:DiscountedCashFlowValuationTechniqueMembersrt:MaximumMembereqh:MeasurementInputEquityVolatilityMembereqh:GmwbGwblMemberus-gaap:FairValueInputsLevel3Member2022-06-300001333986eqh:DiscountedCashFlowValuationTechniqueMembereq</w:t>
      </w:r>
      <w:r>
        <w:rPr>
          <w:rFonts w:eastAsia="Times New Roman"/>
          <w:vanish/>
        </w:rPr>
        <w:t>h:MeasurementInputNonperformanceRiskMemberus-gaap:FairValueInputsLevel3Membereqh:GmwbGwblMember2022-06-300001333986srt:WeightedAverageMembereqh:DiscountedCashFlowValuationTechniqueMembereqh:GmwbGwblMemberus-gaap:FairValueInputsLevel3Memberus-gaap:Measureme</w:t>
      </w:r>
      <w:r>
        <w:rPr>
          <w:rFonts w:eastAsia="Times New Roman"/>
          <w:vanish/>
        </w:rPr>
        <w:t>ntInputLapseRateMember2022-06-300001333986srt:WeightedAverageMembereqh:DiscountedCashFlowValuationTechniqueMemberus-gaap:MeasurementInputWithdrawalRateMembereqh:GmwbGwblMemberus-gaap:FairValueInputsLevel3Member2022-06-300001333986srt:WeightedAverageMembere</w:t>
      </w:r>
      <w:r>
        <w:rPr>
          <w:rFonts w:eastAsia="Times New Roman"/>
          <w:vanish/>
        </w:rPr>
        <w:t>qh:DiscountedCashFlowValuationTechniqueMembereqh:MeasurementInputEquityVolatilityMembereqh:GmwbGwblMemberus-gaap:FairValueInputsLevel3Member2022-06-300001333986eqh:DiscountedCashFlowValuationTechniqueMemberus-gaap:FairValueInputsLevel3Membereqh:GuaranteedI</w:t>
      </w:r>
      <w:r>
        <w:rPr>
          <w:rFonts w:eastAsia="Times New Roman"/>
          <w:vanish/>
        </w:rPr>
        <w:t>nsuranceBenefitsMember2022-06-300001333986eqh:DiscountedCashFlowValuationTechniqueMemberus-gaap:FairValueInputsLevel3Membereqh:GuaranteedInsuranceBenefitsMembersrt:MinimumMemberus-gaap:MeasurementInputLapseRateMember2022-06-300001333986eqh:DiscountedCashFl</w:t>
      </w:r>
      <w:r>
        <w:rPr>
          <w:rFonts w:eastAsia="Times New Roman"/>
          <w:vanish/>
        </w:rPr>
        <w:t>owValuationTechniqueMembersrt:MaximumMemberus-gaap:FairValueInputsLevel3Membereqh:GuaranteedInsuranceBenefitsMemberus-gaap:MeasurementInputLapseRateMember2022-06-300001333986eqh:DiscountedCashFlowValuationTechniqueMemberus-gaap:MeasurementInputWithdrawalRa</w:t>
      </w:r>
      <w:r>
        <w:rPr>
          <w:rFonts w:eastAsia="Times New Roman"/>
          <w:vanish/>
        </w:rPr>
        <w:t>teMemberus-gaap:FairValueInputsLevel3Membereqh:GuaranteedInsuranceBenefitsMembersrt:MinimumMember2022-06-300001333986eqh:DiscountedCashFlowValuationTechniqueMembersrt:MaximumMemberus-gaap:MeasurementInputWithdrawalRateMemberus-gaap:FairValueInputsLevel3Mem</w:t>
      </w:r>
      <w:r>
        <w:rPr>
          <w:rFonts w:eastAsia="Times New Roman"/>
          <w:vanish/>
        </w:rPr>
        <w:t>bereqh:GuaranteedInsuranceBenefitsMember2022-06-300001333986eqh:DiscountedCashFlowValuationTechniqueMemberus-gaap:MeasurementInputUtilizationRateMemberus-gaap:FairValueInputsLevel3Membereqh:GuaranteedInsuranceBenefitsMembersrt:MinimumMember2022-06-30000133</w:t>
      </w:r>
      <w:r>
        <w:rPr>
          <w:rFonts w:eastAsia="Times New Roman"/>
          <w:vanish/>
        </w:rPr>
        <w:t>3986eqh:DiscountedCashFlowValuationTechniqueMembersrt:MaximumMemberus-gaap:MeasurementInputUtilizationRateMemberus-gaap:FairValueInputsLevel3Membereqh:GuaranteedInsuranceBenefitsMember2022-06-300001333986eqh:DiscountedCashFlowValuationTechniqueMembereqh:Me</w:t>
      </w:r>
      <w:r>
        <w:rPr>
          <w:rFonts w:eastAsia="Times New Roman"/>
          <w:vanish/>
        </w:rPr>
        <w:t>asurementInputEquityVolatilityMemberus-gaap:FairValueInputsLevel3Membereqh:GuaranteedInsuranceBenefitsMembersrt:MinimumMember2022-06-300001333986eqh:DiscountedCashFlowValuationTechniqueMembersrt:MaximumMembereqh:MeasurementInputEquityVolatilityMemberus-gaa</w:t>
      </w:r>
      <w:r>
        <w:rPr>
          <w:rFonts w:eastAsia="Times New Roman"/>
          <w:vanish/>
        </w:rPr>
        <w:t>p:FairValueInputsLevel3Membereqh:GuaranteedInsuranceBenefitsMember2022-06-300001333986eqh:DiscountedCashFlowValuationTechniqueMembereqh:MeasurementInputNonperformanceRiskMemberus-gaap:FairValueInputsLevel3Membereqh:GuaranteedInsuranceBenefitsMember2022-06-</w:t>
      </w:r>
      <w:r>
        <w:rPr>
          <w:rFonts w:eastAsia="Times New Roman"/>
          <w:vanish/>
        </w:rPr>
        <w:t>300001333986srt:WeightedAverageMembereqh:DiscountedCashFlowValuationTechniqueMemberus-gaap:FairValueInputsLevel3Membereqh:GuaranteedInsuranceBenefitsMemberus-gaap:MeasurementInputLapseRateMember2022-06-300001333986srt:WeightedAverageMembereqh:DiscountedCas</w:t>
      </w:r>
      <w:r>
        <w:rPr>
          <w:rFonts w:eastAsia="Times New Roman"/>
          <w:vanish/>
        </w:rPr>
        <w:t>hFlowValuationTechniqueMemberus-gaap:MeasurementInputWithdrawalRateMemberus-gaap:FairValueInputsLevel3Membereqh:GuaranteedInsuranceBenefitsMember2022-06-300001333986srt:WeightedAverageMembereqh:DiscountedCashFlowValuationTechniqueMemberus-gaap:MeasurementI</w:t>
      </w:r>
      <w:r>
        <w:rPr>
          <w:rFonts w:eastAsia="Times New Roman"/>
          <w:vanish/>
        </w:rPr>
        <w:t>nputUtilizationRateMemberus-gaap:FairValueInputsLevel3Membereqh:GuaranteedInsuranceBenefitsMember2022-06-300001333986srt:WeightedAverageMembereqh:DiscountedCashFlowValuationTechniqueMembereqh:MeasurementInputEquityVolatilityMemberus-gaap:FairValueInputsLev</w:t>
      </w:r>
      <w:r>
        <w:rPr>
          <w:rFonts w:eastAsia="Times New Roman"/>
          <w:vanish/>
        </w:rPr>
        <w:t>el3Membereqh:GuaranteedInsuranceBenefitsMember2022-06-300001333986eqh:DiscountedCashFlowValuationTechniqueMemberus-gaap:FairValueInputsLevel3Membereqh:GuaranteedMinimumAnnuityBenefitsMember2022-06-300001333986eqh:DiscountedCashFlowValuationTechniqueMemberu</w:t>
      </w:r>
      <w:r>
        <w:rPr>
          <w:rFonts w:eastAsia="Times New Roman"/>
          <w:vanish/>
        </w:rPr>
        <w:t>s-gaap:FairValueInputsLevel3Membersrt:MinimumMembereqh:GuaranteedMinimumAnnuityBenefitsMemberus-gaap:MeasurementInputLapseRateMember2022-06-300001333986eqh:DiscountedCashFlowValuationTechniqueMembersrt:MaximumMemberus-gaap:FairValueInputsLevel3Membereqh:Gu</w:t>
      </w:r>
      <w:r>
        <w:rPr>
          <w:rFonts w:eastAsia="Times New Roman"/>
          <w:vanish/>
        </w:rPr>
        <w:t>aranteedMinimumAnnuityBenefitsMemberus-gaap:MeasurementInputLapseRateMember2022-06-300001333986eqh:DiscountedCashFlowValuationTechniqueMembereqh:MeasurementInputEquityVolatilityMemberus-gaap:FairValueInputsLevel3Membersrt:MinimumMembereqh:GuaranteedMinimum</w:t>
      </w:r>
      <w:r>
        <w:rPr>
          <w:rFonts w:eastAsia="Times New Roman"/>
          <w:vanish/>
        </w:rPr>
        <w:t>AnnuityBenefitsMember2022-06-300001333986eqh:DiscountedCashFlowValuationTechniqueMembersrt:MaximumMembereqh:MeasurementInputEquityVolatilityMemberus-gaap:FairValueInputsLevel3Membereqh:GuaranteedMinimumAnnuityBenefitsMember2022-06-300001333986eqh:Discounte</w:t>
      </w:r>
      <w:r>
        <w:rPr>
          <w:rFonts w:eastAsia="Times New Roman"/>
          <w:vanish/>
        </w:rPr>
        <w:t>dCashFlowValuationTechniqueMembereqh:MeasurementInputNonperformanceRiskMemberus-gaap:FairValueInputsLevel3Membereqh:GuaranteedMinimumAnnuityBenefitsMember2022-06-300001333986srt:WeightedAverageMembereqh:DiscountedCashFlowValuationTechniqueMemberus-gaap:Fai</w:t>
      </w:r>
      <w:r>
        <w:rPr>
          <w:rFonts w:eastAsia="Times New Roman"/>
          <w:vanish/>
        </w:rPr>
        <w:t>rValueInputsLevel3Membereqh:GuaranteedMinimumAnnuityBenefitsMemberus-gaap:MeasurementInputLapseRateMember2022-06-300001333986srt:WeightedAverageMembereqh:DiscountedCashFlowValuationTechniqueMembereqh:MeasurementInputEquityVolatilityMemberus-gaap:FairValueI</w:t>
      </w:r>
      <w:r>
        <w:rPr>
          <w:rFonts w:eastAsia="Times New Roman"/>
          <w:vanish/>
        </w:rPr>
        <w:t>nputsLevel3Membereqh:GuaranteedMinimumAnnuityBenefitsMember2022-06-300001333986us-gaap:CorporateDebtSecuritiesMemberus-gaap:FairValueInputsLevel3Membereqh:MatrixPricingModelValuationTechniqueMember2021-12-310001333986us-gaap:CorporateDebtSecuritiesMembereq</w:t>
      </w:r>
      <w:r>
        <w:rPr>
          <w:rFonts w:eastAsia="Times New Roman"/>
          <w:vanish/>
        </w:rPr>
        <w:t>h:MeasurementInputSpreadOverBenchmarkMemberus-gaap:FairValueInputsLevel3Membereqh:MatrixPricingModelValuationTechniqueMembersrt:MinimumMember2021-12-310001333986us-gaap:CorporateDebtSecuritiesMembersrt:MaximumMembereqh:MeasurementInputSpreadOverBenchmarkMe</w:t>
      </w:r>
      <w:r>
        <w:rPr>
          <w:rFonts w:eastAsia="Times New Roman"/>
          <w:vanish/>
        </w:rPr>
        <w:t>mberus-gaap:FairValueInputsLevel3Membereqh:MatrixPricingModelValuationTechniqueMember2021-12-310001333986us-gaap:CorporateDebtSecuritiesMembersrt:WeightedAverageMembereqh:MeasurementInputSpreadOverBenchmarkMemberus-gaap:FairValueInputsLevel3Membereqh:Matri</w:t>
      </w:r>
      <w:r>
        <w:rPr>
          <w:rFonts w:eastAsia="Times New Roman"/>
          <w:vanish/>
        </w:rPr>
        <w:t>xPricingModelValuationTechniqueMember2021-12-310001333986us-gaap:CorporateDebtSecuritiesMembereqh:MarketComparableCompaniesValuationTechniqueMemberus-gaap:FairValueInputsLevel3Member2021-12-310001333986us-gaap:CorporateDebtSecuritiesMembereqh:MarketCompara</w:t>
      </w:r>
      <w:r>
        <w:rPr>
          <w:rFonts w:eastAsia="Times New Roman"/>
          <w:vanish/>
        </w:rPr>
        <w:t>bleCompaniesValuationTechniqueMemberus-gaap:MeasurementInputEbitdaMultipleMemberus-gaap:FairValueInputsLevel3Membersrt:MinimumMember2021-12-310001333986us-gaap:CorporateDebtSecuritiesMembersrt:MaximumMembereqh:MarketComparableCompaniesValuationTechniqueMem</w:t>
      </w:r>
      <w:r>
        <w:rPr>
          <w:rFonts w:eastAsia="Times New Roman"/>
          <w:vanish/>
        </w:rPr>
        <w:t>berus-gaap:MeasurementInputEbitdaMultipleMemberus-gaap:FairValueInputsLevel3Member2021-12-310001333986us-gaap:CorporateDebtSecuritiesMembereqh:MarketComparableCompaniesValuationTechniqueMemberus-gaap:FairValueInputsLevel3Memberus-gaap:MeasurementInputDisco</w:t>
      </w:r>
      <w:r>
        <w:rPr>
          <w:rFonts w:eastAsia="Times New Roman"/>
          <w:vanish/>
        </w:rPr>
        <w:t>untRateMembersrt:MinimumMember2021-12-310001333986us-gaap:CorporateDebtSecuritiesMembersrt:MaximumMembereqh:MarketComparableCompaniesValuationTechniqueMemberus-gaap:FairValueInputsLevel3Memberus-gaap:MeasurementInputDiscountRateMember2021-12-310001333986us</w:t>
      </w:r>
      <w:r>
        <w:rPr>
          <w:rFonts w:eastAsia="Times New Roman"/>
          <w:vanish/>
        </w:rPr>
        <w:t>-gaap:CorporateDebtSecuritiesMembereqh:MarketComparableCompaniesValuationTechniqueMemberus-gaap:FairValueInputsLevel3Membereqh:MeasurementInputCashFlowMultiplesMembersrt:MinimumMember2021-12-310001333986us-gaap:CorporateDebtSecuritiesMembersrt:MaximumMembe</w:t>
      </w:r>
      <w:r>
        <w:rPr>
          <w:rFonts w:eastAsia="Times New Roman"/>
          <w:vanish/>
        </w:rPr>
        <w:t>reqh:MarketComparableCompaniesValuationTechniqueMemberus-gaap:FairValueInputsLevel3Membereqh:MeasurementInputCashFlowMultiplesMember2021-12-310001333986us-gaap:CorporateDebtSecuritiesMembereqh:MarketComparableCompaniesValuationTechniqueMemberus-gaap:FairVa</w:t>
      </w:r>
      <w:r>
        <w:rPr>
          <w:rFonts w:eastAsia="Times New Roman"/>
          <w:vanish/>
        </w:rPr>
        <w:t>lueInputsLevel3Membersrt:MinimumMembereqh:MeasurementInputLoanToValueMember2021-12-310001333986us-gaap:CorporateDebtSecuritiesMembersrt:MaximumMembereqh:MarketComparableCompaniesValuationTechniqueMemberus-gaap:FairValueInputsLevel3Membereqh:MeasurementInpu</w:t>
      </w:r>
      <w:r>
        <w:rPr>
          <w:rFonts w:eastAsia="Times New Roman"/>
          <w:vanish/>
        </w:rPr>
        <w:t>tLoanToValueMember2021-12-310001333986us-gaap:CorporateDebtSecuritiesMembersrt:WeightedAverageMembereqh:MarketComparableCompaniesValuationTechniqueMemberus-gaap:MeasurementInputEbitdaMultipleMemberus-gaap:FairValueInputsLevel3Member2021-12-310001333986us-g</w:t>
      </w:r>
      <w:r>
        <w:rPr>
          <w:rFonts w:eastAsia="Times New Roman"/>
          <w:vanish/>
        </w:rPr>
        <w:t>aap:CorporateDebtSecuritiesMembersrt:WeightedAverageMembereqh:MarketComparableCompaniesValuationTechniqueMemberus-gaap:FairValueInputsLevel3Memberus-gaap:MeasurementInputDiscountRateMember2021-12-310001333986us-gaap:CorporateDebtSecuritiesMembersrt:Weighte</w:t>
      </w:r>
      <w:r>
        <w:rPr>
          <w:rFonts w:eastAsia="Times New Roman"/>
          <w:vanish/>
        </w:rPr>
        <w:t>dAverageMembereqh:MarketComparableCompaniesValuationTechniqueMemberus-gaap:FairValueInputsLevel3Membereqh:MeasurementInputCashFlowMultiplesMember2021-12-310001333986us-gaap:CorporateDebtSecuritiesMembersrt:WeightedAverageMembereqh:MarketComparableCompanies</w:t>
      </w:r>
      <w:r>
        <w:rPr>
          <w:rFonts w:eastAsia="Times New Roman"/>
          <w:vanish/>
        </w:rPr>
        <w:t>ValuationTechniqueMemberus-gaap:FairValueInputsLevel3Membereqh:MeasurementInputLoanToValueMember2021-12-310001333986eqh:DiscountedCashFlowValuationTechniqueMembereqh:TradingSecuritiesMemberus-gaap:FairValueInputsLevel3Member2021-12-310001333986eqh:Discount</w:t>
      </w:r>
      <w:r>
        <w:rPr>
          <w:rFonts w:eastAsia="Times New Roman"/>
          <w:vanish/>
        </w:rPr>
        <w:t>edCashFlowValuationTechniqueMembereqh:TradingSecuritiesMemberus-gaap:MeasurementInputRevenueMultipleMemberus-gaap:FairValueInputsLevel3Member2021-12-310001333986eqh:DiscountedCashFlowValuationTechniqueMembereqh:TradingSecuritiesMemberus-gaap:FairValueInput</w:t>
      </w:r>
      <w:r>
        <w:rPr>
          <w:rFonts w:eastAsia="Times New Roman"/>
          <w:vanish/>
        </w:rPr>
        <w:t>sLevel3Membereqh:MeasurementInputsDiscountFactorMember2021-12-310001333986eqh:DiscountedCashFlowValuationTechniqueMembereqh:TradingSecuritiesMemberus-gaap:FairValueInputsLevel3Member2021-01-012021-12-310001333986us-gaap:EquityMethodInvestmentsMembereqh:Mar</w:t>
      </w:r>
      <w:r>
        <w:rPr>
          <w:rFonts w:eastAsia="Times New Roman"/>
          <w:vanish/>
        </w:rPr>
        <w:t>ketComparableCompaniesValuationTechniqueMemberus-gaap:FairValueInputsLevel3Member2021-12-310001333986us-gaap:EquityMethodInvestmentsMembereqh:MarketComparableCompaniesValuationTechniqueMemberus-gaap:MeasurementInputRevenueMultipleMemberus-gaap:FairValueInp</w:t>
      </w:r>
      <w:r>
        <w:rPr>
          <w:rFonts w:eastAsia="Times New Roman"/>
          <w:vanish/>
        </w:rPr>
        <w:t>utsLevel3Membersrt:MinimumMember2021-12-310001333986us-gaap:EquityMethodInvestmentsMembersrt:MaximumMembereqh:MarketComparableCompaniesValuationTechniqueMemberus-gaap:MeasurementInputRevenueMultipleMemberus-gaap:FairValueInputsLevel3Member2021-12-310001333</w:t>
      </w:r>
      <w:r>
        <w:rPr>
          <w:rFonts w:eastAsia="Times New Roman"/>
          <w:vanish/>
        </w:rPr>
        <w:t>986srt:WeightedAverageMemberus-gaap:EquityMethodInvestmentsMembereqh:MarketComparableCompaniesValuationTechniqueMemberus-gaap:MeasurementInputRevenueMultipleMemberus-gaap:FairValueInputsLevel3Member2021-12-310001333986eqh:DiscountedCashFlowValuationTechniq</w:t>
      </w:r>
      <w:r>
        <w:rPr>
          <w:rFonts w:eastAsia="Times New Roman"/>
          <w:vanish/>
        </w:rPr>
        <w:t>ueMembereqh:EmbeddedDerivativeGMIBReinsuranceMemberus-gaap:FairValueInputsLevel3Member2021-12-310001333986eqh:DiscountedCashFlowValuationTechniqueMembereqh:EmbeddedDerivativeGMIBReinsuranceMembereqh:MeasurementInputNonperformanceRiskMemberus-gaap:FairValue</w:t>
      </w:r>
      <w:r>
        <w:rPr>
          <w:rFonts w:eastAsia="Times New Roman"/>
          <w:vanish/>
        </w:rPr>
        <w:t>InputsLevel3Membersrt:MinimumMember2021-12-310001333986eqh:DiscountedCashFlowValuationTechniqueMembersrt:MaximumMembereqh:EmbeddedDerivativeGMIBReinsuranceMembereqh:MeasurementInputNonperformanceRiskMemberus-gaap:FairValueInputsLevel3Member2021-12-31000133</w:t>
      </w:r>
      <w:r>
        <w:rPr>
          <w:rFonts w:eastAsia="Times New Roman"/>
          <w:vanish/>
        </w:rPr>
        <w:t>3986eqh:DiscountedCashFlowValuationTechniqueMembereqh:EmbeddedDerivativeGMIBReinsuranceMemberus-gaap:FairValueInputsLevel3Membersrt:MinimumMemberus-gaap:MeasurementInputLapseRateMember2021-12-310001333986eqh:DiscountedCashFlowValuationTechniqueMembersrt:Ma</w:t>
      </w:r>
      <w:r>
        <w:rPr>
          <w:rFonts w:eastAsia="Times New Roman"/>
          <w:vanish/>
        </w:rPr>
        <w:t>ximumMembereqh:EmbeddedDerivativeGMIBReinsuranceMemberus-gaap:FairValueInputsLevel3Memberus-gaap:MeasurementInputLapseRateMember2021-12-310001333986eqh:DiscountedCashFlowValuationTechniqueMemberus-gaap:MeasurementInputWithdrawalRateMembereqh:EmbeddedDeriva</w:t>
      </w:r>
      <w:r>
        <w:rPr>
          <w:rFonts w:eastAsia="Times New Roman"/>
          <w:vanish/>
        </w:rPr>
        <w:t>tiveGMIBReinsuranceMemberus-gaap:FairValueInputsLevel3Membersrt:MinimumMember2021-12-310001333986eqh:DiscountedCashFlowValuationTechniqueMembersrt:MaximumMemberus-gaap:MeasurementInputWithdrawalRateMembereqh:EmbeddedDerivativeGMIBReinsuranceMemberus-gaap:F</w:t>
      </w:r>
      <w:r>
        <w:rPr>
          <w:rFonts w:eastAsia="Times New Roman"/>
          <w:vanish/>
        </w:rPr>
        <w:t>airValueInputsLevel3Member2021-12-310001333986eqh:DiscountedCashFlowValuationTechniqueMembereqh:EmbeddedDerivativeGMIBReinsuranceMemberus-gaap:MeasurementInputUtilizationRateMemberus-gaap:FairValueInputsLevel3Membersrt:MinimumMember2021-12-310001333986eqh:</w:t>
      </w:r>
      <w:r>
        <w:rPr>
          <w:rFonts w:eastAsia="Times New Roman"/>
          <w:vanish/>
        </w:rPr>
        <w:t>DiscountedCashFlowValuationTechniqueMembersrt:MaximumMembereqh:EmbeddedDerivativeGMIBReinsuranceMemberus-gaap:MeasurementInputUtilizationRateMemberus-gaap:FairValueInputsLevel3Member2021-12-310001333986eqh:DiscountedCashFlowValuationTechniqueMembereqh:Embe</w:t>
      </w:r>
      <w:r>
        <w:rPr>
          <w:rFonts w:eastAsia="Times New Roman"/>
          <w:vanish/>
        </w:rPr>
        <w:t>ddedDerivativeGMIBReinsuranceMembereqh:MeasurementInputEquityVolatilityMemberus-gaap:FairValueInputsLevel3Membersrt:MinimumMember2021-12-310001333986eqh:DiscountedCashFlowValuationTechniqueMembersrt:MaximumMembereqh:EmbeddedDerivativeGMIBReinsuranceMembere</w:t>
      </w:r>
      <w:r>
        <w:rPr>
          <w:rFonts w:eastAsia="Times New Roman"/>
          <w:vanish/>
        </w:rPr>
        <w:t>qh:MeasurementInputEquityVolatilityMemberus-gaap:FairValueInputsLevel3Member2021-12-310001333986eqh:DiscountedCashFlowValuationTechniqueMemberus-gaap:MeasurementInputMortalityRateMembereqh:EmbeddedDerivativeGMIBReinsuranceMemberus-gaap:FairValueInputsLevel</w:t>
      </w:r>
      <w:r>
        <w:rPr>
          <w:rFonts w:eastAsia="Times New Roman"/>
          <w:vanish/>
        </w:rPr>
        <w:t>3Membereqh:RangeOneMembersrt:MinimumMember2021-12-310001333986eqh:DiscountedCashFlowValuationTechniqueMembersrt:MaximumMemberus-gaap:MeasurementInputMortalityRateMembereqh:EmbeddedDerivativeGMIBReinsuranceMemberus-gaap:FairValueInputsLevel3Membereqh:RangeO</w:t>
      </w:r>
      <w:r>
        <w:rPr>
          <w:rFonts w:eastAsia="Times New Roman"/>
          <w:vanish/>
        </w:rPr>
        <w:t>neMember2021-12-310001333986eqh:DiscountedCashFlowValuationTechniqueMembereqh:RangeTwoMemberus-gaap:MeasurementInputMortalityRateMembereqh:EmbeddedDerivativeGMIBReinsuranceMemberus-gaap:FairValueInputsLevel3Membersrt:MinimumMember2021-12-310001333986eqh:Di</w:t>
      </w:r>
      <w:r>
        <w:rPr>
          <w:rFonts w:eastAsia="Times New Roman"/>
          <w:vanish/>
        </w:rPr>
        <w:t>scountedCashFlowValuationTechniqueMembersrt:MaximumMembereqh:RangeTwoMemberus-gaap:MeasurementInputMortalityRateMembereqh:EmbeddedDerivativeGMIBReinsuranceMemberus-gaap:FairValueInputsLevel3Member2021-12-310001333986eqh:RangeThreeMembereqh:DiscountedCashFl</w:t>
      </w:r>
      <w:r>
        <w:rPr>
          <w:rFonts w:eastAsia="Times New Roman"/>
          <w:vanish/>
        </w:rPr>
        <w:t>owValuationTechniqueMemberus-gaap:MeasurementInputMortalityRateMembereqh:EmbeddedDerivativeGMIBReinsuranceMemberus-gaap:FairValueInputsLevel3Membersrt:MinimumMember2021-12-310001333986eqh:RangeThreeMembereqh:DiscountedCashFlowValuationTechniqueMembersrt:Ma</w:t>
      </w:r>
      <w:r>
        <w:rPr>
          <w:rFonts w:eastAsia="Times New Roman"/>
          <w:vanish/>
        </w:rPr>
        <w:t>ximumMemberus-gaap:MeasurementInputMortalityRateMembereqh:EmbeddedDerivativeGMIBReinsuranceMemberus-gaap:FairValueInputsLevel3Member2021-12-310001333986srt:WeightedAverageMembereqh:DiscountedCashFlowValuationTechniqueMembereqh:EmbeddedDerivativeGMIBReinsur</w:t>
      </w:r>
      <w:r>
        <w:rPr>
          <w:rFonts w:eastAsia="Times New Roman"/>
          <w:vanish/>
        </w:rPr>
        <w:t>anceMembereqh:MeasurementInputNonperformanceRiskMemberus-gaap:FairValueInputsLevel3Member2021-12-310001333986srt:WeightedAverageMembereqh:DiscountedCashFlowValuationTechniqueMembereqh:EmbeddedDerivativeGMIBReinsuranceMemberus-gaap:FairValueInputsLevel3Memb</w:t>
      </w:r>
      <w:r>
        <w:rPr>
          <w:rFonts w:eastAsia="Times New Roman"/>
          <w:vanish/>
        </w:rPr>
        <w:t>erus-gaap:MeasurementInputLapseRateMember2021-12-310001333986srt:WeightedAverageMembereqh:DiscountedCashFlowValuationTechniqueMemberus-gaap:MeasurementInputWithdrawalRateMembereqh:EmbeddedDerivativeGMIBReinsuranceMemberus-gaap:FairValueInputsLevel3Member20</w:t>
      </w:r>
      <w:r>
        <w:rPr>
          <w:rFonts w:eastAsia="Times New Roman"/>
          <w:vanish/>
        </w:rPr>
        <w:t>21-12-310001333986srt:WeightedAverageMembereqh:DiscountedCashFlowValuationTechniqueMembereqh:EmbeddedDerivativeGMIBReinsuranceMemberus-gaap:MeasurementInputUtilizationRateMemberus-gaap:FairValueInputsLevel3Member2021-12-310001333986srt:WeightedAverageMembe</w:t>
      </w:r>
      <w:r>
        <w:rPr>
          <w:rFonts w:eastAsia="Times New Roman"/>
          <w:vanish/>
        </w:rPr>
        <w:t>reqh:DiscountedCashFlowValuationTechniqueMembereqh:EmbeddedDerivativeGMIBReinsuranceMembereqh:MeasurementInputEquityVolatilityMemberus-gaap:FairValueInputsLevel3Member2021-12-310001333986srt:WeightedAverageMembereqh:DiscountedCashFlowValuationTechniqueMemb</w:t>
      </w:r>
      <w:r>
        <w:rPr>
          <w:rFonts w:eastAsia="Times New Roman"/>
          <w:vanish/>
        </w:rPr>
        <w:t>ereqh:RangeTwoMemberus-gaap:MeasurementInputMortalityRateMembereqh:EmbeddedDerivativeGMIBReinsuranceMemberus-gaap:FairValueInputsLevel3Member2021-12-310001333986eqh:RangeThreeMembersrt:WeightedAverageMembereqh:DiscountedCashFlowValuationTechniqueMemberus-g</w:t>
      </w:r>
      <w:r>
        <w:rPr>
          <w:rFonts w:eastAsia="Times New Roman"/>
          <w:vanish/>
        </w:rPr>
        <w:t>aap:MeasurementInputMortalityRateMembereqh:EmbeddedDerivativeGMIBReinsuranceMemberus-gaap:FairValueInputsLevel3Member2021-12-310001333986srt:WeightedAverageMembereqh:DiscountedCashFlowValuationTechniqueMemberus-gaap:MeasurementInputMortalityRateMembereqh:E</w:t>
      </w:r>
      <w:r>
        <w:rPr>
          <w:rFonts w:eastAsia="Times New Roman"/>
          <w:vanish/>
        </w:rPr>
        <w:t>mbeddedDerivativeGMIBReinsuranceMemberus-gaap:FairValueInputsLevel3Membereqh:RangeOneMember2021-12-310001333986eqh:DiscountedCashFlowValuationTechniqueMembereqh:EmbeddedDerivativeDueFromReinsuranceReinsurersMemberus-gaap:FairValueInputsLevel3Member2021-12-</w:t>
      </w:r>
      <w:r>
        <w:rPr>
          <w:rFonts w:eastAsia="Times New Roman"/>
          <w:vanish/>
        </w:rPr>
        <w:t>310001333986eqh:DiscountedCashFlowValuationTechniqueMembereqh:EmbeddedDerivativeDueFromReinsuranceReinsurersMemberus-gaap:FairValueInputsLevel3Membersrt:MinimumMemberus-gaap:MeasurementInputLapseRateMember2021-12-310001333986eqh:DiscountedCashFlowValuation</w:t>
      </w:r>
      <w:r>
        <w:rPr>
          <w:rFonts w:eastAsia="Times New Roman"/>
          <w:vanish/>
        </w:rPr>
        <w:t>TechniqueMembersrt:MaximumMembereqh:EmbeddedDerivativeDueFromReinsuranceReinsurersMemberus-gaap:FairValueInputsLevel3Memberus-gaap:MeasurementInputLapseRateMember2021-12-310001333986eqh:DiscountedCashFlowValuationTechniqueMemberus-gaap:MeasurementInputWith</w:t>
      </w:r>
      <w:r>
        <w:rPr>
          <w:rFonts w:eastAsia="Times New Roman"/>
          <w:vanish/>
        </w:rPr>
        <w:t>drawalRateMembereqh:EmbeddedDerivativeDueFromReinsuranceReinsurersMemberus-gaap:FairValueInputsLevel3Membersrt:MinimumMember2021-12-310001333986eqh:DiscountedCashFlowValuationTechniqueMembersrt:MaximumMemberus-gaap:MeasurementInputWithdrawalRateMembereqh:E</w:t>
      </w:r>
      <w:r>
        <w:rPr>
          <w:rFonts w:eastAsia="Times New Roman"/>
          <w:vanish/>
        </w:rPr>
        <w:t>mbeddedDerivativeDueFromReinsuranceReinsurersMemberus-gaap:FairValueInputsLevel3Member2021-12-310001333986eqh:DiscountedCashFlowValuationTechniqueMemberus-gaap:MeasurementInputUtilizationRateMembereqh:EmbeddedDerivativeDueFromReinsuranceReinsurersMemberus-</w:t>
      </w:r>
      <w:r>
        <w:rPr>
          <w:rFonts w:eastAsia="Times New Roman"/>
          <w:vanish/>
        </w:rPr>
        <w:t>gaap:FairValueInputsLevel3Membersrt:MinimumMember2021-12-310001333986eqh:DiscountedCashFlowValuationTechniqueMembersrt:MaximumMemberus-gaap:MeasurementInputUtilizationRateMembereqh:EmbeddedDerivativeDueFromReinsuranceReinsurersMemberus-gaap:FairValueInputs</w:t>
      </w:r>
      <w:r>
        <w:rPr>
          <w:rFonts w:eastAsia="Times New Roman"/>
          <w:vanish/>
        </w:rPr>
        <w:t>Level3Member2021-12-310001333986eqh:DiscountedCashFlowValuationTechniqueMembereqh:MeasurementInputNonperformanceRiskMembereqh:EmbeddedDerivativeDueFromReinsuranceReinsurersMemberus-gaap:FairValueInputsLevel3Member2021-12-310001333986eqh:DiscountedCashFlowV</w:t>
      </w:r>
      <w:r>
        <w:rPr>
          <w:rFonts w:eastAsia="Times New Roman"/>
          <w:vanish/>
        </w:rPr>
        <w:t>aluationTechniqueMembereqh:MeasurementInputEquityVolatilityMembereqh:EmbeddedDerivativeDueFromReinsuranceReinsurersMemberus-gaap:FairValueInputsLevel3Membersrt:MinimumMember2021-12-310001333986eqh:DiscountedCashFlowValuationTechniqueMembersrt:MaximumMember</w:t>
      </w:r>
      <w:r>
        <w:rPr>
          <w:rFonts w:eastAsia="Times New Roman"/>
          <w:vanish/>
        </w:rPr>
        <w:t>eqh:MeasurementInputEquityVolatilityMembereqh:EmbeddedDerivativeDueFromReinsuranceReinsurersMemberus-gaap:FairValueInputsLevel3Member2021-12-310001333986eqh:DiscountedCashFlowValuationTechniqueMemberus-gaap:MeasurementInputMortalityRateMembereqh:EmbeddedDe</w:t>
      </w:r>
      <w:r>
        <w:rPr>
          <w:rFonts w:eastAsia="Times New Roman"/>
          <w:vanish/>
        </w:rPr>
        <w:t>rivativeDueFromReinsuranceReinsurersMemberus-gaap:FairValueInputsLevel3Membereqh:RangeOneMembersrt:MinimumMember2021-12-310001333986eqh:DiscountedCashFlowValuationTechniqueMembersrt:MaximumMemberus-gaap:MeasurementInputMortalityRateMembereqh:EmbeddedDeriva</w:t>
      </w:r>
      <w:r>
        <w:rPr>
          <w:rFonts w:eastAsia="Times New Roman"/>
          <w:vanish/>
        </w:rPr>
        <w:t>tiveDueFromReinsuranceReinsurersMemberus-gaap:FairValueInputsLevel3Membereqh:RangeOneMember2021-12-310001333986eqh:DiscountedCashFlowValuationTechniqueMembereqh:RangeTwoMemberus-gaap:MeasurementInputMortalityRateMembereqh:EmbeddedDerivativeDueFromReinsuran</w:t>
      </w:r>
      <w:r>
        <w:rPr>
          <w:rFonts w:eastAsia="Times New Roman"/>
          <w:vanish/>
        </w:rPr>
        <w:t>ceReinsurersMemberus-gaap:FairValueInputsLevel3Membersrt:MinimumMember2021-12-310001333986eqh:DiscountedCashFlowValuationTechniqueMembersrt:MaximumMembereqh:RangeTwoMemberus-gaap:MeasurementInputMortalityRateMembereqh:EmbeddedDerivativeDueFromReinsuranceRe</w:t>
      </w:r>
      <w:r>
        <w:rPr>
          <w:rFonts w:eastAsia="Times New Roman"/>
          <w:vanish/>
        </w:rPr>
        <w:t>insurersMemberus-gaap:FairValueInputsLevel3Member2021-12-310001333986eqh:RangeThreeMembereqh:DiscountedCashFlowValuationTechniqueMemberus-gaap:MeasurementInputMortalityRateMembereqh:EmbeddedDerivativeDueFromReinsuranceReinsurersMemberus-gaap:FairValueInput</w:t>
      </w:r>
      <w:r>
        <w:rPr>
          <w:rFonts w:eastAsia="Times New Roman"/>
          <w:vanish/>
        </w:rPr>
        <w:t>sLevel3Membersrt:MinimumMember2021-12-310001333986eqh:RangeThreeMembereqh:DiscountedCashFlowValuationTechniqueMembersrt:MaximumMemberus-gaap:MeasurementInputMortalityRateMembereqh:EmbeddedDerivativeDueFromReinsuranceReinsurersMemberus-gaap:FairValueInputsL</w:t>
      </w:r>
      <w:r>
        <w:rPr>
          <w:rFonts w:eastAsia="Times New Roman"/>
          <w:vanish/>
        </w:rPr>
        <w:t>evel3Member2021-12-310001333986srt:WeightedAverageMembereqh:DiscountedCashFlowValuationTechniqueMembereqh:EmbeddedDerivativeDueFromReinsuranceReinsurersMemberus-gaap:FairValueInputsLevel3Memberus-gaap:MeasurementInputLapseRateMember2021-12-310001333986srt:</w:t>
      </w:r>
      <w:r>
        <w:rPr>
          <w:rFonts w:eastAsia="Times New Roman"/>
          <w:vanish/>
        </w:rPr>
        <w:t>WeightedAverageMembereqh:DiscountedCashFlowValuationTechniqueMemberus-gaap:MeasurementInputWithdrawalRateMembereqh:EmbeddedDerivativeDueFromReinsuranceReinsurersMemberus-gaap:FairValueInputsLevel3Member2021-12-310001333986srt:WeightedAverageMembereqh:Disco</w:t>
      </w:r>
      <w:r>
        <w:rPr>
          <w:rFonts w:eastAsia="Times New Roman"/>
          <w:vanish/>
        </w:rPr>
        <w:t>untedCashFlowValuationTechniqueMemberus-gaap:MeasurementInputUtilizationRateMembereqh:EmbeddedDerivativeDueFromReinsuranceReinsurersMemberus-gaap:FairValueInputsLevel3Member2021-12-310001333986srt:WeightedAverageMembereqh:DiscountedCashFlowValuationTechniq</w:t>
      </w:r>
      <w:r>
        <w:rPr>
          <w:rFonts w:eastAsia="Times New Roman"/>
          <w:vanish/>
        </w:rPr>
        <w:t>ueMembereqh:MeasurementInputNonperformanceRiskMembereqh:EmbeddedDerivativeDueFromReinsuranceReinsurersMemberus-gaap:FairValueInputsLevel3Member2021-12-310001333986srt:WeightedAverageMembereqh:DiscountedCashFlowValuationTechniqueMembereqh:MeasurementInputEq</w:t>
      </w:r>
      <w:r>
        <w:rPr>
          <w:rFonts w:eastAsia="Times New Roman"/>
          <w:vanish/>
        </w:rPr>
        <w:t>uityVolatilityMembereqh:EmbeddedDerivativeDueFromReinsuranceReinsurersMemberus-gaap:FairValueInputsLevel3Member2021-12-310001333986srt:WeightedAverageMembereqh:DiscountedCashFlowValuationTechniqueMembereqh:RangeTwoMemberus-gaap:MeasurementInputMortalityRat</w:t>
      </w:r>
      <w:r>
        <w:rPr>
          <w:rFonts w:eastAsia="Times New Roman"/>
          <w:vanish/>
        </w:rPr>
        <w:t>eMembereqh:EmbeddedDerivativeDueFromReinsuranceReinsurersMemberus-gaap:FairValueInputsLevel3Member2021-12-310001333986eqh:RangeThreeMembersrt:WeightedAverageMembereqh:DiscountedCashFlowValuationTechniqueMemberus-gaap:MeasurementInputMortalityRateMembereqh:</w:t>
      </w:r>
      <w:r>
        <w:rPr>
          <w:rFonts w:eastAsia="Times New Roman"/>
          <w:vanish/>
        </w:rPr>
        <w:t>EmbeddedDerivativeDueFromReinsuranceReinsurersMemberus-gaap:FairValueInputsLevel3Member2021-12-310001333986srt:WeightedAverageMembereqh:DiscountedCashFlowValuationTechniqueMemberus-gaap:MeasurementInputMortalityRateMembereqh:EmbeddedDerivativeDueFromReinsu</w:t>
      </w:r>
      <w:r>
        <w:rPr>
          <w:rFonts w:eastAsia="Times New Roman"/>
          <w:vanish/>
        </w:rPr>
        <w:t>ranceReinsurersMemberus-gaap:FairValueInputsLevel3Membereqh:RangeOneMember2021-12-310001333986eqh:DiscountedCashFlowValuationTechniqueMembereqh:AllianceBernsteinMemberus-gaap:FairValueInputsLevel3Member2021-12-310001333986eqh:DiscountedCashFlowValuationTec</w:t>
      </w:r>
      <w:r>
        <w:rPr>
          <w:rFonts w:eastAsia="Times New Roman"/>
          <w:vanish/>
        </w:rPr>
        <w:t>hniqueMembereqh:AllianceBernsteinMemberus-gaap:MeasurementInputLongTermRevenueGrowthRateMemberus-gaap:FairValueInputsLevel3Membersrt:MinimumMember2021-12-310001333986eqh:DiscountedCashFlowValuationTechniqueMembereqh:AllianceBernsteinMembersrt:MaximumMember</w:t>
      </w:r>
      <w:r>
        <w:rPr>
          <w:rFonts w:eastAsia="Times New Roman"/>
          <w:vanish/>
        </w:rPr>
        <w:t>us-gaap:MeasurementInputLongTermRevenueGrowthRateMemberus-gaap:FairValueInputsLevel3Member2021-12-310001333986eqh:DiscountedCashFlowValuationTechniqueMembereqh:AllianceBernsteinMemberus-gaap:FairValueInputsLevel3Memberus-gaap:MeasurementInputDiscountRateMe</w:t>
      </w:r>
      <w:r>
        <w:rPr>
          <w:rFonts w:eastAsia="Times New Roman"/>
          <w:vanish/>
        </w:rPr>
        <w:t>mbersrt:MinimumMember2021-12-310001333986eqh:DiscountedCashFlowValuationTechniqueMembereqh:AllianceBernsteinMembersrt:MaximumMemberus-gaap:FairValueInputsLevel3Memberus-gaap:MeasurementInputDiscountRateMember2021-12-310001333986srt:WeightedAverageMembereqh</w:t>
      </w:r>
      <w:r>
        <w:rPr>
          <w:rFonts w:eastAsia="Times New Roman"/>
          <w:vanish/>
        </w:rPr>
        <w:t>:DiscountedCashFlowValuationTechniqueMembereqh:AllianceBernsteinMemberus-gaap:MeasurementInputLongTermRevenueGrowthRateMemberus-gaap:FairValueInputsLevel3Member2021-12-310001333986srt:WeightedAverageMembereqh:DiscountedCashFlowValuationTechniqueMembereqh:A</w:t>
      </w:r>
      <w:r>
        <w:rPr>
          <w:rFonts w:eastAsia="Times New Roman"/>
          <w:vanish/>
        </w:rPr>
        <w:t>llianceBernsteinMemberus-gaap:FairValueInputsLevel3Memberus-gaap:MeasurementInputDiscountRateMember2021-12-310001333986eqh:GuaranteedMinimumInsuranceBenefitsnoLapseGuaranteeMembereqh:DiscountedCashFlowValuationTechniqueMemberus-gaap:FairValueInputsLevel3Me</w:t>
      </w:r>
      <w:r>
        <w:rPr>
          <w:rFonts w:eastAsia="Times New Roman"/>
          <w:vanish/>
        </w:rPr>
        <w:t>mber2021-12-310001333986eqh:GuaranteedMinimumInsuranceBenefitsnoLapseGuaranteeMembereqh:DiscountedCashFlowValuationTechniqueMembereqh:MeasurementInputNonperformanceRiskMemberus-gaap:FairValueInputsLevel3Member2021-12-310001333986eqh:GuaranteedMinimumInsura</w:t>
      </w:r>
      <w:r>
        <w:rPr>
          <w:rFonts w:eastAsia="Times New Roman"/>
          <w:vanish/>
        </w:rPr>
        <w:t>nceBenefitsnoLapseGuaranteeMembereqh:DiscountedCashFlowValuationTechniqueMemberus-gaap:FairValueInputsLevel3Membersrt:MinimumMemberus-gaap:MeasurementInputLapseRateMember2021-12-310001333986eqh:GuaranteedMinimumInsuranceBenefitsnoLapseGuaranteeMembereqh:Di</w:t>
      </w:r>
      <w:r>
        <w:rPr>
          <w:rFonts w:eastAsia="Times New Roman"/>
          <w:vanish/>
        </w:rPr>
        <w:t>scountedCashFlowValuationTechniqueMembersrt:MaximumMemberus-gaap:FairValueInputsLevel3Memberus-gaap:MeasurementInputLapseRateMember2021-12-310001333986eqh:GuaranteedMinimumInsuranceBenefitsnoLapseGuaranteeMembereqh:DiscountedCashFlowValuationTechniqueMembe</w:t>
      </w:r>
      <w:r>
        <w:rPr>
          <w:rFonts w:eastAsia="Times New Roman"/>
          <w:vanish/>
        </w:rPr>
        <w:t>rus-gaap:MeasurementInputWithdrawalRateMemberus-gaap:FairValueInputsLevel3Membersrt:MinimumMember2021-12-310001333986eqh:GuaranteedMinimumInsuranceBenefitsnoLapseGuaranteeMembereqh:DiscountedCashFlowValuationTechniqueMembersrt:MaximumMemberus-gaap:Measurem</w:t>
      </w:r>
      <w:r>
        <w:rPr>
          <w:rFonts w:eastAsia="Times New Roman"/>
          <w:vanish/>
        </w:rPr>
        <w:t>entInputWithdrawalRateMemberus-gaap:FairValueInputsLevel3Member2021-12-310001333986eqh:GuaranteedMinimumInsuranceBenefitsnoLapseGuaranteeMembereqh:DiscountedCashFlowValuationTechniqueMemberus-gaap:FairValueInputsLevel3Membersrt:MinimumMembereqh:Measurement</w:t>
      </w:r>
      <w:r>
        <w:rPr>
          <w:rFonts w:eastAsia="Times New Roman"/>
          <w:vanish/>
        </w:rPr>
        <w:t>InputAnnuitizationRateMember2021-12-310001333986eqh:GuaranteedMinimumInsuranceBenefitsnoLapseGuaranteeMembereqh:DiscountedCashFlowValuationTechniqueMembersrt:MaximumMemberus-gaap:FairValueInputsLevel3Membereqh:MeasurementInputAnnuitizationRateMember2021-12</w:t>
      </w:r>
      <w:r>
        <w:rPr>
          <w:rFonts w:eastAsia="Times New Roman"/>
          <w:vanish/>
        </w:rPr>
        <w:t>-310001333986eqh:GuaranteedMinimumInsuranceBenefitsnoLapseGuaranteeMembereqh:DiscountedCashFlowValuationTechniqueMemberus-gaap:MeasurementInputMortalityRateMemberus-gaap:FairValueInputsLevel3Membereqh:RangeOneMembersrt:MinimumMember2021-12-310001333986eqh:</w:t>
      </w:r>
      <w:r>
        <w:rPr>
          <w:rFonts w:eastAsia="Times New Roman"/>
          <w:vanish/>
        </w:rPr>
        <w:t>GuaranteedMinimumInsuranceBenefitsnoLapseGuaranteeMembereqh:DiscountedCashFlowValuationTechniqueMembersrt:MaximumMemberus-gaap:MeasurementInputMortalityRateMemberus-gaap:FairValueInputsLevel3Membereqh:RangeOneMember2021-12-310001333986eqh:GuaranteedMinimum</w:t>
      </w:r>
      <w:r>
        <w:rPr>
          <w:rFonts w:eastAsia="Times New Roman"/>
          <w:vanish/>
        </w:rPr>
        <w:t>InsuranceBenefitsnoLapseGuaranteeMembereqh:DiscountedCashFlowValuationTechniqueMembereqh:RangeTwoMemberus-gaap:MeasurementInputMortalityRateMemberus-gaap:FairValueInputsLevel3Membersrt:MinimumMember2021-12-310001333986eqh:GuaranteedMinimumInsuranceBenefits</w:t>
      </w:r>
      <w:r>
        <w:rPr>
          <w:rFonts w:eastAsia="Times New Roman"/>
          <w:vanish/>
        </w:rPr>
        <w:t>noLapseGuaranteeMembereqh:DiscountedCashFlowValuationTechniqueMembersrt:MaximumMembereqh:RangeTwoMemberus-gaap:MeasurementInputMortalityRateMemberus-gaap:FairValueInputsLevel3Member2021-12-310001333986eqh:GuaranteedMinimumInsuranceBenefitsnoLapseGuaranteeM</w:t>
      </w:r>
      <w:r>
        <w:rPr>
          <w:rFonts w:eastAsia="Times New Roman"/>
          <w:vanish/>
        </w:rPr>
        <w:t>embereqh:RangeThreeMembereqh:DiscountedCashFlowValuationTechniqueMemberus-gaap:MeasurementInputMortalityRateMemberus-gaap:FairValueInputsLevel3Membersrt:MinimumMember2021-12-310001333986eqh:GuaranteedMinimumInsuranceBenefitsnoLapseGuaranteeMembereqh:RangeT</w:t>
      </w:r>
      <w:r>
        <w:rPr>
          <w:rFonts w:eastAsia="Times New Roman"/>
          <w:vanish/>
        </w:rPr>
        <w:t>hreeMembereqh:DiscountedCashFlowValuationTechniqueMembersrt:MaximumMemberus-gaap:MeasurementInputMortalityRateMemberus-gaap:FairValueInputsLevel3Member2021-12-310001333986eqh:GuaranteedMinimumInsuranceBenefitsnoLapseGuaranteeMembersrt:WeightedAverageMember</w:t>
      </w:r>
      <w:r>
        <w:rPr>
          <w:rFonts w:eastAsia="Times New Roman"/>
          <w:vanish/>
        </w:rPr>
        <w:t>eqh:DiscountedCashFlowValuationTechniqueMembereqh:MeasurementInputNonperformanceRiskMemberus-gaap:FairValueInputsLevel3Member2021-12-310001333986eqh:GuaranteedMinimumInsuranceBenefitsnoLapseGuaranteeMembersrt:WeightedAverageMembereqh:DiscountedCashFlowValu</w:t>
      </w:r>
      <w:r>
        <w:rPr>
          <w:rFonts w:eastAsia="Times New Roman"/>
          <w:vanish/>
        </w:rPr>
        <w:t>ationTechniqueMemberus-gaap:FairValueInputsLevel3Memberus-gaap:MeasurementInputLapseRateMember2021-12-310001333986eqh:GuaranteedMinimumInsuranceBenefitsnoLapseGuaranteeMembersrt:WeightedAverageMembereqh:DiscountedCashFlowValuationTechniqueMemberus-gaap:Mea</w:t>
      </w:r>
      <w:r>
        <w:rPr>
          <w:rFonts w:eastAsia="Times New Roman"/>
          <w:vanish/>
        </w:rPr>
        <w:t>surementInputWithdrawalRateMemberus-gaap:FairValueInputsLevel3Member2021-12-310001333986eqh:GuaranteedMinimumInsuranceBenefitsnoLapseGuaranteeMembersrt:WeightedAverageMembereqh:DiscountedCashFlowValuationTechniqueMemberus-gaap:FairValueInputsLevel3Membereq</w:t>
      </w:r>
      <w:r>
        <w:rPr>
          <w:rFonts w:eastAsia="Times New Roman"/>
          <w:vanish/>
        </w:rPr>
        <w:t>h:MeasurementInputAnnuitizationRateMember2021-12-310001333986eqh:GuaranteedMinimumInsuranceBenefitsnoLapseGuaranteeMembersrt:WeightedAverageMembereqh:DiscountedCashFlowValuationTechniqueMembereqh:RangeTwoMemberus-gaap:MeasurementInputMortalityRateMemberus-</w:t>
      </w:r>
      <w:r>
        <w:rPr>
          <w:rFonts w:eastAsia="Times New Roman"/>
          <w:vanish/>
        </w:rPr>
        <w:t>gaap:FairValueInputsLevel3Member2021-12-310001333986eqh:GuaranteedMinimumInsuranceBenefitsnoLapseGuaranteeMembereqh:RangeThreeMembersrt:WeightedAverageMembereqh:DiscountedCashFlowValuationTechniqueMemberus-gaap:MeasurementInputMortalityRateMemberus-gaap:Fa</w:t>
      </w:r>
      <w:r>
        <w:rPr>
          <w:rFonts w:eastAsia="Times New Roman"/>
          <w:vanish/>
        </w:rPr>
        <w:t>irValueInputsLevel3Member2021-12-310001333986eqh:GuaranteedMinimumInsuranceBenefitsnoLapseGuaranteeMembersrt:WeightedAverageMembereqh:DiscountedCashFlowValuationTechniqueMemberus-gaap:MeasurementInputMortalityRateMemberus-gaap:FairValueInputsLevel3Membereq</w:t>
      </w:r>
      <w:r>
        <w:rPr>
          <w:rFonts w:eastAsia="Times New Roman"/>
          <w:vanish/>
        </w:rPr>
        <w:t>h:RangeOneMember2021-12-310001333986eqh:DiscountedCashFlowValuationTechniqueMemberus-gaap:FairValueInputsLevel3Membereqh:GmwbGwblMember2021-12-310001333986eqh:DiscountedCashFlowValuationTechniqueMembereqh:MeasurementInputNonperformanceRiskMemberus-gaap:Fai</w:t>
      </w:r>
      <w:r>
        <w:rPr>
          <w:rFonts w:eastAsia="Times New Roman"/>
          <w:vanish/>
        </w:rPr>
        <w:t>rValueInputsLevel3Membereqh:GmwbGwblMember2021-12-310001333986eqh:DiscountedCashFlowValuationTechniqueMembereqh:GmwbGwblMemberus-gaap:FairValueInputsLevel3Membersrt:MinimumMemberus-gaap:MeasurementInputLapseRateMember2021-12-310001333986eqh:DiscountedCashF</w:t>
      </w:r>
      <w:r>
        <w:rPr>
          <w:rFonts w:eastAsia="Times New Roman"/>
          <w:vanish/>
        </w:rPr>
        <w:t>lowValuationTechniqueMembersrt:MaximumMembereqh:GmwbGwblMemberus-gaap:FairValueInputsLevel3Memberus-gaap:MeasurementInputLapseRateMember2021-12-310001333986eqh:DiscountedCashFlowValuationTechniqueMemberus-gaap:MeasurementInputWithdrawalRateMembereqh:GmwbGw</w:t>
      </w:r>
      <w:r>
        <w:rPr>
          <w:rFonts w:eastAsia="Times New Roman"/>
          <w:vanish/>
        </w:rPr>
        <w:t>blMemberus-gaap:FairValueInputsLevel3Membersrt:MinimumMember2021-12-310001333986eqh:DiscountedCashFlowValuationTechniqueMembersrt:MaximumMemberus-gaap:MeasurementInputWithdrawalRateMembereqh:GmwbGwblMemberus-gaap:FairValueInputsLevel3Member2021-12-31000133</w:t>
      </w:r>
      <w:r>
        <w:rPr>
          <w:rFonts w:eastAsia="Times New Roman"/>
          <w:vanish/>
        </w:rPr>
        <w:t>3986eqh:DiscountedCashFlowValuationTechniqueMemberus-gaap:MeasurementInputUtilizationRateMemberus-gaap:FairValueInputsLevel3Membereqh:GmwbGwblMember2021-12-310001333986eqh:DiscountedCashFlowValuationTechniqueMembereqh:MeasurementInputEquityVolatilityMember</w:t>
      </w:r>
      <w:r>
        <w:rPr>
          <w:rFonts w:eastAsia="Times New Roman"/>
          <w:vanish/>
        </w:rPr>
        <w:t>eqh:GmwbGwblMemberus-gaap:FairValueInputsLevel3Membersrt:MinimumMember2021-12-310001333986eqh:DiscountedCashFlowValuationTechniqueMembersrt:MaximumMembereqh:MeasurementInputEquityVolatilityMembereqh:GmwbGwblMemberus-gaap:FairValueInputsLevel3Member2021-12-</w:t>
      </w:r>
      <w:r>
        <w:rPr>
          <w:rFonts w:eastAsia="Times New Roman"/>
          <w:vanish/>
        </w:rPr>
        <w:t>310001333986srt:WeightedAverageMembereqh:DiscountedCashFlowValuationTechniqueMembereqh:GmwbGwblMemberus-gaap:FairValueInputsLevel3Memberus-gaap:MeasurementInputLapseRateMember2021-12-310001333986srt:WeightedAverageMembereqh:DiscountedCashFlowValuationTechn</w:t>
      </w:r>
      <w:r>
        <w:rPr>
          <w:rFonts w:eastAsia="Times New Roman"/>
          <w:vanish/>
        </w:rPr>
        <w:t>iqueMemberus-gaap:MeasurementInputWithdrawalRateMembereqh:GmwbGwblMemberus-gaap:FairValueInputsLevel3Member2021-12-310001333986srt:WeightedAverageMembereqh:DiscountedCashFlowValuationTechniqueMembereqh:MeasurementInputEquityVolatilityMembereqh:GmwbGwblMemb</w:t>
      </w:r>
      <w:r>
        <w:rPr>
          <w:rFonts w:eastAsia="Times New Roman"/>
          <w:vanish/>
        </w:rPr>
        <w:t>erus-gaap:FairValueInputsLevel3Member2021-12-310001333986eqh:DiscountedCashFlowValuationTechniqueMemberus-gaap:FairValueInputsLevel3Membereqh:GuaranteedInsuranceBenefitsMember2021-12-310001333986eqh:DiscountedCashFlowValuationTechniqueMembereqh:Measurement</w:t>
      </w:r>
      <w:r>
        <w:rPr>
          <w:rFonts w:eastAsia="Times New Roman"/>
          <w:vanish/>
        </w:rPr>
        <w:t>InputNonperformanceRiskMemberus-gaap:FairValueInputsLevel3Membereqh:GuaranteedInsuranceBenefitsMember2021-12-310001333986eqh:DiscountedCashFlowValuationTechniqueMemberus-gaap:FairValueInputsLevel3Membereqh:GuaranteedInsuranceBenefitsMembersrt:MinimumMember</w:t>
      </w:r>
      <w:r>
        <w:rPr>
          <w:rFonts w:eastAsia="Times New Roman"/>
          <w:vanish/>
        </w:rPr>
        <w:t>us-gaap:MeasurementInputLapseRateMember2021-12-310001333986eqh:DiscountedCashFlowValuationTechniqueMembersrt:MaximumMemberus-gaap:FairValueInputsLevel3Membereqh:GuaranteedInsuranceBenefitsMemberus-gaap:MeasurementInputLapseRateMember2021-12-310001333986eqh</w:t>
      </w:r>
      <w:r>
        <w:rPr>
          <w:rFonts w:eastAsia="Times New Roman"/>
          <w:vanish/>
        </w:rPr>
        <w:t>:DiscountedCashFlowValuationTechniqueMemberus-gaap:MeasurementInputWithdrawalRateMemberus-gaap:FairValueInputsLevel3Membereqh:GuaranteedInsuranceBenefitsMembersrt:MinimumMember2021-12-310001333986eqh:DiscountedCashFlowValuationTechniqueMembersrt:MaximumMem</w:t>
      </w:r>
      <w:r>
        <w:rPr>
          <w:rFonts w:eastAsia="Times New Roman"/>
          <w:vanish/>
        </w:rPr>
        <w:t>berus-gaap:MeasurementInputWithdrawalRateMemberus-gaap:FairValueInputsLevel3Membereqh:GuaranteedInsuranceBenefitsMember2021-12-310001333986eqh:DiscountedCashFlowValuationTechniqueMemberus-gaap:MeasurementInputUtilizationRateMemberus-gaap:FairValueInputsLev</w:t>
      </w:r>
      <w:r>
        <w:rPr>
          <w:rFonts w:eastAsia="Times New Roman"/>
          <w:vanish/>
        </w:rPr>
        <w:t>el3Membereqh:GuaranteedInsuranceBenefitsMembersrt:MinimumMember2021-12-310001333986eqh:DiscountedCashFlowValuationTechniqueMembersrt:MaximumMemberus-gaap:MeasurementInputUtilizationRateMemberus-gaap:FairValueInputsLevel3Membereqh:GuaranteedInsuranceBenefit</w:t>
      </w:r>
      <w:r>
        <w:rPr>
          <w:rFonts w:eastAsia="Times New Roman"/>
          <w:vanish/>
        </w:rPr>
        <w:t>sMember2021-12-310001333986eqh:DiscountedCashFlowValuationTechniqueMembereqh:MeasurementInputEquityVolatilityMemberus-gaap:FairValueInputsLevel3Membereqh:GuaranteedInsuranceBenefitsMembersrt:MinimumMember2021-12-310001333986eqh:DiscountedCashFlowValuationT</w:t>
      </w:r>
      <w:r>
        <w:rPr>
          <w:rFonts w:eastAsia="Times New Roman"/>
          <w:vanish/>
        </w:rPr>
        <w:t>echniqueMembersrt:MaximumMembereqh:MeasurementInputEquityVolatilityMemberus-gaap:FairValueInputsLevel3Membereqh:GuaranteedInsuranceBenefitsMember2021-12-310001333986srt:WeightedAverageMembereqh:DiscountedCashFlowValuationTechniqueMemberus-gaap:FairValueInp</w:t>
      </w:r>
      <w:r>
        <w:rPr>
          <w:rFonts w:eastAsia="Times New Roman"/>
          <w:vanish/>
        </w:rPr>
        <w:t>utsLevel3Membereqh:GuaranteedInsuranceBenefitsMemberus-gaap:MeasurementInputLapseRateMember2021-12-310001333986srt:WeightedAverageMembereqh:DiscountedCashFlowValuationTechniqueMemberus-gaap:MeasurementInputWithdrawalRateMemberus-gaap:FairValueInputsLevel3M</w:t>
      </w:r>
      <w:r>
        <w:rPr>
          <w:rFonts w:eastAsia="Times New Roman"/>
          <w:vanish/>
        </w:rPr>
        <w:t>embereqh:GuaranteedInsuranceBenefitsMember2021-12-310001333986srt:WeightedAverageMembereqh:DiscountedCashFlowValuationTechniqueMemberus-gaap:MeasurementInputUtilizationRateMemberus-gaap:FairValueInputsLevel3Membereqh:GuaranteedInsuranceBenefitsMember2021-1</w:t>
      </w:r>
      <w:r>
        <w:rPr>
          <w:rFonts w:eastAsia="Times New Roman"/>
          <w:vanish/>
        </w:rPr>
        <w:t>2-310001333986srt:WeightedAverageMembereqh:DiscountedCashFlowValuationTechniqueMembereqh:MeasurementInputEquityVolatilityMemberus-gaap:FairValueInputsLevel3Membereqh:GuaranteedInsuranceBenefitsMember2021-12-310001333986eqh:DiscountedCashFlowValuationTechni</w:t>
      </w:r>
      <w:r>
        <w:rPr>
          <w:rFonts w:eastAsia="Times New Roman"/>
          <w:vanish/>
        </w:rPr>
        <w:t>queMemberus-gaap:FairValueInputsLevel3Membereqh:GuaranteedMinimumAnnuityBenefitsMember2021-12-310001333986eqh:DiscountedCashFlowValuationTechniqueMembereqh:MeasurementInputNonperformanceRiskMemberus-gaap:FairValueInputsLevel3Membereqh:GuaranteedMinimumAnnu</w:t>
      </w:r>
      <w:r>
        <w:rPr>
          <w:rFonts w:eastAsia="Times New Roman"/>
          <w:vanish/>
        </w:rPr>
        <w:t>ityBenefitsMember2021-12-310001333986eqh:DiscountedCashFlowValuationTechniqueMemberus-gaap:FairValueInputsLevel3Membersrt:MinimumMembereqh:GuaranteedMinimumAnnuityBenefitsMemberus-gaap:MeasurementInputLapseRateMember2021-12-310001333986eqh:DiscountedCashFl</w:t>
      </w:r>
      <w:r>
        <w:rPr>
          <w:rFonts w:eastAsia="Times New Roman"/>
          <w:vanish/>
        </w:rPr>
        <w:t>owValuationTechniqueMembersrt:MaximumMemberus-gaap:FairValueInputsLevel3Membereqh:GuaranteedMinimumAnnuityBenefitsMemberus-gaap:MeasurementInputLapseRateMember2021-12-310001333986eqh:DiscountedCashFlowValuationTechniqueMembereqh:MeasurementInputEquityVolat</w:t>
      </w:r>
      <w:r>
        <w:rPr>
          <w:rFonts w:eastAsia="Times New Roman"/>
          <w:vanish/>
        </w:rPr>
        <w:t>ilityMemberus-gaap:FairValueInputsLevel3Membersrt:MinimumMembereqh:GuaranteedMinimumAnnuityBenefitsMember2021-12-310001333986eqh:DiscountedCashFlowValuationTechniqueMembersrt:MaximumMembereqh:MeasurementInputEquityVolatilityMemberus-gaap:FairValueInputsLev</w:t>
      </w:r>
      <w:r>
        <w:rPr>
          <w:rFonts w:eastAsia="Times New Roman"/>
          <w:vanish/>
        </w:rPr>
        <w:t>el3Membereqh:GuaranteedMinimumAnnuityBenefitsMember2021-12-310001333986srt:WeightedAverageMembereqh:DiscountedCashFlowValuationTechniqueMemberus-gaap:FairValueInputsLevel3Membereqh:GuaranteedMinimumAnnuityBenefitsMemberus-gaap:MeasurementInputLapseRateMemb</w:t>
      </w:r>
      <w:r>
        <w:rPr>
          <w:rFonts w:eastAsia="Times New Roman"/>
          <w:vanish/>
        </w:rPr>
        <w:t>er2021-12-310001333986srt:WeightedAverageMembereqh:DiscountedCashFlowValuationTechniqueMembereqh:MeasurementInputEquityVolatilityMemberus-gaap:FairValueInputsLevel3Membereqh:GuaranteedMinimumAnnuityBenefitsMember2021-12-310001333986us-gaap:FairValueMeasure</w:t>
      </w:r>
      <w:r>
        <w:rPr>
          <w:rFonts w:eastAsia="Times New Roman"/>
          <w:vanish/>
        </w:rPr>
        <w:t>mentsNonrecurringMemberus-gaap:FairValueInputsLevel3Member2022-06-300001333986us-gaap:FairValueMeasurementsNonrecurringMemberus-gaap:FairValueInputsLevel3Member2021-12-310001333986us-gaap:CarryingReportedAmountFairValueDisclosureMember2022-06-300001333986u</w:t>
      </w:r>
      <w:r>
        <w:rPr>
          <w:rFonts w:eastAsia="Times New Roman"/>
          <w:vanish/>
        </w:rPr>
        <w:t>s-gaap:FairValueInputsLevel1Memberus-gaap:EstimateOfFairValueFairValueDisclosureMember2022-06-300001333986us-gaap:EstimateOfFairValueFairValueDisclosureMemberus-gaap:FairValueInputsLevel2Member2022-06-300001333986us-gaap:EstimateOfFairValueFairValueDisclos</w:t>
      </w:r>
      <w:r>
        <w:rPr>
          <w:rFonts w:eastAsia="Times New Roman"/>
          <w:vanish/>
        </w:rPr>
        <w:t>ureMemberus-gaap:FairValueInputsLevel3Member2022-06-300001333986us-gaap:EstimateOfFairValueFairValueDisclosureMember2022-06-300001333986us-gaap:CarryingReportedAmountFairValueDisclosureMember2021-12-310001333986us-gaap:FairValueInputsLevel1Memberus-gaap:Es</w:t>
      </w:r>
      <w:r>
        <w:rPr>
          <w:rFonts w:eastAsia="Times New Roman"/>
          <w:vanish/>
        </w:rPr>
        <w:t>timateOfFairValueFairValueDisclosureMember2021-12-310001333986us-gaap:EstimateOfFairValueFairValueDisclosureMemberus-gaap:FairValueInputsLevel2Member2021-12-310001333986us-gaap:EstimateOfFairValueFairValueDisclosureMemberus-gaap:FairValueInputsLevel3Member</w:t>
      </w:r>
      <w:r>
        <w:rPr>
          <w:rFonts w:eastAsia="Times New Roman"/>
          <w:vanish/>
        </w:rPr>
        <w:t>2021-12-310001333986us-gaap:EstimateOfFairValueFairValueDisclosureMember2021-12-310001333986us-gaap:SeriesAPreferredStockMember2022-06-300001333986us-gaap:SeriesAPreferredStockMember2021-12-310001333986us-gaap:SeriesBPreferredStockMember2022-06-30000133398</w:t>
      </w:r>
      <w:r>
        <w:rPr>
          <w:rFonts w:eastAsia="Times New Roman"/>
          <w:vanish/>
        </w:rPr>
        <w:t>6us-gaap:SeriesBPreferredStockMember2021-12-310001333986us-gaap:SeriesCPreferredStockMember2022-06-300001333986us-gaap:SeriesCPreferredStockMember2021-12-310001333986us-gaap:SeriesAPreferredStockMember2022-04-012022-06-300001333986us-gaap:SeriesAPreferredS</w:t>
      </w:r>
      <w:r>
        <w:rPr>
          <w:rFonts w:eastAsia="Times New Roman"/>
          <w:vanish/>
        </w:rPr>
        <w:t>tockMember2021-04-012021-06-300001333986us-gaap:SeriesAPreferredStockMember2021-01-012021-06-300001333986us-gaap:SeriesBPreferredStockMember2022-04-012022-06-300001333986us-gaap:SeriesBPreferredStockMember2021-04-012021-06-300001333986us-gaap:SeriesBPrefer</w:t>
      </w:r>
      <w:r>
        <w:rPr>
          <w:rFonts w:eastAsia="Times New Roman"/>
          <w:vanish/>
        </w:rPr>
        <w:t>redStockMember2022-01-012022-06-300001333986us-gaap:SeriesBPreferredStockMember2021-01-012021-06-300001333986us-gaap:SeriesCPreferredStockMember2022-04-012022-06-300001333986us-gaap:SeriesCPreferredStockMember2021-04-012021-06-300001333986us-gaap:SeriesCPr</w:t>
      </w:r>
      <w:r>
        <w:rPr>
          <w:rFonts w:eastAsia="Times New Roman"/>
          <w:vanish/>
        </w:rPr>
        <w:t>eferredStockMember2021-01-012021-06-3000013339862022-02-090001333986eqh:AcceleratedShareRepurchaseAgreementMember2022-04-012022-06-300001333986eqh:AcceleratedShareRepurchaseAgreementMember2021-04-012021-06-300001333986eqh:AcceleratedShareRepurchaseAgreemen</w:t>
      </w:r>
      <w:r>
        <w:rPr>
          <w:rFonts w:eastAsia="Times New Roman"/>
          <w:vanish/>
        </w:rPr>
        <w:t>tMember2022-01-012022-06-300001333986eqh:AcceleratedShareRepurchaseAgreementMember2021-01-012021-06-300001333986eqh:AcceleratedShareRepurchaseAgreementApril2022Member2022-04-300001333986eqh:AcceleratedShareRepurchaseAgreementApril2022Member2022-04-012022-0</w:t>
      </w:r>
      <w:r>
        <w:rPr>
          <w:rFonts w:eastAsia="Times New Roman"/>
          <w:vanish/>
        </w:rPr>
        <w:t>4-300001333986eqh:AcceleratedShareRepurchaseAgreementMay2022Member2022-05-310001333986eqh:AcceleratedShareRepurchaseAgreementMay2022Member2022-05-012022-05-310001333986eqh:AcceleratedShareRepurchaseAgreementApril2022Member2022-05-310001333986eqh:BrachFamil</w:t>
      </w:r>
      <w:r>
        <w:rPr>
          <w:rFonts w:eastAsia="Times New Roman"/>
          <w:vanish/>
        </w:rPr>
        <w:t>yFoundationLitigationMember2016-02-290001333986eqh:EquitableFinancialMember2016-02-29eqh:federalAction0001333986eqh:EquitableFinancialMemberstpr:NY2016-02-29eqh:legalAction0001333986eqh:SalesAndDisclosurePracticesMemberus-gaap:SubsequentEventMember2022-07-</w:t>
      </w:r>
      <w:r>
        <w:rPr>
          <w:rFonts w:eastAsia="Times New Roman"/>
          <w:vanish/>
        </w:rPr>
        <w:t>012022-07-310001333986eqh:PreCapitalizedTrustSecuritiesTrancheOneMember2019-04-012019-04-300001333986eqh:PreCapitalizedTrustSecuritiesTrancheTwoMember2019-04-012019-04-300001333986eqh:ShortTermFundingAgreementsMaturingInLessThanOneYearMemberus-gaap:Federal</w:t>
      </w:r>
      <w:r>
        <w:rPr>
          <w:rFonts w:eastAsia="Times New Roman"/>
          <w:vanish/>
        </w:rPr>
        <w:t>HomeLoanBankCertificatesAndObligationsFHLBMember2021-12-310001333986eqh:ShortTermFundingAgreementsMaturingInLessThanOneYearMemberus-gaap:FederalHomeLoanBankCertificatesAndObligationsFHLBMember2022-01-012022-06-300001333986eqh:ShortTermFundingAgreementsMatu</w:t>
      </w:r>
      <w:r>
        <w:rPr>
          <w:rFonts w:eastAsia="Times New Roman"/>
          <w:vanish/>
        </w:rPr>
        <w:t>ringInLessThanOneYearMemberus-gaap:FederalHomeLoanBankCertificatesAndObligationsFHLBMember2022-06-300001333986eqh:LongTermFundingAgreementsMaturingBetweenTwoAndFiveYearsMemberus-gaap:FederalHomeLoanBankCertificatesAndObligationsFHLBMember2021-12-3100013339</w:t>
      </w:r>
      <w:r>
        <w:rPr>
          <w:rFonts w:eastAsia="Times New Roman"/>
          <w:vanish/>
        </w:rPr>
        <w:t>86eqh:LongTermFundingAgreementsMaturingBetweenTwoAndFiveYearsMemberus-gaap:FederalHomeLoanBankCertificatesAndObligationsFHLBMember2022-01-012022-06-300001333986eqh:LongTermFundingAgreementsMaturingBetweenTwoAndFiveYearsMemberus-gaap:FederalHomeLoanBankCert</w:t>
      </w:r>
      <w:r>
        <w:rPr>
          <w:rFonts w:eastAsia="Times New Roman"/>
          <w:vanish/>
        </w:rPr>
        <w:t>ificatesAndObligationsFHLBMember2022-06-300001333986eqh:LongTermFundingAgreementsMaturingInGreaterThanFiveYearsMemberus-gaap:FederalHomeLoanBankCertificatesAndObligationsFHLBMember2021-12-310001333986eqh:LongTermFundingAgreementsMaturingInGreaterThanFiveYe</w:t>
      </w:r>
      <w:r>
        <w:rPr>
          <w:rFonts w:eastAsia="Times New Roman"/>
          <w:vanish/>
        </w:rPr>
        <w:t>arsMemberus-gaap:FederalHomeLoanBankCertificatesAndObligationsFHLBMember2022-01-012022-06-300001333986eqh:LongTermFundingAgreementsMaturingInGreaterThanFiveYearsMemberus-gaap:FederalHomeLoanBankCertificatesAndObligationsFHLBMember2022-06-300001333986eqh:Lo</w:t>
      </w:r>
      <w:r>
        <w:rPr>
          <w:rFonts w:eastAsia="Times New Roman"/>
          <w:vanish/>
        </w:rPr>
        <w:t>ngTermFundingAgreementsMemberus-gaap:FederalHomeLoanBankCertificatesAndObligationsFHLBMember2021-12-310001333986eqh:LongTermFundingAgreementsMemberus-gaap:FederalHomeLoanBankCertificatesAndObligationsFHLBMember2022-01-012022-06-300001333986eqh:LongTermFund</w:t>
      </w:r>
      <w:r>
        <w:rPr>
          <w:rFonts w:eastAsia="Times New Roman"/>
          <w:vanish/>
        </w:rPr>
        <w:t>ingAgreementsMemberus-gaap:FederalHomeLoanBankCertificatesAndObligationsFHLBMember2022-06-300001333986us-gaap:FederalHomeLoanBankCertificatesAndObligationsFHLBMember2021-12-310001333986us-gaap:FederalHomeLoanBankCertificatesAndObligationsFHLBMember2022-01-</w:t>
      </w:r>
      <w:r>
        <w:rPr>
          <w:rFonts w:eastAsia="Times New Roman"/>
          <w:vanish/>
        </w:rPr>
        <w:t>012022-06-300001333986us-gaap:FederalHomeLoanBankCertificatesAndObligationsFHLBMember2022-06-300001333986eqh:TrustNotesMember2022-06-300001333986eqh:ShortTermFundingAgreementsMaturingInLessThanOneYearMembereqh:FundingAgreementBackedNotesProgramFABNMember20</w:t>
      </w:r>
      <w:r>
        <w:rPr>
          <w:rFonts w:eastAsia="Times New Roman"/>
          <w:vanish/>
        </w:rPr>
        <w:t>21-12-310001333986eqh:ShortTermFundingAgreementsMaturingInLessThanOneYearMembereqh:FundingAgreementBackedNotesProgramFABNMember2022-01-012022-06-300001333986eqh:ShortTermFundingAgreementsMaturingInLessThanOneYearMembereqh:FundingAgreementBackedNotesProgram</w:t>
      </w:r>
      <w:r>
        <w:rPr>
          <w:rFonts w:eastAsia="Times New Roman"/>
          <w:vanish/>
        </w:rPr>
        <w:t>FABNMember2022-06-300001333986eqh:LongTermFundingAgreementsMaturingBetweenTwoAndFiveYearsMembereqh:FundingAgreementBackedNotesProgramFABNMember2021-12-310001333986eqh:LongTermFundingAgreementsMaturingBetweenTwoAndFiveYearsMembereqh:FundingAgreementBackedNo</w:t>
      </w:r>
      <w:r>
        <w:rPr>
          <w:rFonts w:eastAsia="Times New Roman"/>
          <w:vanish/>
        </w:rPr>
        <w:t>tesProgramFABNMember2022-01-012022-06-300001333986eqh:LongTermFundingAgreementsMaturingBetweenTwoAndFiveYearsMembereqh:FundingAgreementBackedNotesProgramFABNMember2022-06-300001333986eqh:LongTermFundingAgreementsMaturingInGreaterThanFiveYearsMembereqh:Fund</w:t>
      </w:r>
      <w:r>
        <w:rPr>
          <w:rFonts w:eastAsia="Times New Roman"/>
          <w:vanish/>
        </w:rPr>
        <w:t>ingAgreementBackedNotesProgramFABNMember2021-12-310001333986eqh:LongTermFundingAgreementsMaturingInGreaterThanFiveYearsMembereqh:FundingAgreementBackedNotesProgramFABNMember2022-01-012022-06-300001333986eqh:LongTermFundingAgreementsMaturingInGreaterThanFiv</w:t>
      </w:r>
      <w:r>
        <w:rPr>
          <w:rFonts w:eastAsia="Times New Roman"/>
          <w:vanish/>
        </w:rPr>
        <w:t>eYearsMembereqh:FundingAgreementBackedNotesProgramFABNMember2022-06-300001333986eqh:LongTermFundingAgreementsMembereqh:FundingAgreementBackedNotesProgramFABNMember2021-12-310001333986eqh:LongTermFundingAgreementsMembereqh:FundingAgreementBackedNotesProgram</w:t>
      </w:r>
      <w:r>
        <w:rPr>
          <w:rFonts w:eastAsia="Times New Roman"/>
          <w:vanish/>
        </w:rPr>
        <w:t>FABNMember2022-01-012022-06-300001333986eqh:LongTermFundingAgreementsMembereqh:FundingAgreementBackedNotesProgramFABNMember2022-06-300001333986eqh:FundingAgreementBackedNotesProgramFABNMember2021-12-310001333986eqh:FundingAgreementBackedNotesProgramFABNMem</w:t>
      </w:r>
      <w:r>
        <w:rPr>
          <w:rFonts w:eastAsia="Times New Roman"/>
          <w:vanish/>
        </w:rPr>
        <w:t>ber2022-01-012022-06-300001333986eqh:FundingAgreementBackedNotesProgramFABNMember2022-06-300001333986us-gaap:RevolvingCreditFacilityMembereqh:HoldingsRevolvingCreditFacilityMember2018-02-280001333986us-gaap:RevolvingCreditFacilityMembereqh:HoldingsRevolvin</w:t>
      </w:r>
      <w:r>
        <w:rPr>
          <w:rFonts w:eastAsia="Times New Roman"/>
          <w:vanish/>
        </w:rPr>
        <w:t>gCreditFacilityMember2018-02-012018-02-280001333986us-gaap:RevolvingCreditFacilityMembereqh:HoldingsRevolvingCreditFacilityMember2021-06-300001333986us-gaap:LetterOfCreditMembereqh:HoldingsRevolvingCreditFacilityMember2018-02-280001333986eqh:HoldingsRevolv</w:t>
      </w:r>
      <w:r>
        <w:rPr>
          <w:rFonts w:eastAsia="Times New Roman"/>
          <w:vanish/>
        </w:rPr>
        <w:t>ingCreditFacilityMember2022-06-300001333986us-gaap:LetterOfCreditMembereqh:HoldingsRevolvingCreditFacilityMember2022-06-300001333986us-gaap:LetterOfCreditMembereqh:BilateralLetterOfCreditFacilitiesMember2018-02-280001333986us-gaap:RevolvingCreditFacilityMe</w:t>
      </w:r>
      <w:r>
        <w:rPr>
          <w:rFonts w:eastAsia="Times New Roman"/>
          <w:vanish/>
        </w:rPr>
        <w:t>mber2022-06-30eqh:prescribedAndPermittedPractice0001333986eqh:StatementOfStatutoryAccountingPrinciples108Member2022-06-300001333986eqh:StatementOfStatutoryAccountingPrinciples108Member2022-04-012022-06-300001333986eqh:StatementOfStatutoryAccountingPrincipl</w:t>
      </w:r>
      <w:r>
        <w:rPr>
          <w:rFonts w:eastAsia="Times New Roman"/>
          <w:vanish/>
        </w:rPr>
        <w:t>es108Member2022-01-012022-06-300001333986eqh:StatementOfStatutoryAccountingPrinciples108Member2021-06-300001333986eqh:RegulationNumber213Member2022-01-012022-06-300001333986eqh:EquitableFinancialMembereqh:RegulationNumber213Member2022-06-300001333986eqh:Re</w:t>
      </w:r>
      <w:r>
        <w:rPr>
          <w:rFonts w:eastAsia="Times New Roman"/>
          <w:vanish/>
        </w:rPr>
        <w:t>gulationNumber213Member2022-06-300001333986srt:MinimumMembereqh:RegulationNumber213Member2022-06-300001333986srt:MaximumMembereqh:RegulationNumber213Member2022-06-300001333986eqh:RegulationNumber213Member2022-04-012022-06-300001333986eqh:RegulationNumber21</w:t>
      </w:r>
      <w:r>
        <w:rPr>
          <w:rFonts w:eastAsia="Times New Roman"/>
          <w:vanish/>
        </w:rPr>
        <w:t>3WithSeperateAccountsMember2022-04-012022-06-300001333986eqh:RegulationNumber213WithSeperateAccountsMember2022-01-012022-06-3000013339862020-01-012020-12-310001333986us-gaap:MaterialReconcilingItemsMember2022-04-012022-06-300001333986us-gaap:MaterialReconc</w:t>
      </w:r>
      <w:r>
        <w:rPr>
          <w:rFonts w:eastAsia="Times New Roman"/>
          <w:vanish/>
        </w:rPr>
        <w:t>ilingItemsMember2021-04-012021-06-300001333986us-gaap:MaterialReconcilingItemsMember2022-01-012022-06-300001333986us-gaap:MaterialReconcilingItemsMember2021-01-012021-06-300001333986us-gaap:OperatingSegmentsMembereqh:IndividualRetirementMember2022-04-01202</w:t>
      </w:r>
      <w:r>
        <w:rPr>
          <w:rFonts w:eastAsia="Times New Roman"/>
          <w:vanish/>
        </w:rPr>
        <w:t>2-06-300001333986us-gaap:OperatingSegmentsMembereqh:IndividualRetirementMember2021-04-012021-06-300001333986us-gaap:OperatingSegmentsMembereqh:IndividualRetirementMember2022-01-012022-06-300001333986us-gaap:OperatingSegmentsMembereqh:IndividualRetirementMe</w:t>
      </w:r>
      <w:r>
        <w:rPr>
          <w:rFonts w:eastAsia="Times New Roman"/>
          <w:vanish/>
        </w:rPr>
        <w:t>mber2021-01-012021-06-300001333986us-gaap:OperatingSegmentsMembereqh:GroupRetirementMember2022-04-012022-06-300001333986us-gaap:OperatingSegmentsMembereqh:GroupRetirementMember2021-04-012021-06-300001333986us-gaap:OperatingSegmentsMembereqh:GroupRetirement</w:t>
      </w:r>
      <w:r>
        <w:rPr>
          <w:rFonts w:eastAsia="Times New Roman"/>
          <w:vanish/>
        </w:rPr>
        <w:t>Member2022-01-012022-06-300001333986us-gaap:OperatingSegmentsMembereqh:GroupRetirementMember2021-01-012021-06-300001333986us-gaap:OperatingSegmentsMembereqh:InvestmentManagementAndResearchMember2022-04-012022-06-300001333986us-gaap:OperatingSegmentsMembere</w:t>
      </w:r>
      <w:r>
        <w:rPr>
          <w:rFonts w:eastAsia="Times New Roman"/>
          <w:vanish/>
        </w:rPr>
        <w:t>qh:InvestmentManagementAndResearchMember2021-04-012021-06-300001333986us-gaap:OperatingSegmentsMembereqh:InvestmentManagementAndResearchMember2022-01-012022-06-300001333986us-gaap:OperatingSegmentsMembereqh:InvestmentManagementAndResearchMember2021-01-0120</w:t>
      </w:r>
      <w:r>
        <w:rPr>
          <w:rFonts w:eastAsia="Times New Roman"/>
          <w:vanish/>
        </w:rPr>
        <w:t>21-06-300001333986us-gaap:OperatingSegmentsMembereqh:ProtectionSolutionsMember2022-04-012022-06-300001333986us-gaap:OperatingSegmentsMembereqh:ProtectionSolutionsMember2021-04-012021-06-300001333986us-gaap:OperatingSegmentsMembereqh:ProtectionSolutionsMemb</w:t>
      </w:r>
      <w:r>
        <w:rPr>
          <w:rFonts w:eastAsia="Times New Roman"/>
          <w:vanish/>
        </w:rPr>
        <w:t>er2022-01-012022-06-300001333986us-gaap:OperatingSegmentsMembereqh:ProtectionSolutionsMember2021-01-012021-06-300001333986us-gaap:CorporateNonSegmentMember2022-04-012022-06-300001333986us-gaap:CorporateNonSegmentMember2021-04-012021-06-300001333986us-gaap:</w:t>
      </w:r>
      <w:r>
        <w:rPr>
          <w:rFonts w:eastAsia="Times New Roman"/>
          <w:vanish/>
        </w:rPr>
        <w:t>CorporateNonSegmentMember2022-01-012022-06-300001333986us-gaap:CorporateNonSegmentMember2021-01-012021-06-300001333986eqh:NonGuaranteedMinimumWithdrawalBenefitMemberus-gaap:MaterialReconcilingItemsMember2022-04-012022-06-300001333986eqh:NonGuaranteedMinimu</w:t>
      </w:r>
      <w:r>
        <w:rPr>
          <w:rFonts w:eastAsia="Times New Roman"/>
          <w:vanish/>
        </w:rPr>
        <w:t>mWithdrawalBenefitMemberus-gaap:MaterialReconcilingItemsMember2021-04-012021-06-300001333986eqh:NonGuaranteedMinimumWithdrawalBenefitMemberus-gaap:MaterialReconcilingItemsMember2022-01-012022-06-300001333986eqh:NonGuaranteedMinimumWithdrawalBenefitMemberus</w:t>
      </w:r>
      <w:r>
        <w:rPr>
          <w:rFonts w:eastAsia="Times New Roman"/>
          <w:vanish/>
        </w:rPr>
        <w:t>-gaap:MaterialReconcilingItemsMember2021-01-012021-06-300001333986us-gaap:IntersegmentEliminationMember2022-04-012022-06-300001333986us-gaap:IntersegmentEliminationMember2021-04-012021-06-300001333986us-gaap:IntersegmentEliminationMember2022-01-012022-06-3</w:t>
      </w:r>
      <w:r>
        <w:rPr>
          <w:rFonts w:eastAsia="Times New Roman"/>
          <w:vanish/>
        </w:rPr>
        <w:t>00001333986us-gaap:IntersegmentEliminationMember2021-01-012021-06-300001333986us-gaap:IntersegmentEliminationMemberus-gaap:InvestmentAdviceMember2022-04-012022-06-300001333986us-gaap:IntersegmentEliminationMemberus-gaap:InvestmentAdviceMember2021-04-012021</w:t>
      </w:r>
      <w:r>
        <w:rPr>
          <w:rFonts w:eastAsia="Times New Roman"/>
          <w:vanish/>
        </w:rPr>
        <w:t>-06-300001333986us-gaap:IntersegmentEliminationMemberus-gaap:InvestmentAdviceMember2022-01-012022-06-300001333986us-gaap:IntersegmentEliminationMemberus-gaap:InvestmentAdviceMember2021-01-012021-06-300001333986us-gaap:OperatingSegmentsMembereqh:IndividualR</w:t>
      </w:r>
      <w:r>
        <w:rPr>
          <w:rFonts w:eastAsia="Times New Roman"/>
          <w:vanish/>
        </w:rPr>
        <w:t>etirementMember2022-06-300001333986us-gaap:OperatingSegmentsMembereqh:IndividualRetirementMember2021-12-310001333986us-gaap:OperatingSegmentsMembereqh:GroupRetirementMember2022-06-300001333986us-gaap:OperatingSegmentsMembereqh:GroupRetirementMember2021-12-</w:t>
      </w:r>
      <w:r>
        <w:rPr>
          <w:rFonts w:eastAsia="Times New Roman"/>
          <w:vanish/>
        </w:rPr>
        <w:t>310001333986us-gaap:OperatingSegmentsMembereqh:InvestmentManagementAndResearchMember2022-06-300001333986us-gaap:OperatingSegmentsMembereqh:InvestmentManagementAndResearchMember2021-12-310001333986us-gaap:OperatingSegmentsMembereqh:ProtectionSolutionsMember</w:t>
      </w:r>
      <w:r>
        <w:rPr>
          <w:rFonts w:eastAsia="Times New Roman"/>
          <w:vanish/>
        </w:rPr>
        <w:t>2022-06-300001333986us-gaap:OperatingSegmentsMembereqh:ProtectionSolutionsMember2021-12-310001333986us-gaap:CorporateNonSegmentMember2022-06-300001333986us-gaap:CorporateNonSegmentMember2021-12-31</w:t>
      </w:r>
    </w:p>
    <w:p w:rsidR="00000000" w:rsidRDefault="005C524C">
      <w:pPr>
        <w:divId w:val="492844190"/>
        <w:rPr>
          <w:rFonts w:eastAsia="Times New Roman"/>
        </w:rPr>
      </w:pPr>
      <w:hyperlink w:anchor="i2588464f77ae40b48abb7647b419da5e_502" w:history="1">
        <w:r>
          <w:rPr>
            <w:rStyle w:val="a3"/>
            <w:rFonts w:eastAsia="Times New Roman"/>
            <w:b/>
            <w:bCs/>
            <w:sz w:val="20"/>
            <w:szCs w:val="20"/>
          </w:rPr>
          <w:t>Table of Contents</w:t>
        </w:r>
      </w:hyperlink>
    </w:p>
    <w:p w:rsidR="00000000" w:rsidRDefault="005C524C">
      <w:pPr>
        <w:jc w:val="center"/>
        <w:rPr>
          <w:rFonts w:eastAsia="Times New Roman"/>
        </w:rPr>
      </w:pPr>
      <w:r>
        <w:rPr>
          <w:rFonts w:eastAsia="Times New Roman"/>
          <w:b/>
          <w:bCs/>
          <w:color w:val="000000"/>
        </w:rPr>
        <w:t>UNITED STATES</w:t>
      </w:r>
    </w:p>
    <w:p w:rsidR="00000000" w:rsidRDefault="005C524C">
      <w:pPr>
        <w:jc w:val="center"/>
        <w:rPr>
          <w:rFonts w:eastAsia="Times New Roman"/>
        </w:rPr>
      </w:pPr>
      <w:r>
        <w:rPr>
          <w:rFonts w:eastAsia="Times New Roman"/>
          <w:b/>
          <w:bCs/>
          <w:color w:val="000000"/>
        </w:rPr>
        <w:t>SECURITIES AND EXCHANGE COMMISSION</w:t>
      </w:r>
    </w:p>
    <w:p w:rsidR="00000000" w:rsidRDefault="005C524C">
      <w:pPr>
        <w:jc w:val="center"/>
        <w:rPr>
          <w:rFonts w:eastAsia="Times New Roman"/>
        </w:rPr>
      </w:pPr>
      <w:r>
        <w:rPr>
          <w:rFonts w:eastAsia="Times New Roman"/>
          <w:b/>
          <w:bCs/>
          <w:color w:val="000000"/>
        </w:rPr>
        <w:t>Washington, D.C. 20549</w:t>
      </w:r>
    </w:p>
    <w:p w:rsidR="00000000" w:rsidRDefault="005C524C">
      <w:pPr>
        <w:jc w:val="center"/>
        <w:rPr>
          <w:rFonts w:eastAsia="Times New Roman"/>
        </w:rPr>
      </w:pPr>
      <w:r>
        <w:rPr>
          <w:rFonts w:eastAsia="Times New Roman"/>
          <w:b/>
          <w:bCs/>
          <w:color w:val="000000"/>
          <w:sz w:val="18"/>
          <w:szCs w:val="18"/>
        </w:rPr>
        <w:t>———————————————</w:t>
      </w:r>
    </w:p>
    <w:p w:rsidR="00000000" w:rsidRDefault="005C524C">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509714241"/>
          <w:jc w:val="center"/>
        </w:trPr>
        <w:tc>
          <w:tcPr>
            <w:tcW w:w="50" w:type="pct"/>
            <w:vAlign w:val="center"/>
            <w:hideMark/>
          </w:tcPr>
          <w:p w:rsidR="00000000" w:rsidRDefault="005C524C">
            <w:pPr>
              <w:jc w:val="center"/>
              <w:rPr>
                <w:rFonts w:eastAsia="Times New Roman"/>
              </w:rPr>
            </w:pPr>
          </w:p>
        </w:tc>
        <w:tc>
          <w:tcPr>
            <w:tcW w:w="12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509714241"/>
          <w:jc w:val="center"/>
        </w:trPr>
        <w:tc>
          <w:tcPr>
            <w:tcW w:w="0" w:type="auto"/>
            <w:gridSpan w:val="3"/>
            <w:tcMar>
              <w:top w:w="30" w:type="dxa"/>
              <w:left w:w="20" w:type="dxa"/>
              <w:bottom w:w="30" w:type="dxa"/>
              <w:right w:w="20" w:type="dxa"/>
            </w:tcMar>
            <w:hideMark/>
          </w:tcPr>
          <w:p w:rsidR="00000000" w:rsidRDefault="005C524C">
            <w:pPr>
              <w:spacing w:after="100"/>
              <w:jc w:val="center"/>
              <w:divId w:val="210221694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5C524C">
      <w:pPr>
        <w:jc w:val="center"/>
        <w:divId w:val="463430635"/>
        <w:rPr>
          <w:rFonts w:eastAsia="Times New Roman"/>
        </w:rPr>
      </w:pPr>
      <w:r>
        <w:rPr>
          <w:rFonts w:eastAsia="Times New Roman"/>
          <w:b/>
          <w:bCs/>
          <w:color w:val="000000"/>
          <w:sz w:val="18"/>
          <w:szCs w:val="18"/>
        </w:rPr>
        <w:t>For the quarterly period ended June 30, 2022 </w:t>
      </w:r>
    </w:p>
    <w:p w:rsidR="00000000" w:rsidRDefault="005C524C">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105928968"/>
          <w:jc w:val="center"/>
        </w:trPr>
        <w:tc>
          <w:tcPr>
            <w:tcW w:w="50" w:type="pct"/>
            <w:vAlign w:val="center"/>
            <w:hideMark/>
          </w:tcPr>
          <w:p w:rsidR="00000000" w:rsidRDefault="005C524C">
            <w:pPr>
              <w:jc w:val="center"/>
              <w:rPr>
                <w:rFonts w:eastAsia="Times New Roman"/>
              </w:rPr>
            </w:pPr>
          </w:p>
        </w:tc>
        <w:tc>
          <w:tcPr>
            <w:tcW w:w="12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05928968"/>
          <w:jc w:val="center"/>
        </w:trPr>
        <w:tc>
          <w:tcPr>
            <w:tcW w:w="0" w:type="auto"/>
            <w:gridSpan w:val="3"/>
            <w:tcMar>
              <w:top w:w="30" w:type="dxa"/>
              <w:left w:w="20" w:type="dxa"/>
              <w:bottom w:w="30" w:type="dxa"/>
              <w:right w:w="20" w:type="dxa"/>
            </w:tcMar>
            <w:hideMark/>
          </w:tcPr>
          <w:p w:rsidR="00000000" w:rsidRDefault="005C524C">
            <w:pPr>
              <w:spacing w:after="100"/>
              <w:jc w:val="center"/>
              <w:divId w:val="114512860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5C524C">
      <w:pPr>
        <w:jc w:val="center"/>
        <w:divId w:val="1810631954"/>
        <w:rPr>
          <w:rFonts w:eastAsia="Times New Roman"/>
        </w:rPr>
      </w:pPr>
      <w:r>
        <w:rPr>
          <w:rFonts w:eastAsia="Times New Roman"/>
          <w:b/>
          <w:bCs/>
          <w:color w:val="000000"/>
          <w:sz w:val="18"/>
          <w:szCs w:val="18"/>
        </w:rPr>
        <w:t>For the transition period from              to</w:t>
      </w:r>
    </w:p>
    <w:p w:rsidR="00000000" w:rsidRDefault="005C524C">
      <w:pPr>
        <w:jc w:val="center"/>
        <w:divId w:val="1771848166"/>
        <w:rPr>
          <w:rFonts w:eastAsia="Times New Roman"/>
        </w:rPr>
      </w:pPr>
      <w:r>
        <w:rPr>
          <w:rFonts w:eastAsia="Times New Roman"/>
          <w:b/>
          <w:bCs/>
          <w:color w:val="000000"/>
          <w:sz w:val="20"/>
          <w:szCs w:val="20"/>
        </w:rPr>
        <w:t>Commission File No. 001-38469</w:t>
      </w:r>
    </w:p>
    <w:p w:rsidR="00000000" w:rsidRDefault="005C524C">
      <w:pPr>
        <w:jc w:val="center"/>
        <w:divId w:val="817651702"/>
        <w:rPr>
          <w:rFonts w:eastAsia="Times New Roman"/>
        </w:rPr>
      </w:pPr>
      <w:r>
        <w:rPr>
          <w:rFonts w:eastAsia="Times New Roman"/>
          <w:b/>
          <w:bCs/>
          <w:color w:val="000000"/>
          <w:sz w:val="18"/>
          <w:szCs w:val="18"/>
        </w:rPr>
        <w:t>————————————————</w:t>
      </w:r>
    </w:p>
    <w:p w:rsidR="00000000" w:rsidRDefault="005C524C">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C524C">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rsidR="00000000" w:rsidRDefault="005C524C">
      <w:pPr>
        <w:jc w:val="center"/>
        <w:divId w:val="227499701"/>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1442070879"/>
        </w:trPr>
        <w:tc>
          <w:tcPr>
            <w:tcW w:w="50" w:type="pct"/>
            <w:vAlign w:val="center"/>
            <w:hideMark/>
          </w:tcPr>
          <w:p w:rsidR="00000000" w:rsidRDefault="005C524C">
            <w:pPr>
              <w:jc w:val="center"/>
              <w:rPr>
                <w:rFonts w:eastAsia="Times New Roman"/>
              </w:rPr>
            </w:pPr>
          </w:p>
        </w:tc>
        <w:tc>
          <w:tcPr>
            <w:tcW w:w="24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2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3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442070879"/>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90-0226248</w:t>
            </w:r>
          </w:p>
        </w:tc>
      </w:tr>
      <w:tr w:rsidR="00000000">
        <w:trPr>
          <w:divId w:val="1442070879"/>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(I.R.S. Employer Identification No.)</w:t>
            </w:r>
          </w:p>
        </w:tc>
      </w:tr>
    </w:tbl>
    <w:p w:rsidR="00000000" w:rsidRDefault="005C524C">
      <w:pPr>
        <w:divId w:val="1972200801"/>
        <w:rPr>
          <w:rFonts w:eastAsia="Times New Roman"/>
        </w:rPr>
      </w:pPr>
    </w:p>
    <w:p w:rsidR="00000000" w:rsidRDefault="005C524C">
      <w:pPr>
        <w:divId w:val="1435201416"/>
        <w:rPr>
          <w:rFonts w:eastAsia="Times New Roman"/>
        </w:rPr>
      </w:pPr>
      <w:r>
        <w:rPr>
          <w:rFonts w:eastAsia="Times New Roman"/>
          <w:b/>
          <w:bCs/>
          <w:color w:val="000000"/>
          <w:sz w:val="20"/>
          <w:szCs w:val="20"/>
        </w:rPr>
        <w:t xml:space="preserve">1290 Avenue of the Americas, New York, New York                 10104 </w:t>
      </w:r>
    </w:p>
    <w:p w:rsidR="00000000" w:rsidRDefault="005C524C">
      <w:pPr>
        <w:divId w:val="1673529084"/>
        <w:rPr>
          <w:rFonts w:eastAsia="Times New Roman"/>
        </w:rPr>
      </w:pPr>
      <w:r>
        <w:rPr>
          <w:rFonts w:eastAsia="Times New Roman"/>
          <w:color w:val="000000"/>
          <w:sz w:val="16"/>
          <w:szCs w:val="16"/>
        </w:rPr>
        <w:t>(Address of principal executive offices) (Zip Code)</w:t>
      </w:r>
    </w:p>
    <w:p w:rsidR="00000000" w:rsidRDefault="005C524C">
      <w:pPr>
        <w:divId w:val="1840538948"/>
        <w:rPr>
          <w:rFonts w:eastAsia="Times New Roman"/>
        </w:rPr>
      </w:pPr>
    </w:p>
    <w:p w:rsidR="00000000" w:rsidRDefault="005C524C">
      <w:pPr>
        <w:jc w:val="center"/>
        <w:rPr>
          <w:rFonts w:eastAsia="Times New Roman"/>
        </w:rPr>
      </w:pPr>
      <w:r>
        <w:rPr>
          <w:rFonts w:eastAsia="Times New Roman"/>
          <w:b/>
          <w:bCs/>
          <w:color w:val="000000"/>
          <w:sz w:val="20"/>
          <w:szCs w:val="20"/>
        </w:rPr>
        <w:t xml:space="preserve">(212) 554-1234 </w:t>
      </w:r>
    </w:p>
    <w:p w:rsidR="00000000" w:rsidRDefault="005C524C">
      <w:pPr>
        <w:jc w:val="center"/>
        <w:divId w:val="185751282"/>
        <w:rPr>
          <w:rFonts w:eastAsia="Times New Roman"/>
        </w:rPr>
      </w:pPr>
      <w:r>
        <w:rPr>
          <w:rFonts w:eastAsia="Times New Roman"/>
          <w:color w:val="000000"/>
          <w:sz w:val="16"/>
          <w:szCs w:val="16"/>
        </w:rPr>
        <w:t>(Registrant’s telephone number, including area code)</w:t>
      </w:r>
    </w:p>
    <w:p w:rsidR="00000000" w:rsidRDefault="005C524C">
      <w:pPr>
        <w:divId w:val="726686888"/>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393700023"/>
          <w:jc w:val="center"/>
        </w:trPr>
        <w:tc>
          <w:tcPr>
            <w:tcW w:w="50" w:type="pct"/>
            <w:vAlign w:val="center"/>
            <w:hideMark/>
          </w:tcPr>
          <w:p w:rsidR="00000000" w:rsidRDefault="005C524C">
            <w:pPr>
              <w:rPr>
                <w:rFonts w:eastAsia="Times New Roman"/>
              </w:rPr>
            </w:pPr>
          </w:p>
        </w:tc>
        <w:tc>
          <w:tcPr>
            <w:tcW w:w="177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39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58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393700023"/>
          <w:jc w:val="center"/>
        </w:trPr>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1393700023"/>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New York Stock Exchange</w:t>
            </w:r>
          </w:p>
        </w:tc>
      </w:tr>
      <w:tr w:rsidR="00000000">
        <w:trPr>
          <w:divId w:val="1393700023"/>
          <w:jc w:val="center"/>
        </w:trPr>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New York Stock Exchange</w:t>
            </w:r>
          </w:p>
        </w:tc>
      </w:tr>
      <w:tr w:rsidR="00000000">
        <w:trPr>
          <w:divId w:val="1393700023"/>
          <w:jc w:val="center"/>
        </w:trPr>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New York Stock Exchange</w:t>
            </w:r>
          </w:p>
        </w:tc>
      </w:tr>
    </w:tbl>
    <w:p w:rsidR="00000000" w:rsidRDefault="005C524C">
      <w:pPr>
        <w:divId w:val="1804106688"/>
        <w:rPr>
          <w:rFonts w:eastAsia="Times New Roman"/>
        </w:rPr>
      </w:pPr>
      <w:r>
        <w:rPr>
          <w:rFonts w:eastAsia="Times New Roman"/>
          <w:color w:val="000000"/>
          <w:sz w:val="16"/>
          <w:szCs w:val="16"/>
        </w:rPr>
        <w:t>Securities registered pursuant to Section 12(g) of the Act: None</w:t>
      </w:r>
    </w:p>
    <w:p w:rsidR="00000000" w:rsidRDefault="005C524C">
      <w:pPr>
        <w:divId w:val="61914674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5C524C">
      <w:pPr>
        <w:divId w:val="591469309"/>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5C524C">
      <w:pPr>
        <w:divId w:val="1622420533"/>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349642925"/>
        </w:trPr>
        <w:tc>
          <w:tcPr>
            <w:tcW w:w="50" w:type="pct"/>
            <w:vAlign w:val="center"/>
            <w:hideMark/>
          </w:tcPr>
          <w:p w:rsidR="00000000" w:rsidRDefault="005C524C">
            <w:pPr>
              <w:rPr>
                <w:rFonts w:eastAsia="Times New Roman"/>
              </w:rPr>
            </w:pPr>
          </w:p>
        </w:tc>
        <w:tc>
          <w:tcPr>
            <w:tcW w:w="8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76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9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94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349642925"/>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5C524C">
            <w:pPr>
              <w:spacing w:after="100"/>
              <w:divId w:val="10728352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5C524C">
            <w:pPr>
              <w:spacing w:after="100"/>
              <w:divId w:val="110765502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5C524C">
            <w:pPr>
              <w:spacing w:after="100"/>
              <w:divId w:val="4962066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5C524C">
            <w:pPr>
              <w:spacing w:after="100"/>
              <w:divId w:val="72321103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5C524C">
            <w:pPr>
              <w:spacing w:after="100"/>
              <w:divId w:val="141195658"/>
              <w:rPr>
                <w:rFonts w:eastAsia="Times New Roman"/>
              </w:rPr>
            </w:pPr>
            <w:r>
              <w:rPr>
                <w:rFonts w:ascii="Segoe UI Symbol" w:eastAsia="Times New Roman" w:hAnsi="Segoe UI Symbol" w:cs="Segoe UI Symbol"/>
                <w:color w:val="000000"/>
                <w:sz w:val="16"/>
                <w:szCs w:val="16"/>
              </w:rPr>
              <w:t>☐</w:t>
            </w:r>
          </w:p>
        </w:tc>
      </w:tr>
      <w:tr w:rsidR="00000000">
        <w:trPr>
          <w:divId w:val="349642925"/>
        </w:trPr>
        <w:tc>
          <w:tcPr>
            <w:tcW w:w="0" w:type="auto"/>
            <w:gridSpan w:val="30"/>
            <w:tcMar>
              <w:top w:w="30" w:type="dxa"/>
              <w:left w:w="20" w:type="dxa"/>
              <w:bottom w:w="30" w:type="dxa"/>
              <w:right w:w="20" w:type="dxa"/>
            </w:tcMar>
            <w:vAlign w:val="center"/>
            <w:hideMark/>
          </w:tcPr>
          <w:p w:rsidR="00000000" w:rsidRDefault="005C524C">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rsidR="00000000" w:rsidRDefault="005C524C">
      <w:pPr>
        <w:divId w:val="535701749"/>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5C524C">
      <w:pPr>
        <w:divId w:val="1146319597"/>
        <w:rPr>
          <w:rFonts w:eastAsia="Times New Roman"/>
        </w:rPr>
      </w:pPr>
      <w:r>
        <w:rPr>
          <w:rFonts w:eastAsia="Times New Roman"/>
          <w:color w:val="000000"/>
          <w:sz w:val="16"/>
          <w:szCs w:val="16"/>
        </w:rPr>
        <w:t>As of August 2, 2022, 375,622,526 shares of the registrant’</w:t>
      </w:r>
      <w:r>
        <w:rPr>
          <w:rFonts w:eastAsia="Times New Roman"/>
          <w:color w:val="000000"/>
          <w:sz w:val="16"/>
          <w:szCs w:val="16"/>
        </w:rPr>
        <w:t>s Common Stock, $0.01 par value, were outstanding.</w:t>
      </w:r>
    </w:p>
    <w:p w:rsidR="00000000" w:rsidRDefault="005C524C">
      <w:pPr>
        <w:divId w:val="152064722"/>
        <w:rPr>
          <w:rFonts w:eastAsia="Times New Roman"/>
        </w:rPr>
      </w:pPr>
    </w:p>
    <w:p w:rsidR="00000000" w:rsidRDefault="005C524C">
      <w:pPr>
        <w:rPr>
          <w:rFonts w:eastAsia="Times New Roman"/>
        </w:rPr>
      </w:pPr>
      <w:r>
        <w:rPr>
          <w:rFonts w:eastAsia="Times New Roman"/>
        </w:rPr>
        <w:pict>
          <v:rect id="_x0000_i1026" style="width:0;height:1.5pt" o:hralign="center" o:hrstd="t" o:hr="t" fillcolor="#a0a0a0" stroked="f"/>
        </w:pict>
      </w:r>
    </w:p>
    <w:p w:rsidR="00000000" w:rsidRDefault="005C524C">
      <w:pPr>
        <w:divId w:val="179104951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245843025"/>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170726746"/>
          <w:jc w:val="center"/>
        </w:trPr>
        <w:tc>
          <w:tcPr>
            <w:tcW w:w="50" w:type="pct"/>
            <w:vAlign w:val="center"/>
            <w:hideMark/>
          </w:tcPr>
          <w:p w:rsidR="00000000" w:rsidRDefault="005C524C">
            <w:pPr>
              <w:jc w:val="center"/>
              <w:rPr>
                <w:rFonts w:eastAsia="Times New Roman"/>
              </w:rPr>
            </w:pPr>
          </w:p>
        </w:tc>
        <w:tc>
          <w:tcPr>
            <w:tcW w:w="29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7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6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8"/>
                <w:szCs w:val="18"/>
              </w:rPr>
              <w:t>Page</w:t>
            </w:r>
          </w:p>
        </w:tc>
      </w:tr>
      <w:tr w:rsidR="00000000">
        <w:trPr>
          <w:divId w:val="170726746"/>
          <w:jc w:val="center"/>
        </w:trPr>
        <w:tc>
          <w:tcPr>
            <w:tcW w:w="0" w:type="auto"/>
            <w:gridSpan w:val="6"/>
            <w:tcMar>
              <w:top w:w="30" w:type="dxa"/>
              <w:left w:w="20" w:type="dxa"/>
              <w:bottom w:w="30" w:type="dxa"/>
              <w:right w:w="20" w:type="dxa"/>
            </w:tcMar>
            <w:vAlign w:val="center"/>
            <w:hideMark/>
          </w:tcPr>
          <w:p w:rsidR="00000000" w:rsidRDefault="005C524C">
            <w:pPr>
              <w:spacing w:after="100"/>
              <w:divId w:val="1979796057"/>
              <w:rPr>
                <w:rFonts w:eastAsia="Times New Roman"/>
              </w:rPr>
            </w:pPr>
            <w:hyperlink w:anchor="i2588464f77ae40b48abb7647b419da5e_1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rPr>
            </w:pPr>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divId w:val="1226724621"/>
              <w:rPr>
                <w:rFonts w:eastAsia="Times New Roman"/>
              </w:rPr>
            </w:pPr>
            <w:hyperlink w:anchor="i2588464f77ae40b48abb7647b419da5e_511"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5C524C">
            <w:pPr>
              <w:spacing w:after="100"/>
              <w:divId w:val="2080059014"/>
              <w:rPr>
                <w:rFonts w:eastAsia="Times New Roman"/>
              </w:rPr>
            </w:pPr>
            <w:hyperlink w:anchor="i2588464f77ae40b48abb7647b419da5e_19" w:history="1">
              <w:r>
                <w:rPr>
                  <w:rStyle w:val="a3"/>
                  <w:rFonts w:eastAsia="Times New Roman"/>
                  <w:sz w:val="18"/>
                  <w:szCs w:val="18"/>
                </w:rPr>
                <w:t>Consolidated Financial Statements</w:t>
              </w:r>
            </w:hyperlink>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C524C">
            <w:pPr>
              <w:spacing w:after="100"/>
              <w:divId w:val="1587881683"/>
              <w:rPr>
                <w:rFonts w:eastAsia="Times New Roman"/>
              </w:rPr>
            </w:pPr>
            <w:hyperlink w:anchor="i2588464f77ae40b48abb7647b419da5e_25" w:history="1">
              <w:r>
                <w:rPr>
                  <w:rStyle w:val="a3"/>
                  <w:rFonts w:eastAsia="Times New Roman"/>
                  <w:sz w:val="18"/>
                  <w:szCs w:val="18"/>
                </w:rPr>
                <w:t>Consolidated Balance Sheets,</w:t>
              </w:r>
            </w:hyperlink>
            <w:hyperlink w:anchor="i2588464f77ae40b48abb7647b419da5e_25" w:history="1">
              <w:r>
                <w:rPr>
                  <w:rStyle w:val="a3"/>
                  <w:rFonts w:eastAsia="Times New Roman"/>
                  <w:sz w:val="18"/>
                  <w:szCs w:val="18"/>
                </w:rPr>
                <w:t xml:space="preserve"> June 30</w:t>
              </w:r>
            </w:hyperlink>
            <w:hyperlink w:anchor="i2588464f77ae40b48abb7647b419da5e_25" w:history="1">
              <w:r>
                <w:rPr>
                  <w:rStyle w:val="a3"/>
                  <w:rFonts w:eastAsia="Times New Roman"/>
                  <w:sz w:val="18"/>
                  <w:szCs w:val="18"/>
                </w:rPr>
                <w:t>, 2022 (Unaudited) and December 31, 2021</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25" w:history="1">
              <w:r>
                <w:rPr>
                  <w:rStyle w:val="a3"/>
                  <w:rFonts w:eastAsia="Times New Roman"/>
                  <w:sz w:val="18"/>
                  <w:szCs w:val="18"/>
                </w:rPr>
                <w:t>4</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divId w:val="191261168"/>
              <w:rPr>
                <w:rFonts w:eastAsia="Times New Roman"/>
              </w:rPr>
            </w:pPr>
            <w:hyperlink w:anchor="i2588464f77ae40b48abb7647b419da5e_31" w:history="1">
              <w:r>
                <w:rPr>
                  <w:rStyle w:val="a3"/>
                  <w:rFonts w:eastAsia="Times New Roman"/>
                  <w:sz w:val="18"/>
                  <w:szCs w:val="18"/>
                </w:rPr>
                <w:t xml:space="preserve">Consolidated Statements of Income (Loss), Three </w:t>
              </w:r>
            </w:hyperlink>
            <w:hyperlink w:anchor="i2588464f77ae40b48abb7647b419da5e_31" w:history="1">
              <w:r>
                <w:rPr>
                  <w:rStyle w:val="a3"/>
                  <w:rFonts w:eastAsia="Times New Roman"/>
                  <w:sz w:val="18"/>
                  <w:szCs w:val="18"/>
                </w:rPr>
                <w:t>and S</w:t>
              </w:r>
            </w:hyperlink>
            <w:hyperlink w:anchor="i2588464f77ae40b48abb7647b419da5e_31" w:history="1">
              <w:r>
                <w:rPr>
                  <w:rStyle w:val="a3"/>
                  <w:rFonts w:eastAsia="Times New Roman"/>
                  <w:sz w:val="18"/>
                  <w:szCs w:val="18"/>
                </w:rPr>
                <w:t xml:space="preserve">ix </w:t>
              </w:r>
            </w:hyperlink>
            <w:hyperlink w:anchor="i2588464f77ae40b48abb7647b419da5e_31" w:history="1">
              <w:r>
                <w:rPr>
                  <w:rStyle w:val="a3"/>
                  <w:rFonts w:eastAsia="Times New Roman"/>
                  <w:sz w:val="18"/>
                  <w:szCs w:val="18"/>
                </w:rPr>
                <w:t xml:space="preserve">Months Ended </w:t>
              </w:r>
            </w:hyperlink>
            <w:hyperlink w:anchor="i2588464f77ae40b48abb7647b419da5e_31" w:history="1">
              <w:r>
                <w:rPr>
                  <w:rStyle w:val="a3"/>
                  <w:rFonts w:eastAsia="Times New Roman"/>
                  <w:sz w:val="18"/>
                  <w:szCs w:val="18"/>
                </w:rPr>
                <w:t xml:space="preserve">June </w:t>
              </w:r>
            </w:hyperlink>
            <w:hyperlink w:anchor="i2588464f77ae40b48abb7647b419da5e_31" w:history="1">
              <w:r>
                <w:rPr>
                  <w:rStyle w:val="a3"/>
                  <w:rFonts w:eastAsia="Times New Roman"/>
                  <w:sz w:val="18"/>
                  <w:szCs w:val="18"/>
                </w:rPr>
                <w:t>30</w:t>
              </w:r>
            </w:hyperlink>
            <w:hyperlink w:anchor="i2588464f77ae40b48abb7647b419da5e_31" w:history="1">
              <w:r>
                <w:rPr>
                  <w:rStyle w:val="a3"/>
                  <w:rFonts w:eastAsia="Times New Roman"/>
                  <w:sz w:val="18"/>
                  <w:szCs w:val="18"/>
                </w:rPr>
                <w:t>, 2022 and 2021 (Unaudited)</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31" w:history="1">
              <w:r>
                <w:rPr>
                  <w:rStyle w:val="a3"/>
                  <w:rFonts w:eastAsia="Times New Roman"/>
                  <w:sz w:val="18"/>
                  <w:szCs w:val="18"/>
                </w:rPr>
                <w:t>5</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divId w:val="1418288300"/>
              <w:rPr>
                <w:rFonts w:eastAsia="Times New Roman"/>
              </w:rPr>
            </w:pPr>
            <w:hyperlink w:anchor="i2588464f77ae40b48abb7647b419da5e_34" w:history="1">
              <w:r>
                <w:rPr>
                  <w:rStyle w:val="a3"/>
                  <w:rFonts w:eastAsia="Times New Roman"/>
                  <w:sz w:val="18"/>
                  <w:szCs w:val="18"/>
                </w:rPr>
                <w:t xml:space="preserve">Consolidated Statements of Comprehensive </w:t>
              </w:r>
              <w:r>
                <w:rPr>
                  <w:rStyle w:val="a3"/>
                  <w:rFonts w:eastAsia="Times New Roman"/>
                  <w:sz w:val="18"/>
                  <w:szCs w:val="18"/>
                </w:rPr>
                <w:t xml:space="preserve">Income (Loss), Three </w:t>
              </w:r>
            </w:hyperlink>
            <w:hyperlink w:anchor="i2588464f77ae40b48abb7647b419da5e_34" w:history="1">
              <w:r>
                <w:rPr>
                  <w:rStyle w:val="a3"/>
                  <w:rFonts w:eastAsia="Times New Roman"/>
                  <w:sz w:val="18"/>
                  <w:szCs w:val="18"/>
                </w:rPr>
                <w:t xml:space="preserve">and Six </w:t>
              </w:r>
            </w:hyperlink>
            <w:hyperlink w:anchor="i2588464f77ae40b48abb7647b419da5e_34" w:history="1">
              <w:r>
                <w:rPr>
                  <w:rStyle w:val="a3"/>
                  <w:rFonts w:eastAsia="Times New Roman"/>
                  <w:sz w:val="18"/>
                  <w:szCs w:val="18"/>
                </w:rPr>
                <w:t xml:space="preserve">Months Ended </w:t>
              </w:r>
            </w:hyperlink>
            <w:hyperlink w:anchor="i2588464f77ae40b48abb7647b419da5e_34" w:history="1">
              <w:r>
                <w:rPr>
                  <w:rStyle w:val="a3"/>
                  <w:rFonts w:eastAsia="Times New Roman"/>
                  <w:sz w:val="18"/>
                  <w:szCs w:val="18"/>
                </w:rPr>
                <w:t>June 30</w:t>
              </w:r>
            </w:hyperlink>
            <w:hyperlink w:anchor="i2588464f77ae40b48abb7647b419da5e_34" w:history="1">
              <w:r>
                <w:rPr>
                  <w:rStyle w:val="a3"/>
                  <w:rFonts w:eastAsia="Times New Roman"/>
                  <w:sz w:val="18"/>
                  <w:szCs w:val="18"/>
                </w:rPr>
                <w:t>, 2022 and 2021 (Unaudited)</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34" w:history="1">
              <w:r>
                <w:rPr>
                  <w:rStyle w:val="a3"/>
                  <w:rFonts w:eastAsia="Times New Roman"/>
                  <w:sz w:val="18"/>
                  <w:szCs w:val="18"/>
                </w:rPr>
                <w:t>6</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divId w:val="1445690289"/>
              <w:rPr>
                <w:rFonts w:eastAsia="Times New Roman"/>
              </w:rPr>
            </w:pPr>
            <w:hyperlink w:anchor="i2588464f77ae40b48abb7647b419da5e_43" w:history="1">
              <w:r>
                <w:rPr>
                  <w:rStyle w:val="a3"/>
                  <w:rFonts w:eastAsia="Times New Roman"/>
                  <w:sz w:val="18"/>
                  <w:szCs w:val="18"/>
                </w:rPr>
                <w:t xml:space="preserve">Consolidated Statements of Equity, Three </w:t>
              </w:r>
            </w:hyperlink>
            <w:hyperlink w:anchor="i2588464f77ae40b48abb7647b419da5e_43" w:history="1">
              <w:r>
                <w:rPr>
                  <w:rStyle w:val="a3"/>
                  <w:rFonts w:eastAsia="Times New Roman"/>
                  <w:sz w:val="18"/>
                  <w:szCs w:val="18"/>
                </w:rPr>
                <w:t xml:space="preserve">and Six </w:t>
              </w:r>
            </w:hyperlink>
            <w:hyperlink w:anchor="i2588464f77ae40b48abb7647b419da5e_43" w:history="1">
              <w:r>
                <w:rPr>
                  <w:rStyle w:val="a3"/>
                  <w:rFonts w:eastAsia="Times New Roman"/>
                  <w:sz w:val="18"/>
                  <w:szCs w:val="18"/>
                </w:rPr>
                <w:t>Months Ended</w:t>
              </w:r>
            </w:hyperlink>
            <w:hyperlink w:anchor="i2588464f77ae40b48abb7647b419da5e_43" w:history="1">
              <w:r>
                <w:rPr>
                  <w:rStyle w:val="a3"/>
                  <w:rFonts w:eastAsia="Times New Roman"/>
                  <w:sz w:val="18"/>
                  <w:szCs w:val="18"/>
                </w:rPr>
                <w:t xml:space="preserve"> June 30</w:t>
              </w:r>
            </w:hyperlink>
            <w:hyperlink w:anchor="i2588464f77ae40b48abb7647b419da5e_43" w:history="1">
              <w:r>
                <w:rPr>
                  <w:rStyle w:val="a3"/>
                  <w:rFonts w:eastAsia="Times New Roman"/>
                  <w:sz w:val="18"/>
                  <w:szCs w:val="18"/>
                </w:rPr>
                <w:t>, 2022 and 2021 (Unaudited)</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3" w:history="1">
              <w:r>
                <w:rPr>
                  <w:rStyle w:val="a3"/>
                  <w:rFonts w:eastAsia="Times New Roman"/>
                  <w:sz w:val="18"/>
                  <w:szCs w:val="18"/>
                </w:rPr>
                <w:t>8</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divId w:val="1803498032"/>
              <w:rPr>
                <w:rFonts w:eastAsia="Times New Roman"/>
              </w:rPr>
            </w:pPr>
            <w:hyperlink w:anchor="i2588464f77ae40b48abb7647b419da5e_52" w:history="1">
              <w:r>
                <w:rPr>
                  <w:rStyle w:val="a3"/>
                  <w:rFonts w:eastAsia="Times New Roman"/>
                  <w:sz w:val="18"/>
                  <w:szCs w:val="18"/>
                </w:rPr>
                <w:t xml:space="preserve">Consolidated Statements of Cash Flows, </w:t>
              </w:r>
            </w:hyperlink>
            <w:hyperlink w:anchor="i2588464f77ae40b48abb7647b419da5e_52" w:history="1">
              <w:r>
                <w:rPr>
                  <w:rStyle w:val="a3"/>
                  <w:rFonts w:eastAsia="Times New Roman"/>
                  <w:sz w:val="18"/>
                  <w:szCs w:val="18"/>
                </w:rPr>
                <w:t>Six</w:t>
              </w:r>
            </w:hyperlink>
            <w:hyperlink w:anchor="i2588464f77ae40b48abb7647b419da5e_52" w:history="1">
              <w:r>
                <w:rPr>
                  <w:rStyle w:val="a3"/>
                  <w:rFonts w:eastAsia="Times New Roman"/>
                  <w:sz w:val="18"/>
                  <w:szCs w:val="18"/>
                </w:rPr>
                <w:t xml:space="preserve"> Months Ended </w:t>
              </w:r>
            </w:hyperlink>
            <w:hyperlink w:anchor="i2588464f77ae40b48abb7647b419da5e_52" w:history="1">
              <w:r>
                <w:rPr>
                  <w:rStyle w:val="a3"/>
                  <w:rFonts w:eastAsia="Times New Roman"/>
                  <w:sz w:val="18"/>
                  <w:szCs w:val="18"/>
                </w:rPr>
                <w:t>June 30</w:t>
              </w:r>
            </w:hyperlink>
            <w:hyperlink w:anchor="i2588464f77ae40b48abb7647b419da5e_52" w:history="1">
              <w:r>
                <w:rPr>
                  <w:rStyle w:val="a3"/>
                  <w:rFonts w:eastAsia="Times New Roman"/>
                  <w:sz w:val="18"/>
                  <w:szCs w:val="18"/>
                </w:rPr>
                <w:t>, 2022 and 2021 (Unaudited)</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52" w:history="1">
              <w:r>
                <w:rPr>
                  <w:rStyle w:val="a3"/>
                  <w:rFonts w:eastAsia="Times New Roman"/>
                  <w:sz w:val="18"/>
                  <w:szCs w:val="18"/>
                </w:rPr>
                <w:t>9</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C524C">
            <w:pPr>
              <w:spacing w:after="100"/>
              <w:divId w:val="1995644734"/>
              <w:rPr>
                <w:rFonts w:eastAsia="Times New Roman"/>
              </w:rPr>
            </w:pPr>
            <w:hyperlink w:anchor="i2588464f77ae40b48abb7647b419da5e_58"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divId w:val="519706786"/>
              <w:rPr>
                <w:rFonts w:eastAsia="Times New Roman"/>
              </w:rPr>
            </w:pPr>
            <w:hyperlink w:anchor="i2588464f77ae40b48abb7647b419da5e_61"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61" w:history="1">
              <w:r>
                <w:rPr>
                  <w:rStyle w:val="a3"/>
                  <w:rFonts w:eastAsia="Times New Roman"/>
                  <w:sz w:val="18"/>
                  <w:szCs w:val="18"/>
                  <w:u w:val="none"/>
                </w:rPr>
                <w:t>11</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divId w:val="376242365"/>
              <w:rPr>
                <w:rFonts w:eastAsia="Times New Roman"/>
              </w:rPr>
            </w:pPr>
            <w:hyperlink w:anchor="i2588464f77ae40b48abb7647b419da5e_67"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67" w:history="1">
              <w:r>
                <w:rPr>
                  <w:rStyle w:val="a3"/>
                  <w:rFonts w:eastAsia="Times New Roman"/>
                  <w:sz w:val="18"/>
                  <w:szCs w:val="18"/>
                  <w:u w:val="none"/>
                </w:rPr>
                <w:t>12</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1637760250"/>
              <w:rPr>
                <w:rFonts w:eastAsia="Times New Roman"/>
              </w:rPr>
            </w:pPr>
            <w:hyperlink w:anchor="i2588464f77ae40b48abb7647b419da5e_106"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06" w:history="1">
              <w:r>
                <w:rPr>
                  <w:rStyle w:val="a3"/>
                  <w:rFonts w:eastAsia="Times New Roman"/>
                  <w:sz w:val="18"/>
                  <w:szCs w:val="18"/>
                  <w:u w:val="none"/>
                </w:rPr>
                <w:t>15</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1765417217"/>
              <w:rPr>
                <w:rFonts w:eastAsia="Times New Roman"/>
              </w:rPr>
            </w:pPr>
            <w:hyperlink w:anchor="i2588464f77ae40b48abb7647b419da5e_121"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21" w:history="1">
              <w:r>
                <w:rPr>
                  <w:rStyle w:val="a3"/>
                  <w:rFonts w:eastAsia="Times New Roman"/>
                  <w:sz w:val="18"/>
                  <w:szCs w:val="18"/>
                  <w:u w:val="none"/>
                </w:rPr>
                <w:t>27</w:t>
              </w:r>
            </w:hyperlink>
          </w:p>
        </w:tc>
      </w:tr>
      <w:tr w:rsidR="00000000">
        <w:trPr>
          <w:divId w:val="170726746"/>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divId w:val="1121194059"/>
              <w:rPr>
                <w:rFonts w:eastAsia="Times New Roman"/>
              </w:rPr>
            </w:pPr>
            <w:hyperlink w:anchor="i2588464f77ae40b48abb7647b419da5e_136"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36" w:history="1">
              <w:r>
                <w:rPr>
                  <w:rStyle w:val="a3"/>
                  <w:rFonts w:eastAsia="Times New Roman"/>
                  <w:sz w:val="18"/>
                  <w:szCs w:val="18"/>
                  <w:u w:val="none"/>
                </w:rPr>
                <w:t>34</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465900161"/>
              <w:rPr>
                <w:rFonts w:eastAsia="Times New Roman"/>
              </w:rPr>
            </w:pPr>
            <w:hyperlink w:anchor="i2588464f77ae40b48abb7647b419da5e_154"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54" w:history="1">
              <w:r>
                <w:rPr>
                  <w:rStyle w:val="a3"/>
                  <w:rFonts w:eastAsia="Times New Roman"/>
                  <w:sz w:val="18"/>
                  <w:szCs w:val="18"/>
                  <w:u w:val="none"/>
                </w:rPr>
                <w:t>36</w:t>
              </w:r>
            </w:hyperlink>
          </w:p>
        </w:tc>
      </w:tr>
      <w:tr w:rsidR="00000000">
        <w:trPr>
          <w:divId w:val="170726746"/>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divId w:val="2003659117"/>
              <w:rPr>
                <w:rFonts w:eastAsia="Times New Roman"/>
              </w:rPr>
            </w:pPr>
            <w:hyperlink w:anchor="i2588464f77ae40b48abb7647b419da5e_166" w:history="1">
              <w:r>
                <w:rPr>
                  <w:rStyle w:val="a3"/>
                  <w:rFonts w:eastAsia="Times New Roman"/>
                  <w:sz w:val="18"/>
                  <w:szCs w:val="18"/>
                </w:rPr>
                <w:t>Note 7 - Fair Value Disclosures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66" w:history="1">
              <w:r>
                <w:rPr>
                  <w:rStyle w:val="a3"/>
                  <w:rFonts w:eastAsia="Times New Roman"/>
                  <w:sz w:val="18"/>
                  <w:szCs w:val="18"/>
                  <w:u w:val="none"/>
                </w:rPr>
                <w:t>39</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792679053"/>
              <w:rPr>
                <w:rFonts w:eastAsia="Times New Roman"/>
              </w:rPr>
            </w:pPr>
            <w:hyperlink w:anchor="i2588464f77ae40b48abb7647b419da5e_178" w:history="1">
              <w:r>
                <w:rPr>
                  <w:rStyle w:val="a3"/>
                  <w:rFonts w:eastAsia="Times New Roman"/>
                  <w:sz w:val="18"/>
                  <w:szCs w:val="18"/>
                </w:rPr>
                <w:t>Note 8 - Employee Benefit Plans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78" w:history="1">
              <w:r>
                <w:rPr>
                  <w:rStyle w:val="a3"/>
                  <w:rFonts w:eastAsia="Times New Roman"/>
                  <w:sz w:val="18"/>
                  <w:szCs w:val="18"/>
                  <w:u w:val="none"/>
                </w:rPr>
                <w:t>56</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4484993"/>
              <w:rPr>
                <w:rFonts w:eastAsia="Times New Roman"/>
              </w:rPr>
            </w:pPr>
            <w:hyperlink w:anchor="i2588464f77ae40b48abb7647b419da5e_181" w:history="1">
              <w:r>
                <w:rPr>
                  <w:rStyle w:val="a3"/>
                  <w:rFonts w:eastAsia="Times New Roman"/>
                  <w:sz w:val="18"/>
                  <w:szCs w:val="18"/>
                </w:rPr>
                <w:t>Note 9 - Income Taxes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81" w:history="1">
              <w:r>
                <w:rPr>
                  <w:rStyle w:val="a3"/>
                  <w:rFonts w:eastAsia="Times New Roman"/>
                  <w:sz w:val="18"/>
                  <w:szCs w:val="18"/>
                  <w:u w:val="none"/>
                </w:rPr>
                <w:t>57</w:t>
              </w:r>
            </w:hyperlink>
          </w:p>
        </w:tc>
      </w:tr>
      <w:tr w:rsidR="00000000">
        <w:trPr>
          <w:divId w:val="170726746"/>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divId w:val="1338342867"/>
              <w:rPr>
                <w:rFonts w:eastAsia="Times New Roman"/>
              </w:rPr>
            </w:pPr>
            <w:hyperlink w:anchor="i2588464f77ae40b48abb7647b419da5e_187" w:history="1">
              <w:r>
                <w:rPr>
                  <w:rStyle w:val="a3"/>
                  <w:rFonts w:eastAsia="Times New Roman"/>
                  <w:sz w:val="18"/>
                  <w:szCs w:val="18"/>
                </w:rPr>
                <w:t>Note 10 - Equity</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87" w:history="1">
              <w:r>
                <w:rPr>
                  <w:rStyle w:val="a3"/>
                  <w:rFonts w:eastAsia="Times New Roman"/>
                  <w:sz w:val="18"/>
                  <w:szCs w:val="18"/>
                  <w:u w:val="none"/>
                </w:rPr>
                <w:t>57</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594947820"/>
              <w:rPr>
                <w:rFonts w:eastAsia="Times New Roman"/>
              </w:rPr>
            </w:pPr>
            <w:hyperlink w:anchor="i2588464f77ae40b48abb7647b419da5e_196" w:history="1">
              <w:r>
                <w:rPr>
                  <w:rStyle w:val="a3"/>
                  <w:rFonts w:eastAsia="Times New Roman"/>
                  <w:sz w:val="18"/>
                  <w:szCs w:val="18"/>
                </w:rPr>
                <w:t>Note 11 - Redeemable Noncontrolling Interest</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96" w:history="1">
              <w:r>
                <w:rPr>
                  <w:rStyle w:val="a3"/>
                  <w:rFonts w:eastAsia="Times New Roman"/>
                  <w:sz w:val="18"/>
                  <w:szCs w:val="18"/>
                  <w:u w:val="none"/>
                </w:rPr>
                <w:t>59</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994450130"/>
              <w:rPr>
                <w:rFonts w:eastAsia="Times New Roman"/>
              </w:rPr>
            </w:pPr>
            <w:hyperlink w:anchor="i2588464f77ae40b48abb7647b419da5e_199" w:history="1">
              <w:r>
                <w:rPr>
                  <w:rStyle w:val="a3"/>
                  <w:rFonts w:eastAsia="Times New Roman"/>
                  <w:sz w:val="18"/>
                  <w:szCs w:val="18"/>
                </w:rPr>
                <w:t>Note 12 - Commitments and Contingent Liabilities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199" w:history="1">
              <w:r>
                <w:rPr>
                  <w:rStyle w:val="a3"/>
                  <w:rFonts w:eastAsia="Times New Roman"/>
                  <w:sz w:val="18"/>
                  <w:szCs w:val="18"/>
                  <w:u w:val="none"/>
                </w:rPr>
                <w:t>60</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2147356559"/>
              <w:rPr>
                <w:rFonts w:eastAsia="Times New Roman"/>
              </w:rPr>
            </w:pPr>
            <w:hyperlink w:anchor="i2588464f77ae40b48abb7647b419da5e_211" w:history="1">
              <w:r>
                <w:rPr>
                  <w:rStyle w:val="a3"/>
                  <w:rFonts w:eastAsia="Times New Roman"/>
                  <w:sz w:val="18"/>
                  <w:szCs w:val="18"/>
                </w:rPr>
                <w:t>Note 13 - Insurance Group Statutory Financial Information</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211" w:history="1">
              <w:r>
                <w:rPr>
                  <w:rStyle w:val="a3"/>
                  <w:rFonts w:eastAsia="Times New Roman"/>
                  <w:sz w:val="18"/>
                  <w:szCs w:val="18"/>
                  <w:u w:val="none"/>
                </w:rPr>
                <w:t>63</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1720281270"/>
              <w:rPr>
                <w:rFonts w:eastAsia="Times New Roman"/>
              </w:rPr>
            </w:pPr>
            <w:hyperlink w:anchor="i2588464f77ae40b48abb7647b419da5e_223" w:history="1">
              <w:r>
                <w:rPr>
                  <w:rStyle w:val="a3"/>
                  <w:rFonts w:eastAsia="Times New Roman"/>
                  <w:sz w:val="18"/>
                  <w:szCs w:val="18"/>
                </w:rPr>
                <w:t>Note 14 - Business Segment Information</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223" w:history="1">
              <w:r>
                <w:rPr>
                  <w:rStyle w:val="a3"/>
                  <w:rFonts w:eastAsia="Times New Roman"/>
                  <w:sz w:val="18"/>
                  <w:szCs w:val="18"/>
                  <w:u w:val="none"/>
                </w:rPr>
                <w:t>65</w:t>
              </w:r>
            </w:hyperlink>
          </w:p>
        </w:tc>
      </w:tr>
      <w:tr w:rsidR="00000000">
        <w:trPr>
          <w:divId w:val="17072674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divId w:val="653686818"/>
              <w:rPr>
                <w:rFonts w:eastAsia="Times New Roman"/>
              </w:rPr>
            </w:pPr>
            <w:hyperlink w:anchor="i2588464f77ae40b48abb7647b419da5e_226" w:history="1">
              <w:r>
                <w:rPr>
                  <w:rStyle w:val="a3"/>
                  <w:rFonts w:eastAsia="Times New Roman"/>
                  <w:sz w:val="18"/>
                  <w:szCs w:val="18"/>
                </w:rPr>
                <w:t>Note 15 - Earnings per Com</w:t>
              </w:r>
              <w:r>
                <w:rPr>
                  <w:rStyle w:val="a3"/>
                  <w:rFonts w:eastAsia="Times New Roman"/>
                  <w:sz w:val="18"/>
                  <w:szCs w:val="18"/>
                </w:rPr>
                <w:t>mon Share</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226" w:history="1">
              <w:r>
                <w:rPr>
                  <w:rStyle w:val="a3"/>
                  <w:rFonts w:eastAsia="Times New Roman"/>
                  <w:sz w:val="18"/>
                  <w:szCs w:val="18"/>
                  <w:u w:val="none"/>
                </w:rPr>
                <w:t>68</w:t>
              </w:r>
            </w:hyperlink>
          </w:p>
        </w:tc>
      </w:tr>
      <w:tr w:rsidR="00000000">
        <w:trPr>
          <w:divId w:val="170726746"/>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divId w:val="1788503158"/>
              <w:rPr>
                <w:rFonts w:eastAsia="Times New Roman"/>
              </w:rPr>
            </w:pPr>
            <w:hyperlink w:anchor="i2588464f77ae40b48abb7647b419da5e_241"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5C524C">
            <w:pPr>
              <w:spacing w:after="100"/>
              <w:divId w:val="999426410"/>
              <w:rPr>
                <w:rFonts w:eastAsia="Times New Roman"/>
              </w:rPr>
            </w:pPr>
            <w:hyperlink w:anchor="i2588464f77ae40b48abb7647b419da5e_241" w:history="1">
              <w:r>
                <w:rPr>
                  <w:rStyle w:val="a3"/>
                  <w:rFonts w:eastAsia="Times New Roman"/>
                  <w:sz w:val="18"/>
                  <w:szCs w:val="18"/>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241" w:history="1">
              <w:r>
                <w:rPr>
                  <w:rStyle w:val="a3"/>
                  <w:rFonts w:eastAsia="Times New Roman"/>
                  <w:sz w:val="18"/>
                  <w:szCs w:val="18"/>
                </w:rPr>
                <w:t>69</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divId w:val="693924729"/>
              <w:rPr>
                <w:rFonts w:eastAsia="Times New Roman"/>
              </w:rPr>
            </w:pPr>
            <w:hyperlink w:anchor="i2588464f77ae40b48abb7647b419da5e_454"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5C524C">
            <w:pPr>
              <w:spacing w:after="100"/>
              <w:divId w:val="63381510"/>
              <w:rPr>
                <w:rFonts w:eastAsia="Times New Roman"/>
              </w:rPr>
            </w:pPr>
            <w:hyperlink w:anchor="i2588464f77ae40b48abb7647b419da5e_613"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54" w:history="1">
              <w:r>
                <w:rPr>
                  <w:rStyle w:val="a3"/>
                  <w:rFonts w:eastAsia="Times New Roman"/>
                  <w:sz w:val="18"/>
                  <w:szCs w:val="18"/>
                </w:rPr>
                <w:t>107</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divId w:val="446049855"/>
              <w:rPr>
                <w:rFonts w:eastAsia="Times New Roman"/>
              </w:rPr>
            </w:pPr>
            <w:hyperlink w:anchor="i2588464f77ae40b48abb7647b419da5e_457"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5C524C">
            <w:pPr>
              <w:spacing w:after="100"/>
              <w:divId w:val="1051268352"/>
              <w:rPr>
                <w:rFonts w:eastAsia="Times New Roman"/>
              </w:rPr>
            </w:pPr>
            <w:hyperlink w:anchor="i2588464f77ae40b48abb7647b419da5e_457"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57" w:history="1">
              <w:r>
                <w:rPr>
                  <w:rStyle w:val="a3"/>
                  <w:rFonts w:eastAsia="Times New Roman"/>
                  <w:sz w:val="18"/>
                  <w:szCs w:val="18"/>
                </w:rPr>
                <w:t>108</w:t>
              </w:r>
            </w:hyperlink>
          </w:p>
        </w:tc>
      </w:tr>
      <w:tr w:rsidR="00000000">
        <w:trPr>
          <w:divId w:val="170726746"/>
          <w:trHeight w:val="280"/>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6"/>
            <w:tcMar>
              <w:top w:w="30" w:type="dxa"/>
              <w:left w:w="20" w:type="dxa"/>
              <w:bottom w:w="30" w:type="dxa"/>
              <w:right w:w="20" w:type="dxa"/>
            </w:tcMar>
            <w:vAlign w:val="center"/>
            <w:hideMark/>
          </w:tcPr>
          <w:p w:rsidR="00000000" w:rsidRDefault="005C524C">
            <w:pPr>
              <w:spacing w:after="100"/>
              <w:divId w:val="1093206254"/>
              <w:rPr>
                <w:rFonts w:eastAsia="Times New Roman"/>
              </w:rPr>
            </w:pPr>
            <w:hyperlink w:anchor="i2588464f77ae40b48abb7647b419da5e_460"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5C524C">
            <w:pPr>
              <w:spacing w:after="100"/>
              <w:divId w:val="533621389"/>
              <w:rPr>
                <w:rFonts w:eastAsia="Times New Roman"/>
              </w:rPr>
            </w:pPr>
            <w:hyperlink w:anchor="i2588464f77ae40b48abb7647b419da5e_463"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63"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Item 1A.</w:t>
            </w:r>
          </w:p>
        </w:tc>
        <w:tc>
          <w:tcPr>
            <w:tcW w:w="0" w:type="auto"/>
            <w:gridSpan w:val="3"/>
            <w:tcMar>
              <w:top w:w="30" w:type="dxa"/>
              <w:left w:w="20" w:type="dxa"/>
              <w:bottom w:w="30" w:type="dxa"/>
              <w:right w:w="20" w:type="dxa"/>
            </w:tcMar>
            <w:vAlign w:val="center"/>
            <w:hideMark/>
          </w:tcPr>
          <w:p w:rsidR="00000000" w:rsidRDefault="005C524C">
            <w:pPr>
              <w:spacing w:after="100"/>
              <w:divId w:val="1022978704"/>
              <w:rPr>
                <w:rFonts w:eastAsia="Times New Roman"/>
              </w:rPr>
            </w:pPr>
            <w:hyperlink w:anchor="i2588464f77ae40b48abb7647b419da5e_556"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66"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5C524C">
            <w:pPr>
              <w:spacing w:after="100"/>
              <w:divId w:val="1156143689"/>
              <w:rPr>
                <w:rFonts w:eastAsia="Times New Roman"/>
              </w:rPr>
            </w:pPr>
            <w:hyperlink w:anchor="i2588464f77ae40b48abb7647b419da5e_469"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469"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5C524C">
            <w:pPr>
              <w:spacing w:after="100"/>
              <w:divId w:val="1204170922"/>
              <w:rPr>
                <w:rFonts w:eastAsia="Times New Roman"/>
              </w:rPr>
            </w:pPr>
            <w:hyperlink w:anchor="i2588464f77ae40b48abb7647b419da5e_472"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hyperlink w:anchor="i2588464f77ae40b48abb7647b419da5e_472"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5C524C">
            <w:pPr>
              <w:spacing w:after="100"/>
              <w:divId w:val="2023823928"/>
              <w:rPr>
                <w:rFonts w:eastAsia="Times New Roman"/>
              </w:rPr>
            </w:pPr>
            <w:hyperlink w:anchor="i2588464f77ae40b48abb7647b419da5e_475"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75"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5C524C">
            <w:pPr>
              <w:spacing w:after="100"/>
              <w:divId w:val="1636179542"/>
              <w:rPr>
                <w:rFonts w:eastAsia="Times New Roman"/>
              </w:rPr>
            </w:pPr>
            <w:hyperlink w:anchor="i2588464f77ae40b48abb7647b419da5e_697"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78" w:history="1">
              <w:r>
                <w:rPr>
                  <w:rStyle w:val="a3"/>
                  <w:rFonts w:eastAsia="Times New Roman"/>
                  <w:sz w:val="18"/>
                  <w:szCs w:val="18"/>
                </w:rPr>
                <w:t>109</w:t>
              </w:r>
            </w:hyperlink>
          </w:p>
        </w:tc>
      </w:tr>
      <w:tr w:rsidR="00000000">
        <w:trPr>
          <w:divId w:val="170726746"/>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5C524C">
            <w:pPr>
              <w:spacing w:after="100"/>
              <w:divId w:val="1746955776"/>
              <w:rPr>
                <w:rFonts w:eastAsia="Times New Roman"/>
              </w:rPr>
            </w:pPr>
            <w:hyperlink w:anchor="i2588464f77ae40b48abb7647b419da5e_481"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81" w:history="1">
              <w:r>
                <w:rPr>
                  <w:rStyle w:val="a3"/>
                  <w:rFonts w:eastAsia="Times New Roman"/>
                  <w:sz w:val="18"/>
                  <w:szCs w:val="18"/>
                </w:rPr>
                <w:t>110</w:t>
              </w:r>
            </w:hyperlink>
          </w:p>
        </w:tc>
      </w:tr>
      <w:tr w:rsidR="00000000">
        <w:trPr>
          <w:divId w:val="170726746"/>
          <w:trHeight w:val="280"/>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726746"/>
          <w:jc w:val="center"/>
        </w:trPr>
        <w:tc>
          <w:tcPr>
            <w:tcW w:w="0" w:type="auto"/>
            <w:gridSpan w:val="6"/>
            <w:tcMar>
              <w:top w:w="30" w:type="dxa"/>
              <w:left w:w="20" w:type="dxa"/>
              <w:bottom w:w="30" w:type="dxa"/>
              <w:right w:w="20" w:type="dxa"/>
            </w:tcMar>
            <w:vAlign w:val="center"/>
            <w:hideMark/>
          </w:tcPr>
          <w:p w:rsidR="00000000" w:rsidRDefault="005C524C">
            <w:pPr>
              <w:spacing w:after="100"/>
              <w:divId w:val="487131728"/>
              <w:rPr>
                <w:rFonts w:eastAsia="Times New Roman"/>
              </w:rPr>
            </w:pPr>
            <w:hyperlink w:anchor="i2588464f77ae40b48abb7647b419da5e_739"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hyperlink w:anchor="i2588464f77ae40b48abb7647b419da5e_490" w:history="1">
              <w:r>
                <w:rPr>
                  <w:rStyle w:val="a3"/>
                  <w:rFonts w:eastAsia="Times New Roman"/>
                  <w:sz w:val="18"/>
                  <w:szCs w:val="18"/>
                </w:rPr>
                <w:t>116</w:t>
              </w:r>
            </w:hyperlink>
          </w:p>
        </w:tc>
      </w:tr>
    </w:tbl>
    <w:p w:rsidR="00000000" w:rsidRDefault="005C524C">
      <w:pPr>
        <w:divId w:val="483667175"/>
        <w:rPr>
          <w:rFonts w:eastAsia="Times New Roman"/>
        </w:rPr>
      </w:pPr>
    </w:p>
    <w:p w:rsidR="00000000" w:rsidRDefault="005C524C">
      <w:pPr>
        <w:divId w:val="855852156"/>
        <w:rPr>
          <w:rFonts w:eastAsia="Times New Roman"/>
        </w:rPr>
      </w:pPr>
    </w:p>
    <w:p w:rsidR="00000000" w:rsidRDefault="005C524C">
      <w:pPr>
        <w:rPr>
          <w:rFonts w:eastAsia="Times New Roman"/>
        </w:rPr>
      </w:pPr>
      <w:r>
        <w:rPr>
          <w:rFonts w:eastAsia="Times New Roman"/>
        </w:rPr>
        <w:pict>
          <v:rect id="_x0000_i1027" style="width:0;height:1.5pt" o:hralign="center" o:hrstd="t" o:hr="t" fillcolor="#a0a0a0" stroked="f"/>
        </w:pict>
      </w:r>
    </w:p>
    <w:p w:rsidR="00000000" w:rsidRDefault="005C524C">
      <w:pPr>
        <w:divId w:val="176286744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292519526"/>
        <w:rPr>
          <w:rFonts w:eastAsia="Times New Roman"/>
        </w:rPr>
      </w:pPr>
      <w:r>
        <w:rPr>
          <w:rFonts w:eastAsia="Times New Roman"/>
          <w:b/>
          <w:bCs/>
          <w:color w:val="000000"/>
          <w:sz w:val="20"/>
          <w:szCs w:val="20"/>
        </w:rPr>
        <w:t xml:space="preserve">NOTE REGARDING FORWARD-LOOKING STATEMENTS AND INFORMATION </w:t>
      </w:r>
    </w:p>
    <w:p w:rsidR="00000000" w:rsidRDefault="005C524C">
      <w:pPr>
        <w:ind w:firstLine="360"/>
        <w:divId w:val="832259773"/>
        <w:rPr>
          <w:rFonts w:eastAsia="Times New Roman"/>
        </w:rPr>
      </w:pPr>
      <w:r>
        <w:rPr>
          <w:rFonts w:eastAsia="Times New Roman"/>
          <w:color w:val="000000"/>
          <w:sz w:val="20"/>
          <w:szCs w:val="20"/>
        </w:rPr>
        <w:t>Certain of the statements included or incorporated by reference in this Quarterly Report on Form 10-Q constitute forward-looking statements within the meaning of the Private Securities Litigation Reform Act of 1995. Words such as “expects,” “believes,” “an</w:t>
      </w:r>
      <w:r>
        <w:rPr>
          <w:rFonts w:eastAsia="Times New Roman"/>
          <w:color w:val="000000"/>
          <w:sz w:val="20"/>
          <w:szCs w:val="20"/>
        </w:rPr>
        <w:t xml:space="preserve">ticipates,” “intends,” “seeks,” “aims,” “plans,” “assumes,” “estimates,” “projects,” “should,” “would,” “could,” “may,” “will,” “shall” or variations of such words are generally part of forward-looking statements. Forward-looking statements are made based </w:t>
      </w:r>
      <w:r>
        <w:rPr>
          <w:rFonts w:eastAsia="Times New Roman"/>
          <w:color w:val="000000"/>
          <w:sz w:val="20"/>
          <w:szCs w:val="20"/>
        </w:rPr>
        <w:t>on management’s current expectations and beliefs concerning future developments and their potential effects upon Equitable Holdings, Inc. (“Holdings”) and its consolidated subsidiaries. “We,” “us” and “our” refer to Holdings and its consolidated subsidiari</w:t>
      </w:r>
      <w:r>
        <w:rPr>
          <w:rFonts w:eastAsia="Times New Roman"/>
          <w:color w:val="000000"/>
          <w:sz w:val="20"/>
          <w:szCs w:val="20"/>
        </w:rPr>
        <w:t>es, unless the context refers only to Holdings as a corporate entity. There can be no assurance that future developments affecting Holdings will be those anticipated by management. Forward-looking statements include, without limitation, all matters that ar</w:t>
      </w:r>
      <w:r>
        <w:rPr>
          <w:rFonts w:eastAsia="Times New Roman"/>
          <w:color w:val="000000"/>
          <w:sz w:val="20"/>
          <w:szCs w:val="20"/>
        </w:rPr>
        <w:t xml:space="preserve">e not historical facts. </w:t>
      </w:r>
    </w:p>
    <w:p w:rsidR="00000000" w:rsidRDefault="005C524C">
      <w:pPr>
        <w:ind w:firstLine="360"/>
        <w:divId w:val="1741562674"/>
        <w:rPr>
          <w:rFonts w:eastAsia="Times New Roman"/>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w:t>
      </w:r>
      <w:r>
        <w:rPr>
          <w:rFonts w:eastAsia="Times New Roman"/>
          <w:color w:val="000000"/>
          <w:sz w:val="20"/>
          <w:szCs w:val="20"/>
        </w:rPr>
        <w:t>ns or estimates reflected in such forward-looking statements, including, among others: (i) conditions in the financial markets and economy, including the impact of COVID-19 and related economic conditions, equity market declines and volatility, interest ra</w:t>
      </w:r>
      <w:r>
        <w:rPr>
          <w:rFonts w:eastAsia="Times New Roman"/>
          <w:color w:val="000000"/>
          <w:sz w:val="20"/>
          <w:szCs w:val="20"/>
        </w:rPr>
        <w:t>te fluctuations, impacts on our goodwill and changes in liquidity and access to and cost of capital; (ii) operational factors, including reliance on the payment of dividends to Holdings by its subsidiaries, protection of confidential customer information o</w:t>
      </w:r>
      <w:r>
        <w:rPr>
          <w:rFonts w:eastAsia="Times New Roman"/>
          <w:color w:val="000000"/>
          <w:sz w:val="20"/>
          <w:szCs w:val="20"/>
        </w:rPr>
        <w:t xml:space="preserve">r proprietary business information, operational failures by us or our service providers, and catastrophic events, such as the outbreak of pandemic diseases including COVID-19; (iii) credit, counterparties and investments, including counterparty default on </w:t>
      </w:r>
      <w:r>
        <w:rPr>
          <w:rFonts w:eastAsia="Times New Roman"/>
          <w:color w:val="000000"/>
          <w:sz w:val="20"/>
          <w:szCs w:val="20"/>
        </w:rPr>
        <w:t xml:space="preserve">derivative contracts, failure of financial institutions, defaults by third parties and affiliates and economic downturns, defaults and other events adversely affecting our investments; (iv) our reinsurance and hedging programs; (v) our products, structure </w:t>
      </w:r>
      <w:r>
        <w:rPr>
          <w:rFonts w:eastAsia="Times New Roman"/>
          <w:color w:val="000000"/>
          <w:sz w:val="20"/>
          <w:szCs w:val="20"/>
        </w:rPr>
        <w:t>and product distribution, including variable annuity guaranteed benefits features within certain of our products, variations in statutory capital requirements, financial strength and claims-paying ratings, state insurance laws limiting the ability of our i</w:t>
      </w:r>
      <w:r>
        <w:rPr>
          <w:rFonts w:eastAsia="Times New Roman"/>
          <w:color w:val="000000"/>
          <w:sz w:val="20"/>
          <w:szCs w:val="20"/>
        </w:rPr>
        <w:t>nsurance subsidiaries to pay dividends and key product distribution relationships; (vi) estimates, assumptions and valuations, including risk management policies and procedures, potential inadequacy of reserves and experience differing from pricing expecta</w:t>
      </w:r>
      <w:r>
        <w:rPr>
          <w:rFonts w:eastAsia="Times New Roman"/>
          <w:color w:val="000000"/>
          <w:sz w:val="20"/>
          <w:szCs w:val="20"/>
        </w:rPr>
        <w:t>tions, amortization of deferred acquisition costs and financial models; (vii) our Investment Management and Research segment, including fluctuations in assets under management and the industry-wide shift from actively-managed investment services to passive</w:t>
      </w:r>
      <w:r>
        <w:rPr>
          <w:rFonts w:eastAsia="Times New Roman"/>
          <w:color w:val="000000"/>
          <w:sz w:val="20"/>
          <w:szCs w:val="20"/>
        </w:rPr>
        <w:t xml:space="preserve"> services; (viii) legal and regulatory risks, including federal and state legislation affecting financial institutions, insurance regulation and tax reform; (ix) risks related to our common stock and (x) general risks, including strong industry competition</w:t>
      </w:r>
      <w:r>
        <w:rPr>
          <w:rFonts w:eastAsia="Times New Roman"/>
          <w:color w:val="000000"/>
          <w:sz w:val="20"/>
          <w:szCs w:val="20"/>
        </w:rPr>
        <w:t xml:space="preserve">, information systems failing or being compromised and protecting our intellectual property. </w:t>
      </w:r>
    </w:p>
    <w:p w:rsidR="00000000" w:rsidRDefault="005C524C">
      <w:pPr>
        <w:ind w:firstLine="360"/>
        <w:divId w:val="1025979385"/>
        <w:rPr>
          <w:rFonts w:eastAsia="Times New Roman"/>
        </w:rPr>
      </w:pPr>
      <w:r>
        <w:rPr>
          <w:rFonts w:eastAsia="Times New Roman"/>
          <w:color w:val="000000"/>
          <w:sz w:val="20"/>
          <w:szCs w:val="20"/>
        </w:rPr>
        <w:lastRenderedPageBreak/>
        <w:t>Forward-looking statements should be read in conjunction with the other cautionary statements, risks, uncertainties and other factors identified in Holdings’ Annu</w:t>
      </w:r>
      <w:r>
        <w:rPr>
          <w:rFonts w:eastAsia="Times New Roman"/>
          <w:color w:val="000000"/>
          <w:sz w:val="20"/>
          <w:szCs w:val="20"/>
        </w:rPr>
        <w:t>al Report on Form 10-K for the year ended December 31, 2021, as amended or supplemented in our subsequently filed Quarterly Reports on Form 10-Q, including in the section entitled “Risk Factors,” and elsewhere in this Quarterly Report on Form 10-Q. You sho</w:t>
      </w:r>
      <w:r>
        <w:rPr>
          <w:rFonts w:eastAsia="Times New Roman"/>
          <w:color w:val="000000"/>
          <w:sz w:val="20"/>
          <w:szCs w:val="20"/>
        </w:rPr>
        <w:t>uld read this Form 10-Q completely and with the understanding that actual future results may be materially different from expectations. Further, any forward-looking statement speaks only as of the date on which it is made, and we undertake no obligation to</w:t>
      </w:r>
      <w:r>
        <w:rPr>
          <w:rFonts w:eastAsia="Times New Roman"/>
          <w:color w:val="000000"/>
          <w:sz w:val="20"/>
          <w:szCs w:val="20"/>
        </w:rPr>
        <w:t xml:space="preserve"> update or revise any forward-looking statement to reflect events or circumstances after the date on which the statement is made or to reflect the occurrence of unanticipated events, except as otherwise may be required by law.</w:t>
      </w:r>
    </w:p>
    <w:p w:rsidR="00000000" w:rsidRDefault="005C524C">
      <w:pPr>
        <w:ind w:firstLine="360"/>
        <w:divId w:val="1616249070"/>
        <w:rPr>
          <w:rFonts w:eastAsia="Times New Roman"/>
        </w:rPr>
      </w:pPr>
      <w:r>
        <w:rPr>
          <w:rFonts w:eastAsia="Times New Roman"/>
          <w:color w:val="000000"/>
          <w:sz w:val="20"/>
          <w:szCs w:val="20"/>
        </w:rPr>
        <w:t>Other risks, uncertainties an</w:t>
      </w:r>
      <w:r>
        <w:rPr>
          <w:rFonts w:eastAsia="Times New Roman"/>
          <w:color w:val="000000"/>
          <w:sz w:val="20"/>
          <w:szCs w:val="20"/>
        </w:rPr>
        <w:t>d factors, including those discussed under “Risk Factors”, in our Annual Report on Form 10-K could cause our actual results to differ materially from those projected in any forward-looking statements we make. Readers should read carefully the factors descr</w:t>
      </w:r>
      <w:r>
        <w:rPr>
          <w:rFonts w:eastAsia="Times New Roman"/>
          <w:color w:val="000000"/>
          <w:sz w:val="20"/>
          <w:szCs w:val="20"/>
        </w:rPr>
        <w:t xml:space="preserve">ibed in “Risk Factors” in our Annual Report on Form 10-K to better understand the risks and uncertainties inherent in our business and underlying any forward-looking statements. </w:t>
      </w:r>
    </w:p>
    <w:p w:rsidR="00000000" w:rsidRDefault="005C524C">
      <w:pPr>
        <w:ind w:firstLine="360"/>
        <w:divId w:val="689836478"/>
        <w:rPr>
          <w:rFonts w:eastAsia="Times New Roman"/>
        </w:rPr>
      </w:pPr>
      <w:r>
        <w:rPr>
          <w:rFonts w:eastAsia="Times New Roman"/>
          <w:color w:val="000000"/>
          <w:sz w:val="20"/>
          <w:szCs w:val="20"/>
        </w:rPr>
        <w:t>Throughout this Quarterly Report on Form 10-Q we use certain defined terms an</w:t>
      </w:r>
      <w:r>
        <w:rPr>
          <w:rFonts w:eastAsia="Times New Roman"/>
          <w:color w:val="000000"/>
          <w:sz w:val="20"/>
          <w:szCs w:val="20"/>
        </w:rPr>
        <w:t>d abbreviations, which are summarized in the “Glossary” and “Acronyms” sections.</w:t>
      </w:r>
    </w:p>
    <w:p w:rsidR="00000000" w:rsidRDefault="005C524C">
      <w:pPr>
        <w:jc w:val="center"/>
        <w:divId w:val="867991061"/>
        <w:rPr>
          <w:rFonts w:eastAsia="Times New Roman"/>
        </w:rPr>
      </w:pPr>
      <w:r>
        <w:rPr>
          <w:rFonts w:eastAsia="Times New Roman"/>
          <w:color w:val="000000"/>
          <w:sz w:val="20"/>
          <w:szCs w:val="20"/>
        </w:rPr>
        <w:t>2</w:t>
      </w:r>
    </w:p>
    <w:p w:rsidR="00000000" w:rsidRDefault="005C524C">
      <w:pPr>
        <w:rPr>
          <w:rFonts w:eastAsia="Times New Roman"/>
        </w:rPr>
      </w:pPr>
      <w:r>
        <w:rPr>
          <w:rFonts w:eastAsia="Times New Roman"/>
        </w:rPr>
        <w:pict>
          <v:rect id="_x0000_i1028" style="width:0;height:1.5pt" o:hralign="center" o:hrstd="t" o:hr="t" fillcolor="#a0a0a0" stroked="f"/>
        </w:pict>
      </w:r>
    </w:p>
    <w:p w:rsidR="00000000" w:rsidRDefault="005C524C">
      <w:pPr>
        <w:divId w:val="28975072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124613781"/>
        <w:rPr>
          <w:rFonts w:eastAsia="Times New Roman"/>
        </w:rPr>
      </w:pPr>
      <w:r>
        <w:rPr>
          <w:rFonts w:eastAsia="Times New Roman"/>
          <w:b/>
          <w:bCs/>
          <w:color w:val="000000"/>
          <w:sz w:val="20"/>
          <w:szCs w:val="20"/>
        </w:rPr>
        <w:t xml:space="preserve">Part I FINANCIAL INFORMATION </w:t>
      </w:r>
    </w:p>
    <w:p w:rsidR="00000000" w:rsidRDefault="005C524C">
      <w:pPr>
        <w:divId w:val="64887321"/>
        <w:rPr>
          <w:rFonts w:eastAsia="Times New Roman"/>
        </w:rPr>
      </w:pPr>
      <w:r>
        <w:rPr>
          <w:rFonts w:eastAsia="Times New Roman"/>
          <w:b/>
          <w:bCs/>
          <w:color w:val="000000"/>
          <w:sz w:val="20"/>
          <w:szCs w:val="20"/>
        </w:rPr>
        <w:t>Item 1. Consolidated Financia</w:t>
      </w:r>
      <w:r>
        <w:rPr>
          <w:rFonts w:eastAsia="Times New Roman"/>
          <w:b/>
          <w:bCs/>
          <w:color w:val="000000"/>
          <w:sz w:val="20"/>
          <w:szCs w:val="20"/>
        </w:rPr>
        <w:t xml:space="preserve">l Statements </w:t>
      </w:r>
    </w:p>
    <w:p w:rsidR="00000000" w:rsidRDefault="005C524C">
      <w:pPr>
        <w:divId w:val="893005967"/>
        <w:rPr>
          <w:rFonts w:eastAsia="Times New Roman"/>
        </w:rPr>
      </w:pPr>
    </w:p>
    <w:p w:rsidR="00000000" w:rsidRDefault="005C524C">
      <w:pPr>
        <w:jc w:val="center"/>
        <w:divId w:val="2113696782"/>
        <w:rPr>
          <w:rFonts w:eastAsia="Times New Roman"/>
        </w:rPr>
      </w:pPr>
      <w:r>
        <w:rPr>
          <w:rFonts w:eastAsia="Times New Roman"/>
          <w:color w:val="000000"/>
          <w:sz w:val="20"/>
          <w:szCs w:val="20"/>
        </w:rPr>
        <w:t>3</w:t>
      </w:r>
    </w:p>
    <w:p w:rsidR="00000000" w:rsidRDefault="005C524C">
      <w:pPr>
        <w:rPr>
          <w:rFonts w:eastAsia="Times New Roman"/>
        </w:rPr>
      </w:pPr>
      <w:r>
        <w:rPr>
          <w:rFonts w:eastAsia="Times New Roman"/>
        </w:rPr>
        <w:pict>
          <v:rect id="_x0000_i1029" style="width:0;height:1.5pt" o:hralign="center" o:hrstd="t" o:hr="t" fillcolor="#a0a0a0" stroked="f"/>
        </w:pict>
      </w:r>
    </w:p>
    <w:p w:rsidR="00000000" w:rsidRDefault="005C524C">
      <w:pPr>
        <w:jc w:val="center"/>
        <w:divId w:val="2044088267"/>
        <w:rPr>
          <w:rFonts w:eastAsia="Times New Roman"/>
        </w:rPr>
      </w:pPr>
      <w:r>
        <w:rPr>
          <w:rFonts w:eastAsia="Times New Roman"/>
          <w:b/>
          <w:bCs/>
          <w:color w:val="000000"/>
          <w:sz w:val="20"/>
          <w:szCs w:val="20"/>
        </w:rPr>
        <w:t>EQUITABLE HOLDINGS, INC.</w:t>
      </w:r>
    </w:p>
    <w:p w:rsidR="00000000" w:rsidRDefault="005C524C">
      <w:pPr>
        <w:jc w:val="center"/>
        <w:divId w:val="2044088267"/>
        <w:rPr>
          <w:rFonts w:eastAsia="Times New Roman"/>
        </w:rPr>
      </w:pPr>
      <w:r>
        <w:rPr>
          <w:rFonts w:eastAsia="Times New Roman"/>
          <w:b/>
          <w:bCs/>
          <w:color w:val="000000"/>
          <w:sz w:val="20"/>
          <w:szCs w:val="20"/>
        </w:rPr>
        <w:t>Consolidated Balance Sheets</w:t>
      </w:r>
    </w:p>
    <w:p w:rsidR="00000000" w:rsidRDefault="005C524C">
      <w:pPr>
        <w:jc w:val="center"/>
        <w:divId w:val="2044088267"/>
        <w:rPr>
          <w:rFonts w:eastAsia="Times New Roman"/>
        </w:rPr>
      </w:pPr>
      <w:r>
        <w:rPr>
          <w:rFonts w:eastAsia="Times New Roman"/>
          <w:b/>
          <w:bCs/>
          <w:color w:val="000000"/>
          <w:sz w:val="20"/>
          <w:szCs w:val="20"/>
        </w:rPr>
        <w:t>June 30, 2022 (Unaudited) and December 31, 2021</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6094"/>
        <w:gridCol w:w="38"/>
        <w:gridCol w:w="120"/>
        <w:gridCol w:w="805"/>
        <w:gridCol w:w="36"/>
        <w:gridCol w:w="36"/>
        <w:gridCol w:w="36"/>
        <w:gridCol w:w="36"/>
        <w:gridCol w:w="120"/>
        <w:gridCol w:w="899"/>
        <w:gridCol w:w="36"/>
      </w:tblGrid>
      <w:tr w:rsidR="00000000">
        <w:trPr>
          <w:jc w:val="center"/>
        </w:trPr>
        <w:tc>
          <w:tcPr>
            <w:tcW w:w="50" w:type="pct"/>
            <w:vAlign w:val="center"/>
            <w:hideMark/>
          </w:tcPr>
          <w:p w:rsidR="00000000" w:rsidRDefault="005C524C">
            <w:pPr>
              <w:jc w:val="center"/>
              <w:rPr>
                <w:rFonts w:eastAsia="Times New Roman"/>
              </w:rPr>
            </w:pPr>
          </w:p>
        </w:tc>
        <w:tc>
          <w:tcPr>
            <w:tcW w:w="369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1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9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 except share data)</w:t>
            </w: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086803472"/>
              <w:rPr>
                <w:rFonts w:eastAsia="Times New Roman"/>
              </w:rPr>
            </w:pPr>
            <w:r>
              <w:rPr>
                <w:rFonts w:eastAsia="Times New Roman"/>
                <w:color w:val="000000"/>
                <w:sz w:val="20"/>
                <w:szCs w:val="20"/>
              </w:rPr>
              <w:t>Fixed maturities available-for-sale, at fair value (amortized cost of $74,238 and $73,429) (allowance for credit losses of $19 and $22)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78,216 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1320377783"/>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698312419"/>
              <w:rPr>
                <w:rFonts w:eastAsia="Times New Roman"/>
              </w:rPr>
            </w:pPr>
            <w:r>
              <w:rPr>
                <w:rFonts w:eastAsia="Times New Roman"/>
                <w:color w:val="000000"/>
                <w:sz w:val="20"/>
                <w:szCs w:val="20"/>
              </w:rPr>
              <w:t>Mortgage loans on real estate (net of allowance for credit losses of $64 and $62)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4,024 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3,591 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93,216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lastRenderedPageBreak/>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2,599 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5,491 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2060668911"/>
              <w:rPr>
                <w:rFonts w:eastAsia="Times New Roman"/>
              </w:rPr>
            </w:pPr>
            <w:r>
              <w:rPr>
                <w:rFonts w:eastAsia="Times New Roman"/>
                <w:color w:val="000000"/>
                <w:sz w:val="20"/>
                <w:szCs w:val="20"/>
              </w:rPr>
              <w:t>Amounts due from reinsurers (allowance for credit losses of $6 and $5) (includes amounts accounted for at fair value of $4,681 and $5,813)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13,758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14,679 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3,613 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 assets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147,306 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253,482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account balances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79,357 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34,717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36,717 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1,283 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Customer related payables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Amounts due to reinsurers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116,765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147,306 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246,135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278,699 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Redeemable noncontrolling interest (1) (2)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769160009"/>
              <w:rPr>
                <w:rFonts w:eastAsia="Times New Roman"/>
              </w:rPr>
            </w:pPr>
            <w:r>
              <w:rPr>
                <w:rFonts w:eastAsia="Times New Roman"/>
                <w:color w:val="000000"/>
                <w:sz w:val="20"/>
                <w:szCs w:val="20"/>
              </w:rPr>
              <w:t>Commitments and contingent liabilities (Note 12)</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465467160"/>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1419016043"/>
              <w:rPr>
                <w:rFonts w:eastAsia="Times New Roman"/>
              </w:rPr>
            </w:pPr>
            <w:r>
              <w:rPr>
                <w:rFonts w:eastAsia="Times New Roman"/>
                <w:color w:val="000000"/>
                <w:sz w:val="20"/>
                <w:szCs w:val="20"/>
              </w:rPr>
              <w:t xml:space="preserve">Common stock, $0.01 par value, 2,000,000,000 shares authorized; 512,621,318 and </w:t>
            </w:r>
            <w:r>
              <w:rPr>
                <w:rFonts w:eastAsia="Times New Roman"/>
                <w:color w:val="000000"/>
                <w:sz w:val="20"/>
                <w:szCs w:val="20"/>
              </w:rPr>
              <w:t>520,918,331 shares issued, respectively; 376,922,387 and 391,290,224 shares outstanding, respectively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2059475117"/>
              <w:rPr>
                <w:rFonts w:eastAsia="Times New Roman"/>
              </w:rPr>
            </w:pPr>
            <w:r>
              <w:rPr>
                <w:rFonts w:eastAsia="Times New Roman"/>
                <w:color w:val="000000"/>
                <w:sz w:val="20"/>
                <w:szCs w:val="20"/>
              </w:rPr>
              <w:t xml:space="preserve">Treasury stock, at cost, 135,698,931 and 129,628,107 </w:t>
            </w:r>
            <w:r>
              <w:rPr>
                <w:rFonts w:eastAsia="Times New Roman"/>
                <w:color w:val="000000"/>
                <w:sz w:val="20"/>
                <w:szCs w:val="20"/>
              </w:rPr>
              <w:t>shares, respectively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(3,065)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8,880 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(5,548)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5,589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1,576 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lastRenderedPageBreak/>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253,482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292,262 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270"/>
        <w:divId w:val="2112620869"/>
        <w:rPr>
          <w:rFonts w:eastAsia="Times New Roman"/>
        </w:rPr>
      </w:pPr>
      <w:r>
        <w:rPr>
          <w:rFonts w:eastAsia="Times New Roman"/>
          <w:color w:val="000000"/>
          <w:sz w:val="18"/>
          <w:szCs w:val="18"/>
        </w:rPr>
        <w:t>____________</w:t>
      </w:r>
    </w:p>
    <w:p w:rsidR="00000000" w:rsidRDefault="005C524C">
      <w:pPr>
        <w:ind w:hanging="360"/>
        <w:divId w:val="360937000"/>
        <w:rPr>
          <w:rFonts w:eastAsia="Times New Roman"/>
        </w:rPr>
      </w:pPr>
      <w:r>
        <w:rPr>
          <w:rFonts w:eastAsia="Times New Roman"/>
          <w:color w:val="000000"/>
          <w:sz w:val="18"/>
          <w:szCs w:val="18"/>
        </w:rPr>
        <w:t>(1) See Note 2 of the Notes to these Consolidated Financial Statements for details of balances with VIEs.</w:t>
      </w:r>
    </w:p>
    <w:p w:rsidR="00000000" w:rsidRDefault="005C524C">
      <w:pPr>
        <w:ind w:hanging="360"/>
        <w:divId w:val="18090270"/>
        <w:rPr>
          <w:rFonts w:eastAsia="Times New Roman"/>
        </w:rPr>
      </w:pPr>
      <w:r>
        <w:rPr>
          <w:rFonts w:eastAsia="Times New Roman"/>
          <w:color w:val="000000"/>
          <w:sz w:val="18"/>
          <w:szCs w:val="18"/>
        </w:rPr>
        <w:t xml:space="preserve">(2) </w:t>
      </w:r>
      <w:r>
        <w:rPr>
          <w:rFonts w:eastAsia="Times New Roman"/>
          <w:color w:val="000000"/>
          <w:sz w:val="18"/>
          <w:szCs w:val="18"/>
        </w:rPr>
        <w:t>See Note 11 of the Notes to these Consolidated Financial Statements for details of redeemable noncontrolling interest.</w:t>
      </w:r>
    </w:p>
    <w:p w:rsidR="00000000" w:rsidRDefault="005C524C">
      <w:pPr>
        <w:ind w:hanging="270"/>
        <w:divId w:val="1379087064"/>
        <w:rPr>
          <w:rFonts w:eastAsia="Times New Roman"/>
        </w:rPr>
      </w:pPr>
      <w:r>
        <w:rPr>
          <w:rFonts w:eastAsia="Times New Roman"/>
          <w:color w:val="000000"/>
          <w:sz w:val="18"/>
          <w:szCs w:val="18"/>
        </w:rPr>
        <w:t xml:space="preserve">(3) Represents the fair value of the ceded reserves to Venerable. See Note 1 of the Notes to these Consolidated Financial Statements for </w:t>
      </w:r>
      <w:r>
        <w:rPr>
          <w:rFonts w:eastAsia="Times New Roman"/>
          <w:color w:val="000000"/>
          <w:sz w:val="18"/>
          <w:szCs w:val="18"/>
        </w:rPr>
        <w:t>details of the Venerable Transaction and Note 8 of the Notes to these Consolidated Financial Statements .</w:t>
      </w:r>
    </w:p>
    <w:p w:rsidR="00000000" w:rsidRDefault="005C524C">
      <w:pPr>
        <w:jc w:val="center"/>
        <w:rPr>
          <w:rFonts w:eastAsia="Times New Roman"/>
        </w:rPr>
      </w:pPr>
      <w:r>
        <w:rPr>
          <w:rFonts w:eastAsia="Times New Roman"/>
          <w:color w:val="000000"/>
          <w:sz w:val="20"/>
          <w:szCs w:val="20"/>
        </w:rPr>
        <w:t>See Notes to Consolidated Financial Statements (Unaudited).</w:t>
      </w:r>
    </w:p>
    <w:p w:rsidR="00000000" w:rsidRDefault="005C524C">
      <w:pPr>
        <w:jc w:val="center"/>
        <w:divId w:val="805007280"/>
        <w:rPr>
          <w:rFonts w:eastAsia="Times New Roman"/>
        </w:rPr>
      </w:pPr>
      <w:r>
        <w:rPr>
          <w:rFonts w:eastAsia="Times New Roman"/>
          <w:color w:val="000000"/>
          <w:sz w:val="20"/>
          <w:szCs w:val="20"/>
        </w:rPr>
        <w:t>4</w:t>
      </w:r>
    </w:p>
    <w:p w:rsidR="00000000" w:rsidRDefault="005C524C">
      <w:pPr>
        <w:rPr>
          <w:rFonts w:eastAsia="Times New Roman"/>
        </w:rPr>
      </w:pPr>
      <w:r>
        <w:rPr>
          <w:rFonts w:eastAsia="Times New Roman"/>
        </w:rPr>
        <w:pict>
          <v:rect id="_x0000_i1030" style="width:0;height:1.5pt" o:hralign="center" o:hrstd="t" o:hr="t" fillcolor="#a0a0a0" stroked="f"/>
        </w:pict>
      </w:r>
    </w:p>
    <w:p w:rsidR="00000000" w:rsidRDefault="005C524C">
      <w:pPr>
        <w:jc w:val="center"/>
        <w:divId w:val="326130195"/>
        <w:rPr>
          <w:rFonts w:eastAsia="Times New Roman"/>
        </w:rPr>
      </w:pPr>
      <w:r>
        <w:rPr>
          <w:rFonts w:eastAsia="Times New Roman"/>
          <w:b/>
          <w:bCs/>
          <w:color w:val="000000"/>
          <w:sz w:val="20"/>
          <w:szCs w:val="20"/>
        </w:rPr>
        <w:t>EQUITABLE HOLDINGS, INC.</w:t>
      </w:r>
    </w:p>
    <w:p w:rsidR="00000000" w:rsidRDefault="005C524C">
      <w:pPr>
        <w:jc w:val="center"/>
        <w:divId w:val="326130195"/>
        <w:rPr>
          <w:rFonts w:eastAsia="Times New Roman"/>
        </w:rPr>
      </w:pPr>
      <w:r>
        <w:rPr>
          <w:rFonts w:eastAsia="Times New Roman"/>
          <w:b/>
          <w:bCs/>
          <w:color w:val="000000"/>
          <w:sz w:val="20"/>
          <w:szCs w:val="20"/>
        </w:rPr>
        <w:t xml:space="preserve">Consolidated Statements of </w:t>
      </w:r>
      <w:r>
        <w:rPr>
          <w:rFonts w:eastAsia="Times New Roman"/>
          <w:b/>
          <w:bCs/>
          <w:color w:val="000000"/>
          <w:sz w:val="20"/>
          <w:szCs w:val="20"/>
        </w:rPr>
        <w:t>Income (Loss)</w:t>
      </w:r>
    </w:p>
    <w:p w:rsidR="00000000" w:rsidRDefault="005C524C">
      <w:pPr>
        <w:jc w:val="center"/>
        <w:divId w:val="326130195"/>
        <w:rPr>
          <w:rFonts w:eastAsia="Times New Roman"/>
        </w:rPr>
      </w:pPr>
      <w:r>
        <w:rPr>
          <w:rFonts w:eastAsia="Times New Roman"/>
          <w:b/>
          <w:bCs/>
          <w:color w:val="000000"/>
          <w:sz w:val="20"/>
          <w:szCs w:val="20"/>
        </w:rPr>
        <w:t>Three and Six Months Ended June 30, 2022 and 2021 (Unaudited)</w:t>
      </w:r>
    </w:p>
    <w:p w:rsidR="00000000" w:rsidRDefault="005C524C">
      <w:pPr>
        <w:divId w:val="5372009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275"/>
        <w:gridCol w:w="37"/>
        <w:gridCol w:w="120"/>
        <w:gridCol w:w="710"/>
        <w:gridCol w:w="36"/>
        <w:gridCol w:w="36"/>
        <w:gridCol w:w="36"/>
        <w:gridCol w:w="36"/>
        <w:gridCol w:w="121"/>
        <w:gridCol w:w="665"/>
        <w:gridCol w:w="36"/>
        <w:gridCol w:w="36"/>
        <w:gridCol w:w="36"/>
        <w:gridCol w:w="36"/>
        <w:gridCol w:w="120"/>
        <w:gridCol w:w="666"/>
        <w:gridCol w:w="36"/>
        <w:gridCol w:w="36"/>
        <w:gridCol w:w="36"/>
        <w:gridCol w:w="36"/>
        <w:gridCol w:w="120"/>
        <w:gridCol w:w="750"/>
        <w:gridCol w:w="36"/>
        <w:gridCol w:w="36"/>
        <w:gridCol w:w="36"/>
        <w:gridCol w:w="36"/>
        <w:gridCol w:w="36"/>
        <w:gridCol w:w="36"/>
        <w:gridCol w:w="36"/>
      </w:tblGrid>
      <w:tr w:rsidR="00000000">
        <w:trPr>
          <w:divId w:val="1774131350"/>
        </w:trPr>
        <w:tc>
          <w:tcPr>
            <w:tcW w:w="50" w:type="pct"/>
            <w:vAlign w:val="center"/>
            <w:hideMark/>
          </w:tcPr>
          <w:p w:rsidR="00000000" w:rsidRDefault="005C524C">
            <w:pPr>
              <w:rPr>
                <w:rFonts w:eastAsia="Times New Roman"/>
              </w:rPr>
            </w:pPr>
          </w:p>
        </w:tc>
        <w:tc>
          <w:tcPr>
            <w:tcW w:w="26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939 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499 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51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and service fees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9,112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Height w:val="24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1,767 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6,085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w:t>
            </w:r>
            <w:r>
              <w:rPr>
                <w:rFonts w:eastAsia="Times New Roman"/>
                <w:color w:val="000000"/>
                <w:sz w:val="20"/>
                <w:szCs w:val="20"/>
              </w:rPr>
              <w:t>1,177)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 attributable to Holdings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2,301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Height w:val="24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424.2 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4131350"/>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428.3 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903177199"/>
        <w:rPr>
          <w:rFonts w:eastAsia="Times New Roman"/>
        </w:rPr>
      </w:pPr>
    </w:p>
    <w:p w:rsidR="00000000" w:rsidRDefault="005C524C">
      <w:pPr>
        <w:jc w:val="center"/>
        <w:rPr>
          <w:rFonts w:eastAsia="Times New Roman"/>
        </w:rPr>
      </w:pPr>
    </w:p>
    <w:p w:rsidR="00000000" w:rsidRDefault="005C524C">
      <w:pPr>
        <w:jc w:val="center"/>
        <w:rPr>
          <w:rFonts w:eastAsia="Times New Roman"/>
        </w:rPr>
      </w:pPr>
      <w:r>
        <w:rPr>
          <w:rFonts w:eastAsia="Times New Roman"/>
          <w:color w:val="000000"/>
          <w:sz w:val="20"/>
          <w:szCs w:val="20"/>
        </w:rPr>
        <w:t>See Notes to Consolidated Financial Statements (Unaudited).</w:t>
      </w:r>
    </w:p>
    <w:p w:rsidR="00000000" w:rsidRDefault="005C524C">
      <w:pPr>
        <w:jc w:val="center"/>
        <w:divId w:val="2059082826"/>
        <w:rPr>
          <w:rFonts w:eastAsia="Times New Roman"/>
        </w:rPr>
      </w:pPr>
      <w:r>
        <w:rPr>
          <w:rFonts w:eastAsia="Times New Roman"/>
          <w:color w:val="000000"/>
          <w:sz w:val="20"/>
          <w:szCs w:val="20"/>
        </w:rPr>
        <w:t>5</w:t>
      </w:r>
    </w:p>
    <w:p w:rsidR="00000000" w:rsidRDefault="005C524C">
      <w:pPr>
        <w:rPr>
          <w:rFonts w:eastAsia="Times New Roman"/>
        </w:rPr>
      </w:pPr>
      <w:r>
        <w:rPr>
          <w:rFonts w:eastAsia="Times New Roman"/>
        </w:rPr>
        <w:pict>
          <v:rect id="_x0000_i1031" style="width:0;height:1.5pt" o:hralign="center" o:hrstd="t" o:hr="t" fillcolor="#a0a0a0" stroked="f"/>
        </w:pict>
      </w:r>
    </w:p>
    <w:p w:rsidR="00000000" w:rsidRDefault="005C524C">
      <w:pPr>
        <w:divId w:val="2084134270"/>
        <w:rPr>
          <w:rFonts w:eastAsia="Times New Roman"/>
        </w:rPr>
      </w:pPr>
    </w:p>
    <w:p w:rsidR="00000000" w:rsidRDefault="005C524C">
      <w:pPr>
        <w:jc w:val="center"/>
        <w:divId w:val="1082334612"/>
        <w:rPr>
          <w:rFonts w:eastAsia="Times New Roman"/>
        </w:rPr>
      </w:pPr>
      <w:r>
        <w:rPr>
          <w:rFonts w:eastAsia="Times New Roman"/>
          <w:b/>
          <w:bCs/>
          <w:color w:val="000000"/>
          <w:sz w:val="20"/>
          <w:szCs w:val="20"/>
        </w:rPr>
        <w:t>EQUITABL</w:t>
      </w:r>
      <w:r>
        <w:rPr>
          <w:rFonts w:eastAsia="Times New Roman"/>
          <w:b/>
          <w:bCs/>
          <w:color w:val="000000"/>
          <w:sz w:val="20"/>
          <w:szCs w:val="20"/>
        </w:rPr>
        <w:t>E HOLDINGS, INC.</w:t>
      </w:r>
    </w:p>
    <w:p w:rsidR="00000000" w:rsidRDefault="005C524C">
      <w:pPr>
        <w:jc w:val="center"/>
        <w:divId w:val="1082334612"/>
        <w:rPr>
          <w:rFonts w:eastAsia="Times New Roman"/>
        </w:rPr>
      </w:pPr>
      <w:r>
        <w:rPr>
          <w:rFonts w:eastAsia="Times New Roman"/>
          <w:b/>
          <w:bCs/>
          <w:color w:val="000000"/>
          <w:sz w:val="20"/>
          <w:szCs w:val="20"/>
        </w:rPr>
        <w:t>Consolidated Statements of Comprehensive Income (Loss)</w:t>
      </w:r>
    </w:p>
    <w:p w:rsidR="00000000" w:rsidRDefault="005C524C">
      <w:pPr>
        <w:jc w:val="center"/>
        <w:divId w:val="1082334612"/>
        <w:rPr>
          <w:rFonts w:eastAsia="Times New Roman"/>
        </w:rPr>
      </w:pPr>
      <w:r>
        <w:rPr>
          <w:rFonts w:eastAsia="Times New Roman"/>
          <w:b/>
          <w:bCs/>
          <w:color w:val="000000"/>
          <w:sz w:val="20"/>
          <w:szCs w:val="20"/>
        </w:rPr>
        <w:t>Three and Six Months Ended June 30, 2022 and 2021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272"/>
        <w:gridCol w:w="36"/>
        <w:gridCol w:w="120"/>
        <w:gridCol w:w="736"/>
        <w:gridCol w:w="36"/>
        <w:gridCol w:w="36"/>
        <w:gridCol w:w="36"/>
        <w:gridCol w:w="36"/>
        <w:gridCol w:w="120"/>
        <w:gridCol w:w="687"/>
        <w:gridCol w:w="36"/>
        <w:gridCol w:w="36"/>
        <w:gridCol w:w="36"/>
        <w:gridCol w:w="36"/>
        <w:gridCol w:w="120"/>
        <w:gridCol w:w="687"/>
        <w:gridCol w:w="36"/>
        <w:gridCol w:w="36"/>
        <w:gridCol w:w="36"/>
        <w:gridCol w:w="36"/>
        <w:gridCol w:w="120"/>
        <w:gridCol w:w="687"/>
        <w:gridCol w:w="36"/>
        <w:gridCol w:w="36"/>
        <w:gridCol w:w="36"/>
        <w:gridCol w:w="36"/>
        <w:gridCol w:w="36"/>
        <w:gridCol w:w="36"/>
        <w:gridCol w:w="36"/>
      </w:tblGrid>
      <w:tr w:rsidR="00000000">
        <w:trPr>
          <w:jc w:val="center"/>
        </w:trPr>
        <w:tc>
          <w:tcPr>
            <w:tcW w:w="50" w:type="pct"/>
            <w:vAlign w:val="center"/>
            <w:hideMark/>
          </w:tcPr>
          <w:p w:rsidR="00000000" w:rsidRDefault="005C524C">
            <w:pPr>
              <w:jc w:val="center"/>
              <w:rPr>
                <w:rFonts w:eastAsia="Times New Roman"/>
              </w:rPr>
            </w:pPr>
          </w:p>
        </w:tc>
        <w:tc>
          <w:tcPr>
            <w:tcW w:w="267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COMPREHENSIVE INCOME (LOSS)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w:t>
            </w:r>
            <w:r>
              <w:rPr>
                <w:rFonts w:eastAsia="Times New Roman"/>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comprehensive income (loss)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(3,742)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(7,568)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(1,933)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(2,033)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rPr>
          <w:rFonts w:eastAsia="Times New Roman"/>
        </w:rPr>
      </w:pPr>
    </w:p>
    <w:p w:rsidR="00000000" w:rsidRDefault="005C524C">
      <w:pPr>
        <w:jc w:val="center"/>
        <w:rPr>
          <w:rFonts w:eastAsia="Times New Roman"/>
        </w:rPr>
      </w:pPr>
      <w:r>
        <w:rPr>
          <w:rFonts w:eastAsia="Times New Roman"/>
          <w:color w:val="000000"/>
          <w:sz w:val="20"/>
          <w:szCs w:val="20"/>
        </w:rPr>
        <w:t>See Notes to Consolidated Financial Statements (Unaudited).</w:t>
      </w:r>
    </w:p>
    <w:p w:rsidR="00000000" w:rsidRDefault="005C524C">
      <w:pPr>
        <w:jc w:val="center"/>
        <w:divId w:val="1961255884"/>
        <w:rPr>
          <w:rFonts w:eastAsia="Times New Roman"/>
        </w:rPr>
      </w:pPr>
      <w:r>
        <w:rPr>
          <w:rFonts w:eastAsia="Times New Roman"/>
          <w:color w:val="000000"/>
          <w:sz w:val="20"/>
          <w:szCs w:val="20"/>
        </w:rPr>
        <w:t>6</w:t>
      </w:r>
    </w:p>
    <w:p w:rsidR="00000000" w:rsidRDefault="005C524C">
      <w:pPr>
        <w:rPr>
          <w:rFonts w:eastAsia="Times New Roman"/>
        </w:rPr>
      </w:pPr>
      <w:r>
        <w:rPr>
          <w:rFonts w:eastAsia="Times New Roman"/>
        </w:rPr>
        <w:pict>
          <v:rect id="_x0000_i1032" style="width:0;height:1.5pt" o:hralign="center" o:hrstd="t" o:hr="t" fillcolor="#a0a0a0" stroked="f"/>
        </w:pict>
      </w:r>
    </w:p>
    <w:p w:rsidR="00000000" w:rsidRDefault="005C524C">
      <w:pPr>
        <w:divId w:val="765342631"/>
        <w:rPr>
          <w:rFonts w:eastAsia="Times New Roman"/>
        </w:rPr>
      </w:pPr>
    </w:p>
    <w:p w:rsidR="00000000" w:rsidRDefault="005C524C">
      <w:pPr>
        <w:jc w:val="center"/>
        <w:divId w:val="881864167"/>
        <w:rPr>
          <w:rFonts w:eastAsia="Times New Roman"/>
        </w:rPr>
      </w:pPr>
      <w:r>
        <w:rPr>
          <w:rFonts w:eastAsia="Times New Roman"/>
          <w:b/>
          <w:bCs/>
          <w:color w:val="000000"/>
          <w:sz w:val="20"/>
          <w:szCs w:val="20"/>
        </w:rPr>
        <w:t>EQUITABLE HOLDINGS, INC.</w:t>
      </w:r>
    </w:p>
    <w:p w:rsidR="00000000" w:rsidRDefault="005C524C">
      <w:pPr>
        <w:jc w:val="center"/>
        <w:divId w:val="881864167"/>
        <w:rPr>
          <w:rFonts w:eastAsia="Times New Roman"/>
        </w:rPr>
      </w:pPr>
      <w:r>
        <w:rPr>
          <w:rFonts w:eastAsia="Times New Roman"/>
          <w:b/>
          <w:bCs/>
          <w:color w:val="000000"/>
          <w:sz w:val="20"/>
          <w:szCs w:val="20"/>
        </w:rPr>
        <w:t>Consolidated Statements of Equity</w:t>
      </w:r>
    </w:p>
    <w:p w:rsidR="00000000" w:rsidRDefault="005C524C">
      <w:pPr>
        <w:jc w:val="center"/>
        <w:divId w:val="881864167"/>
        <w:rPr>
          <w:rFonts w:eastAsia="Times New Roman"/>
        </w:rPr>
      </w:pPr>
      <w:r>
        <w:rPr>
          <w:rFonts w:eastAsia="Times New Roman"/>
          <w:b/>
          <w:bCs/>
          <w:color w:val="000000"/>
          <w:sz w:val="20"/>
          <w:szCs w:val="20"/>
        </w:rPr>
        <w:t>For the Three and Six Months Ended June 30, 2022 and 2021 (Unaudited)</w:t>
      </w:r>
    </w:p>
    <w:p w:rsidR="00000000" w:rsidRDefault="005C524C">
      <w:pPr>
        <w:jc w:val="center"/>
        <w:rPr>
          <w:rFonts w:eastAsia="Times New Roman"/>
        </w:rPr>
      </w:pPr>
    </w:p>
    <w:tbl>
      <w:tblPr>
        <w:tblW w:w="4941" w:type="pct"/>
        <w:jc w:val="center"/>
        <w:tblCellMar>
          <w:top w:w="15" w:type="dxa"/>
          <w:left w:w="15" w:type="dxa"/>
          <w:bottom w:w="15" w:type="dxa"/>
          <w:right w:w="15" w:type="dxa"/>
        </w:tblCellMar>
        <w:tblLook w:val="04A0" w:firstRow="1" w:lastRow="0" w:firstColumn="1" w:lastColumn="0" w:noHBand="0" w:noVBand="1"/>
      </w:tblPr>
      <w:tblGrid>
        <w:gridCol w:w="44"/>
        <w:gridCol w:w="1115"/>
        <w:gridCol w:w="38"/>
        <w:gridCol w:w="91"/>
        <w:gridCol w:w="583"/>
        <w:gridCol w:w="36"/>
        <w:gridCol w:w="36"/>
        <w:gridCol w:w="36"/>
        <w:gridCol w:w="36"/>
        <w:gridCol w:w="91"/>
        <w:gridCol w:w="503"/>
        <w:gridCol w:w="36"/>
        <w:gridCol w:w="36"/>
        <w:gridCol w:w="36"/>
        <w:gridCol w:w="36"/>
        <w:gridCol w:w="91"/>
        <w:gridCol w:w="589"/>
        <w:gridCol w:w="36"/>
        <w:gridCol w:w="36"/>
        <w:gridCol w:w="36"/>
        <w:gridCol w:w="36"/>
        <w:gridCol w:w="92"/>
        <w:gridCol w:w="492"/>
        <w:gridCol w:w="36"/>
        <w:gridCol w:w="36"/>
        <w:gridCol w:w="36"/>
        <w:gridCol w:w="36"/>
        <w:gridCol w:w="91"/>
        <w:gridCol w:w="503"/>
        <w:gridCol w:w="36"/>
        <w:gridCol w:w="36"/>
        <w:gridCol w:w="36"/>
        <w:gridCol w:w="36"/>
        <w:gridCol w:w="91"/>
        <w:gridCol w:w="891"/>
        <w:gridCol w:w="36"/>
        <w:gridCol w:w="36"/>
        <w:gridCol w:w="36"/>
        <w:gridCol w:w="36"/>
        <w:gridCol w:w="91"/>
        <w:gridCol w:w="496"/>
        <w:gridCol w:w="36"/>
        <w:gridCol w:w="36"/>
        <w:gridCol w:w="36"/>
        <w:gridCol w:w="36"/>
        <w:gridCol w:w="91"/>
        <w:gridCol w:w="597"/>
        <w:gridCol w:w="36"/>
        <w:gridCol w:w="36"/>
        <w:gridCol w:w="36"/>
        <w:gridCol w:w="36"/>
        <w:gridCol w:w="90"/>
        <w:gridCol w:w="350"/>
        <w:gridCol w:w="36"/>
      </w:tblGrid>
      <w:tr w:rsidR="00000000">
        <w:trPr>
          <w:jc w:val="center"/>
        </w:trPr>
        <w:tc>
          <w:tcPr>
            <w:tcW w:w="50" w:type="pct"/>
            <w:vAlign w:val="center"/>
            <w:hideMark/>
          </w:tcPr>
          <w:p w:rsidR="00000000" w:rsidRDefault="005C524C">
            <w:pPr>
              <w:jc w:val="center"/>
              <w:rPr>
                <w:rFonts w:eastAsia="Times New Roman"/>
              </w:rPr>
            </w:pPr>
          </w:p>
        </w:tc>
        <w:tc>
          <w:tcPr>
            <w:tcW w:w="94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0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Three Months Ended June 30,</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4"/>
                <w:szCs w:val="14"/>
              </w:rPr>
              <w:t>April 1, 2022</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1,933</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(3,070)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9,312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(1,787)</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7,954</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1,529</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9,483</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(220)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(220)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(220)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220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(220)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(93)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(93)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28649571"/>
              <w:rPr>
                <w:rFonts w:eastAsia="Times New Roman"/>
              </w:rPr>
            </w:pPr>
            <w:r>
              <w:rPr>
                <w:rFonts w:eastAsia="Times New Roman"/>
                <w:color w:val="000000"/>
                <w:sz w:val="14"/>
                <w:szCs w:val="14"/>
              </w:rPr>
              <w:t>Dividends on common stock (cash dividends declared per common share of $0.20)</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1,728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1,728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1,802</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(3,761)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(3,761)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(3,773)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4"/>
                <w:szCs w:val="14"/>
              </w:rPr>
              <w:t>June 30, 2022</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1,918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(3,065)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10,718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(5,548)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5,589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1,410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6,999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44"/>
        <w:gridCol w:w="1500"/>
        <w:gridCol w:w="37"/>
        <w:gridCol w:w="90"/>
        <w:gridCol w:w="509"/>
        <w:gridCol w:w="36"/>
        <w:gridCol w:w="36"/>
        <w:gridCol w:w="36"/>
        <w:gridCol w:w="36"/>
        <w:gridCol w:w="90"/>
        <w:gridCol w:w="460"/>
        <w:gridCol w:w="36"/>
        <w:gridCol w:w="36"/>
        <w:gridCol w:w="36"/>
        <w:gridCol w:w="36"/>
        <w:gridCol w:w="90"/>
        <w:gridCol w:w="521"/>
        <w:gridCol w:w="36"/>
        <w:gridCol w:w="36"/>
        <w:gridCol w:w="36"/>
        <w:gridCol w:w="36"/>
        <w:gridCol w:w="90"/>
        <w:gridCol w:w="424"/>
        <w:gridCol w:w="36"/>
        <w:gridCol w:w="36"/>
        <w:gridCol w:w="36"/>
        <w:gridCol w:w="36"/>
        <w:gridCol w:w="90"/>
        <w:gridCol w:w="473"/>
        <w:gridCol w:w="36"/>
        <w:gridCol w:w="36"/>
        <w:gridCol w:w="36"/>
        <w:gridCol w:w="36"/>
        <w:gridCol w:w="90"/>
        <w:gridCol w:w="885"/>
        <w:gridCol w:w="36"/>
        <w:gridCol w:w="36"/>
        <w:gridCol w:w="36"/>
        <w:gridCol w:w="36"/>
        <w:gridCol w:w="90"/>
        <w:gridCol w:w="448"/>
        <w:gridCol w:w="36"/>
        <w:gridCol w:w="36"/>
        <w:gridCol w:w="36"/>
        <w:gridCol w:w="36"/>
        <w:gridCol w:w="90"/>
        <w:gridCol w:w="473"/>
        <w:gridCol w:w="36"/>
        <w:gridCol w:w="36"/>
        <w:gridCol w:w="36"/>
        <w:gridCol w:w="36"/>
        <w:gridCol w:w="90"/>
        <w:gridCol w:w="473"/>
        <w:gridCol w:w="36"/>
      </w:tblGrid>
      <w:tr w:rsidR="00000000">
        <w:trPr>
          <w:jc w:val="center"/>
        </w:trPr>
        <w:tc>
          <w:tcPr>
            <w:tcW w:w="50" w:type="pct"/>
            <w:vAlign w:val="center"/>
            <w:hideMark/>
          </w:tcPr>
          <w:p w:rsidR="00000000" w:rsidRDefault="005C524C">
            <w:pPr>
              <w:jc w:val="center"/>
              <w:rPr>
                <w:rFonts w:eastAsia="Times New Roman"/>
              </w:rPr>
            </w:pPr>
          </w:p>
        </w:tc>
        <w:tc>
          <w:tcPr>
            <w:tcW w:w="9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0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0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April 1, 2021</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1,562 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1,928 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(2,300)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8,758 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740 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10,693 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1,575 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12,268 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(278)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(279)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(279)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589001500"/>
              <w:rPr>
                <w:rFonts w:eastAsia="Times New Roman"/>
              </w:rPr>
            </w:pPr>
            <w:r>
              <w:rPr>
                <w:rFonts w:eastAsia="Times New Roman"/>
                <w:color w:val="000000"/>
                <w:sz w:val="14"/>
                <w:szCs w:val="14"/>
              </w:rPr>
              <w:t>Stockholder dividends (cash dividends declared per common share of $0.18)</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96 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1,243 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1,243 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11,732 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13,304 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rPr>
          <w:rFonts w:eastAsia="Times New Roman"/>
        </w:rPr>
      </w:pPr>
    </w:p>
    <w:p w:rsidR="00000000" w:rsidRDefault="005C524C">
      <w:pPr>
        <w:jc w:val="center"/>
        <w:rPr>
          <w:rFonts w:eastAsia="Times New Roman"/>
        </w:rPr>
      </w:pPr>
      <w:r>
        <w:rPr>
          <w:rFonts w:eastAsia="Times New Roman"/>
          <w:color w:val="000000"/>
          <w:sz w:val="20"/>
          <w:szCs w:val="20"/>
        </w:rPr>
        <w:t>See Notes to Consolidated Financial Statements (Unaudited).</w:t>
      </w:r>
    </w:p>
    <w:p w:rsidR="00000000" w:rsidRDefault="005C524C">
      <w:pPr>
        <w:jc w:val="center"/>
        <w:divId w:val="1928423525"/>
        <w:rPr>
          <w:rFonts w:eastAsia="Times New Roman"/>
        </w:rPr>
      </w:pPr>
      <w:r>
        <w:rPr>
          <w:rFonts w:eastAsia="Times New Roman"/>
          <w:color w:val="000000"/>
          <w:sz w:val="20"/>
          <w:szCs w:val="20"/>
        </w:rPr>
        <w:t>7</w:t>
      </w:r>
    </w:p>
    <w:p w:rsidR="00000000" w:rsidRDefault="005C524C">
      <w:pPr>
        <w:rPr>
          <w:rFonts w:eastAsia="Times New Roman"/>
        </w:rPr>
      </w:pPr>
      <w:r>
        <w:rPr>
          <w:rFonts w:eastAsia="Times New Roman"/>
        </w:rPr>
        <w:pict>
          <v:rect id="_x0000_i1033" style="width:0;height:1.5pt" o:hralign="center" o:hrstd="t" o:hr="t" fillcolor="#a0a0a0" stroked="f"/>
        </w:pict>
      </w:r>
    </w:p>
    <w:p w:rsidR="00000000" w:rsidRDefault="005C524C">
      <w:pPr>
        <w:divId w:val="419639277"/>
        <w:rPr>
          <w:rFonts w:eastAsia="Times New Roman"/>
        </w:rPr>
      </w:pPr>
    </w:p>
    <w:p w:rsidR="00000000" w:rsidRDefault="005C524C">
      <w:pPr>
        <w:jc w:val="center"/>
        <w:divId w:val="705446681"/>
        <w:rPr>
          <w:rFonts w:eastAsia="Times New Roman"/>
        </w:rPr>
      </w:pPr>
      <w:r>
        <w:rPr>
          <w:rFonts w:eastAsia="Times New Roman"/>
          <w:b/>
          <w:bCs/>
          <w:color w:val="000000"/>
          <w:sz w:val="20"/>
          <w:szCs w:val="20"/>
        </w:rPr>
        <w:t>EQUITABLE HOLDINGS, INC.</w:t>
      </w:r>
    </w:p>
    <w:p w:rsidR="00000000" w:rsidRDefault="005C524C">
      <w:pPr>
        <w:jc w:val="center"/>
        <w:divId w:val="705446681"/>
        <w:rPr>
          <w:rFonts w:eastAsia="Times New Roman"/>
        </w:rPr>
      </w:pPr>
      <w:r>
        <w:rPr>
          <w:rFonts w:eastAsia="Times New Roman"/>
          <w:b/>
          <w:bCs/>
          <w:color w:val="000000"/>
          <w:sz w:val="20"/>
          <w:szCs w:val="20"/>
        </w:rPr>
        <w:t>Consolidated Statements of Equity</w:t>
      </w:r>
    </w:p>
    <w:p w:rsidR="00000000" w:rsidRDefault="005C524C">
      <w:pPr>
        <w:jc w:val="center"/>
        <w:divId w:val="705446681"/>
        <w:rPr>
          <w:rFonts w:eastAsia="Times New Roman"/>
        </w:rPr>
      </w:pPr>
      <w:r>
        <w:rPr>
          <w:rFonts w:eastAsia="Times New Roman"/>
          <w:b/>
          <w:bCs/>
          <w:color w:val="000000"/>
          <w:sz w:val="20"/>
          <w:szCs w:val="20"/>
        </w:rPr>
        <w:t>For the Three and Six Months Ended June 30, 2022 and 2021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5C524C">
            <w:pPr>
              <w:jc w:val="center"/>
              <w:rPr>
                <w:rFonts w:eastAsia="Times New Roman"/>
              </w:rPr>
            </w:pPr>
          </w:p>
        </w:tc>
        <w:tc>
          <w:tcPr>
            <w:tcW w:w="126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9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Six Months Ended June 30,</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4"/>
                <w:szCs w:val="14"/>
              </w:rPr>
              <w:t>(in millions)</w:t>
            </w: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4"/>
                <w:szCs w:val="14"/>
              </w:rPr>
              <w:t>January 1, 2022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1,919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(2,850)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8,880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2,004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11,519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13,095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98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(493)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(498)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(498)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242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(242)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934630495"/>
              <w:rPr>
                <w:rFonts w:eastAsia="Times New Roman"/>
              </w:rPr>
            </w:pPr>
            <w:r>
              <w:rPr>
                <w:rFonts w:eastAsia="Times New Roman"/>
                <w:color w:val="000000"/>
                <w:sz w:val="14"/>
                <w:szCs w:val="14"/>
              </w:rPr>
              <w:t>Dividends on common stock (cash dividends declared per common share of $0.38)</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2,301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2,301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167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2,468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(7,552)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(7,552)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(7,568)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(29)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4"/>
                <w:szCs w:val="14"/>
              </w:rPr>
              <w:t>June 30,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1,918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(3,065)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10,718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(5,548)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5,589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1,410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4"/>
                <w:szCs w:val="14"/>
              </w:rPr>
              <w:t>6,999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divId w:val="1674142105"/>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043"/>
        <w:gridCol w:w="38"/>
        <w:gridCol w:w="90"/>
        <w:gridCol w:w="500"/>
        <w:gridCol w:w="36"/>
        <w:gridCol w:w="36"/>
        <w:gridCol w:w="36"/>
        <w:gridCol w:w="36"/>
        <w:gridCol w:w="90"/>
        <w:gridCol w:w="378"/>
        <w:gridCol w:w="36"/>
        <w:gridCol w:w="36"/>
        <w:gridCol w:w="36"/>
        <w:gridCol w:w="36"/>
        <w:gridCol w:w="90"/>
        <w:gridCol w:w="453"/>
        <w:gridCol w:w="36"/>
        <w:gridCol w:w="36"/>
        <w:gridCol w:w="36"/>
        <w:gridCol w:w="36"/>
        <w:gridCol w:w="90"/>
        <w:gridCol w:w="409"/>
        <w:gridCol w:w="36"/>
        <w:gridCol w:w="36"/>
        <w:gridCol w:w="36"/>
        <w:gridCol w:w="36"/>
        <w:gridCol w:w="90"/>
        <w:gridCol w:w="420"/>
        <w:gridCol w:w="36"/>
        <w:gridCol w:w="36"/>
        <w:gridCol w:w="36"/>
        <w:gridCol w:w="36"/>
        <w:gridCol w:w="90"/>
        <w:gridCol w:w="626"/>
        <w:gridCol w:w="36"/>
        <w:gridCol w:w="36"/>
        <w:gridCol w:w="36"/>
        <w:gridCol w:w="36"/>
        <w:gridCol w:w="90"/>
        <w:gridCol w:w="453"/>
        <w:gridCol w:w="36"/>
        <w:gridCol w:w="36"/>
        <w:gridCol w:w="36"/>
        <w:gridCol w:w="36"/>
        <w:gridCol w:w="90"/>
        <w:gridCol w:w="467"/>
        <w:gridCol w:w="36"/>
        <w:gridCol w:w="36"/>
        <w:gridCol w:w="36"/>
        <w:gridCol w:w="36"/>
        <w:gridCol w:w="90"/>
        <w:gridCol w:w="480"/>
        <w:gridCol w:w="36"/>
      </w:tblGrid>
      <w:tr w:rsidR="00000000">
        <w:trPr>
          <w:divId w:val="1674142105"/>
          <w:jc w:val="center"/>
        </w:trPr>
        <w:tc>
          <w:tcPr>
            <w:tcW w:w="50" w:type="pct"/>
            <w:vAlign w:val="center"/>
            <w:hideMark/>
          </w:tcPr>
          <w:p w:rsidR="00000000" w:rsidRDefault="005C524C">
            <w:pPr>
              <w:jc w:val="center"/>
              <w:rPr>
                <w:rFonts w:eastAsia="Times New Roman"/>
              </w:rPr>
            </w:pPr>
          </w:p>
        </w:tc>
        <w:tc>
          <w:tcPr>
            <w:tcW w:w="12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2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1,269 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1,985 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10,699 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3,863 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15,576 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1,601 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17,177 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74142105"/>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(698)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(709)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(709)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(359)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635523636"/>
              <w:rPr>
                <w:rFonts w:eastAsia="Times New Roman"/>
              </w:rPr>
            </w:pPr>
            <w:r>
              <w:rPr>
                <w:rFonts w:eastAsia="Times New Roman"/>
                <w:color w:val="000000"/>
                <w:sz w:val="14"/>
                <w:szCs w:val="14"/>
              </w:rPr>
              <w:t>Dividends on common stock (cash dividends declared per common share of $0.35)</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(1,365)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(1,365)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(1,181)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(1,880)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(1,880)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(1,882)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67414210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4"/>
                <w:szCs w:val="14"/>
              </w:rPr>
              <w:t>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(2,537)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8,739 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1,983 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11,732 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1,572 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14"/>
                <w:szCs w:val="14"/>
              </w:rPr>
              <w:t>13,304 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divId w:val="1222013857"/>
        <w:rPr>
          <w:rFonts w:eastAsia="Times New Roman"/>
        </w:rPr>
      </w:pPr>
    </w:p>
    <w:p w:rsidR="00000000" w:rsidRDefault="005C524C">
      <w:pPr>
        <w:jc w:val="center"/>
        <w:rPr>
          <w:rFonts w:eastAsia="Times New Roman"/>
        </w:rPr>
      </w:pPr>
    </w:p>
    <w:p w:rsidR="00000000" w:rsidRDefault="005C524C">
      <w:pPr>
        <w:jc w:val="center"/>
        <w:rPr>
          <w:rFonts w:eastAsia="Times New Roman"/>
        </w:rPr>
      </w:pPr>
    </w:p>
    <w:p w:rsidR="00000000" w:rsidRDefault="005C524C">
      <w:pPr>
        <w:jc w:val="center"/>
        <w:rPr>
          <w:rFonts w:eastAsia="Times New Roman"/>
        </w:rPr>
      </w:pPr>
      <w:r>
        <w:rPr>
          <w:rFonts w:eastAsia="Times New Roman"/>
          <w:color w:val="000000"/>
          <w:sz w:val="20"/>
          <w:szCs w:val="20"/>
        </w:rPr>
        <w:t>See Notes to Consolidated Financial Statements (Unaudited).</w:t>
      </w:r>
    </w:p>
    <w:p w:rsidR="00000000" w:rsidRDefault="005C524C">
      <w:pPr>
        <w:jc w:val="center"/>
        <w:divId w:val="306016386"/>
        <w:rPr>
          <w:rFonts w:eastAsia="Times New Roman"/>
        </w:rPr>
      </w:pPr>
      <w:r>
        <w:rPr>
          <w:rFonts w:eastAsia="Times New Roman"/>
          <w:color w:val="000000"/>
          <w:sz w:val="20"/>
          <w:szCs w:val="20"/>
        </w:rPr>
        <w:t>8</w:t>
      </w:r>
    </w:p>
    <w:p w:rsidR="00000000" w:rsidRDefault="005C524C">
      <w:pPr>
        <w:rPr>
          <w:rFonts w:eastAsia="Times New Roman"/>
        </w:rPr>
      </w:pPr>
      <w:r>
        <w:rPr>
          <w:rFonts w:eastAsia="Times New Roman"/>
        </w:rPr>
        <w:pict>
          <v:rect id="_x0000_i1034" style="width:0;height:1.5pt" o:hralign="center" o:hrstd="t" o:hr="t" fillcolor="#a0a0a0" stroked="f"/>
        </w:pict>
      </w:r>
    </w:p>
    <w:p w:rsidR="00000000" w:rsidRDefault="005C524C">
      <w:pPr>
        <w:jc w:val="center"/>
        <w:divId w:val="65958968"/>
        <w:rPr>
          <w:rFonts w:eastAsia="Times New Roman"/>
        </w:rPr>
      </w:pPr>
      <w:r>
        <w:rPr>
          <w:rFonts w:eastAsia="Times New Roman"/>
          <w:b/>
          <w:bCs/>
          <w:color w:val="000000"/>
          <w:sz w:val="20"/>
          <w:szCs w:val="20"/>
        </w:rPr>
        <w:t>EQUITABLE HOLDINGS, INC.</w:t>
      </w:r>
    </w:p>
    <w:p w:rsidR="00000000" w:rsidRDefault="005C524C">
      <w:pPr>
        <w:jc w:val="center"/>
        <w:divId w:val="943266005"/>
        <w:rPr>
          <w:rFonts w:eastAsia="Times New Roman"/>
        </w:rPr>
      </w:pPr>
      <w:r>
        <w:rPr>
          <w:rFonts w:eastAsia="Times New Roman"/>
          <w:b/>
          <w:bCs/>
          <w:color w:val="000000"/>
          <w:sz w:val="20"/>
          <w:szCs w:val="20"/>
        </w:rPr>
        <w:t>Consolidated Statements of Cash Flows</w:t>
      </w:r>
    </w:p>
    <w:p w:rsidR="00000000" w:rsidRDefault="005C524C">
      <w:pPr>
        <w:jc w:val="center"/>
        <w:divId w:val="943266005"/>
        <w:rPr>
          <w:rFonts w:eastAsia="Times New Roman"/>
        </w:rPr>
      </w:pPr>
      <w:r>
        <w:rPr>
          <w:rFonts w:eastAsia="Times New Roman"/>
          <w:b/>
          <w:bCs/>
          <w:color w:val="000000"/>
          <w:sz w:val="20"/>
          <w:szCs w:val="20"/>
        </w:rPr>
        <w:t>Six Months Ended June 30, 2022 an</w:t>
      </w:r>
      <w:r>
        <w:rPr>
          <w:rFonts w:eastAsia="Times New Roman"/>
          <w:b/>
          <w:bCs/>
          <w:color w:val="000000"/>
          <w:sz w:val="20"/>
          <w:szCs w:val="20"/>
        </w:rPr>
        <w:t>d 2021 (Unaudited)</w:t>
      </w:r>
    </w:p>
    <w:p w:rsidR="00000000" w:rsidRDefault="005C524C">
      <w:pPr>
        <w:divId w:val="541986638"/>
        <w:rPr>
          <w:rFonts w:eastAsia="Times New Roman"/>
        </w:rPr>
      </w:pPr>
    </w:p>
    <w:p w:rsidR="00000000" w:rsidRDefault="005C524C">
      <w:pPr>
        <w:divId w:val="489519270"/>
        <w:rPr>
          <w:rFonts w:eastAsia="Times New Roman"/>
        </w:rPr>
      </w:pPr>
    </w:p>
    <w:p w:rsidR="00000000" w:rsidRDefault="005C524C">
      <w:pPr>
        <w:divId w:val="742337865"/>
        <w:rPr>
          <w:rFonts w:eastAsia="Times New Roman"/>
        </w:rPr>
      </w:pPr>
    </w:p>
    <w:p w:rsidR="00000000" w:rsidRDefault="005C524C">
      <w:pPr>
        <w:divId w:val="1858037419"/>
        <w:rPr>
          <w:rFonts w:eastAsia="Times New Roman"/>
        </w:rPr>
      </w:pPr>
    </w:p>
    <w:p w:rsidR="00000000" w:rsidRDefault="005C524C">
      <w:pPr>
        <w:divId w:val="127921459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25"/>
        <w:gridCol w:w="40"/>
        <w:gridCol w:w="120"/>
        <w:gridCol w:w="801"/>
        <w:gridCol w:w="36"/>
        <w:gridCol w:w="36"/>
        <w:gridCol w:w="36"/>
        <w:gridCol w:w="36"/>
        <w:gridCol w:w="120"/>
        <w:gridCol w:w="763"/>
        <w:gridCol w:w="36"/>
        <w:gridCol w:w="36"/>
        <w:gridCol w:w="36"/>
        <w:gridCol w:w="36"/>
        <w:gridCol w:w="36"/>
        <w:gridCol w:w="36"/>
        <w:gridCol w:w="36"/>
      </w:tblGrid>
      <w:tr w:rsidR="00000000">
        <w:trPr>
          <w:jc w:val="center"/>
        </w:trPr>
        <w:tc>
          <w:tcPr>
            <w:tcW w:w="50" w:type="pct"/>
            <w:vAlign w:val="center"/>
            <w:hideMark/>
          </w:tcPr>
          <w:p w:rsidR="00000000" w:rsidRDefault="005C524C">
            <w:pPr>
              <w:rPr>
                <w:rFonts w:eastAsia="Times New Roman"/>
              </w:rPr>
            </w:pPr>
          </w:p>
        </w:tc>
        <w:tc>
          <w:tcPr>
            <w:tcW w:w="3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(1,653)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3,745 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Non-cash long-term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5C524C">
            <w:pPr>
              <w:spacing w:after="100"/>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C524C">
            <w:pPr>
              <w:spacing w:after="100"/>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5C524C">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20,638 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4,637 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(13,977)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(26,519)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(1,175)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from the sale of business, net of cash sold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settlements related to derivative instruments,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(6,100)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(1,748)</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(8,291)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660278196"/>
        <w:rPr>
          <w:rFonts w:eastAsia="Times New Roman"/>
        </w:rPr>
      </w:pPr>
    </w:p>
    <w:p w:rsidR="00000000" w:rsidRDefault="005C524C">
      <w:pPr>
        <w:jc w:val="center"/>
        <w:divId w:val="660278196"/>
        <w:rPr>
          <w:rFonts w:eastAsia="Times New Roman"/>
        </w:rPr>
      </w:pPr>
    </w:p>
    <w:p w:rsidR="00000000" w:rsidRDefault="005C524C">
      <w:pPr>
        <w:jc w:val="center"/>
        <w:divId w:val="660278196"/>
        <w:rPr>
          <w:rFonts w:eastAsia="Times New Roman"/>
        </w:rPr>
      </w:pPr>
    </w:p>
    <w:p w:rsidR="00000000" w:rsidRDefault="005C524C">
      <w:pPr>
        <w:jc w:val="center"/>
        <w:divId w:val="660278196"/>
        <w:rPr>
          <w:rFonts w:eastAsia="Times New Roman"/>
        </w:rPr>
      </w:pPr>
      <w:r>
        <w:rPr>
          <w:rFonts w:eastAsia="Times New Roman"/>
          <w:color w:val="000000"/>
          <w:sz w:val="20"/>
          <w:szCs w:val="20"/>
        </w:rPr>
        <w:t>See Notes to Consolidated Financial Statements (Unaudited).</w:t>
      </w:r>
    </w:p>
    <w:p w:rsidR="00000000" w:rsidRDefault="005C524C">
      <w:pPr>
        <w:jc w:val="center"/>
        <w:divId w:val="660278196"/>
        <w:rPr>
          <w:rFonts w:eastAsia="Times New Roman"/>
        </w:rPr>
      </w:pPr>
      <w:r>
        <w:rPr>
          <w:rFonts w:eastAsia="Times New Roman"/>
          <w:color w:val="000000"/>
          <w:sz w:val="20"/>
          <w:szCs w:val="20"/>
        </w:rPr>
        <w:t>9</w:t>
      </w:r>
    </w:p>
    <w:p w:rsidR="00000000" w:rsidRDefault="005C524C">
      <w:pPr>
        <w:rPr>
          <w:rFonts w:eastAsia="Times New Roman"/>
        </w:rPr>
      </w:pPr>
      <w:r>
        <w:rPr>
          <w:rFonts w:eastAsia="Times New Roman"/>
        </w:rPr>
        <w:pict>
          <v:rect id="_x0000_i1035" style="width:0;height:1.5pt" o:hralign="center" o:hrstd="t" o:hr="t" fillcolor="#a0a0a0" stroked="f"/>
        </w:pict>
      </w:r>
    </w:p>
    <w:p w:rsidR="00000000" w:rsidRDefault="005C524C">
      <w:pPr>
        <w:jc w:val="center"/>
        <w:divId w:val="777869085"/>
        <w:rPr>
          <w:rFonts w:eastAsia="Times New Roman"/>
        </w:rPr>
      </w:pPr>
      <w:r>
        <w:rPr>
          <w:rFonts w:eastAsia="Times New Roman"/>
          <w:b/>
          <w:bCs/>
          <w:color w:val="000000"/>
          <w:sz w:val="20"/>
          <w:szCs w:val="20"/>
        </w:rPr>
        <w:t>EQUITABLE HOLDINGS, INC.</w:t>
      </w:r>
    </w:p>
    <w:p w:rsidR="00000000" w:rsidRDefault="005C524C">
      <w:pPr>
        <w:jc w:val="center"/>
        <w:divId w:val="615992458"/>
        <w:rPr>
          <w:rFonts w:eastAsia="Times New Roman"/>
        </w:rPr>
      </w:pPr>
      <w:r>
        <w:rPr>
          <w:rFonts w:eastAsia="Times New Roman"/>
          <w:b/>
          <w:bCs/>
          <w:color w:val="000000"/>
          <w:sz w:val="20"/>
          <w:szCs w:val="20"/>
        </w:rPr>
        <w:t>Consolidated Statements of Cash Flows</w:t>
      </w:r>
    </w:p>
    <w:p w:rsidR="00000000" w:rsidRDefault="005C524C">
      <w:pPr>
        <w:jc w:val="center"/>
        <w:divId w:val="615992458"/>
        <w:rPr>
          <w:rFonts w:eastAsia="Times New Roman"/>
        </w:rPr>
      </w:pPr>
      <w:r>
        <w:rPr>
          <w:rFonts w:eastAsia="Times New Roman"/>
          <w:b/>
          <w:bCs/>
          <w:color w:val="000000"/>
          <w:sz w:val="20"/>
          <w:szCs w:val="20"/>
        </w:rPr>
        <w:t>Six Months Ended June 30, 2022 and 2021 (Unaudited)</w:t>
      </w:r>
    </w:p>
    <w:p w:rsidR="00000000" w:rsidRDefault="005C524C">
      <w:pPr>
        <w:divId w:val="512183342"/>
        <w:rPr>
          <w:rFonts w:eastAsia="Times New Roman"/>
        </w:rPr>
      </w:pPr>
    </w:p>
    <w:p w:rsidR="00000000" w:rsidRDefault="005C524C">
      <w:pPr>
        <w:divId w:val="531572597"/>
        <w:rPr>
          <w:rFonts w:eastAsia="Times New Roman"/>
        </w:rPr>
      </w:pPr>
    </w:p>
    <w:p w:rsidR="00000000" w:rsidRDefault="005C524C">
      <w:pPr>
        <w:divId w:val="1157841893"/>
        <w:rPr>
          <w:rFonts w:eastAsia="Times New Roman"/>
        </w:rPr>
      </w:pPr>
    </w:p>
    <w:p w:rsidR="00000000" w:rsidRDefault="005C524C">
      <w:pPr>
        <w:divId w:val="1170483053"/>
        <w:rPr>
          <w:rFonts w:eastAsia="Times New Roman"/>
        </w:rPr>
      </w:pPr>
    </w:p>
    <w:p w:rsidR="00000000" w:rsidRDefault="005C524C">
      <w:pPr>
        <w:divId w:val="20803057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27"/>
        <w:gridCol w:w="38"/>
        <w:gridCol w:w="120"/>
        <w:gridCol w:w="802"/>
        <w:gridCol w:w="36"/>
        <w:gridCol w:w="36"/>
        <w:gridCol w:w="36"/>
        <w:gridCol w:w="36"/>
        <w:gridCol w:w="120"/>
        <w:gridCol w:w="764"/>
        <w:gridCol w:w="36"/>
        <w:gridCol w:w="36"/>
        <w:gridCol w:w="36"/>
        <w:gridCol w:w="36"/>
        <w:gridCol w:w="36"/>
        <w:gridCol w:w="36"/>
        <w:gridCol w:w="36"/>
      </w:tblGrid>
      <w:tr w:rsidR="00000000">
        <w:trPr>
          <w:jc w:val="center"/>
        </w:trPr>
        <w:tc>
          <w:tcPr>
            <w:tcW w:w="50" w:type="pct"/>
            <w:vAlign w:val="center"/>
            <w:hideMark/>
          </w:tcPr>
          <w:p w:rsidR="00000000" w:rsidRDefault="005C524C">
            <w:pPr>
              <w:rPr>
                <w:rFonts w:eastAsia="Times New Roman"/>
              </w:rPr>
            </w:pPr>
          </w:p>
        </w:tc>
        <w:tc>
          <w:tcPr>
            <w:tcW w:w="3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9,989 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(3,118)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(1,529)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6,179 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5,109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Transfer of assets to reinsurer</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(9,023)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1339307813"/>
        <w:rPr>
          <w:rFonts w:eastAsia="Times New Roman"/>
        </w:rPr>
      </w:pPr>
      <w:r>
        <w:rPr>
          <w:rFonts w:eastAsia="Times New Roman"/>
          <w:color w:val="000000"/>
          <w:sz w:val="18"/>
          <w:szCs w:val="18"/>
        </w:rPr>
        <w:t>_______________</w:t>
      </w:r>
    </w:p>
    <w:p w:rsidR="00000000" w:rsidRDefault="005C524C">
      <w:pPr>
        <w:ind w:hanging="360"/>
        <w:divId w:val="670913176"/>
        <w:rPr>
          <w:rFonts w:eastAsia="Times New Roman"/>
        </w:rPr>
      </w:pPr>
      <w:r>
        <w:rPr>
          <w:rFonts w:eastAsia="Times New Roman"/>
          <w:color w:val="000000"/>
          <w:sz w:val="18"/>
          <w:szCs w:val="18"/>
        </w:rPr>
        <w:t xml:space="preserve">(1) </w:t>
      </w:r>
      <w:r>
        <w:rPr>
          <w:rFonts w:eastAsia="Times New Roman"/>
          <w:color w:val="000000"/>
          <w:sz w:val="18"/>
          <w:szCs w:val="18"/>
        </w:rPr>
        <w:t>Amount includes cash paid for Venerable Transaction of $494 million . See the Notes to these Consolidated Financial Statements.</w:t>
      </w:r>
    </w:p>
    <w:p w:rsidR="00000000" w:rsidRDefault="005C524C">
      <w:pPr>
        <w:jc w:val="center"/>
        <w:rPr>
          <w:rFonts w:eastAsia="Times New Roman"/>
        </w:rPr>
      </w:pPr>
    </w:p>
    <w:p w:rsidR="00000000" w:rsidRDefault="005C524C">
      <w:pPr>
        <w:jc w:val="center"/>
        <w:divId w:val="565383918"/>
        <w:rPr>
          <w:rFonts w:eastAsia="Times New Roman"/>
        </w:rPr>
      </w:pPr>
    </w:p>
    <w:p w:rsidR="00000000" w:rsidRDefault="005C524C">
      <w:pPr>
        <w:jc w:val="center"/>
        <w:divId w:val="565383918"/>
        <w:rPr>
          <w:rFonts w:eastAsia="Times New Roman"/>
        </w:rPr>
      </w:pPr>
    </w:p>
    <w:p w:rsidR="00000000" w:rsidRDefault="005C524C">
      <w:pPr>
        <w:jc w:val="center"/>
        <w:divId w:val="565383918"/>
        <w:rPr>
          <w:rFonts w:eastAsia="Times New Roman"/>
        </w:rPr>
      </w:pPr>
    </w:p>
    <w:p w:rsidR="00000000" w:rsidRDefault="005C524C">
      <w:pPr>
        <w:jc w:val="center"/>
        <w:divId w:val="565383918"/>
        <w:rPr>
          <w:rFonts w:eastAsia="Times New Roman"/>
        </w:rPr>
      </w:pPr>
      <w:r>
        <w:rPr>
          <w:rFonts w:eastAsia="Times New Roman"/>
          <w:color w:val="000000"/>
          <w:sz w:val="20"/>
          <w:szCs w:val="20"/>
        </w:rPr>
        <w:t>See Notes to Consolidated Financial Statements (Unaudited).</w:t>
      </w:r>
    </w:p>
    <w:p w:rsidR="00000000" w:rsidRDefault="005C524C">
      <w:pPr>
        <w:jc w:val="center"/>
        <w:divId w:val="565383918"/>
        <w:rPr>
          <w:rFonts w:eastAsia="Times New Roman"/>
        </w:rPr>
      </w:pPr>
      <w:r>
        <w:rPr>
          <w:rFonts w:eastAsia="Times New Roman"/>
          <w:color w:val="000000"/>
          <w:sz w:val="20"/>
          <w:szCs w:val="20"/>
        </w:rPr>
        <w:t>10</w:t>
      </w:r>
    </w:p>
    <w:p w:rsidR="00000000" w:rsidRDefault="005C524C">
      <w:pPr>
        <w:rPr>
          <w:rFonts w:eastAsia="Times New Roman"/>
        </w:rPr>
      </w:pPr>
      <w:r>
        <w:rPr>
          <w:rFonts w:eastAsia="Times New Roman"/>
        </w:rPr>
        <w:pict>
          <v:rect id="_x0000_i1036" style="width:0;height:1.5pt" o:hralign="center" o:hrstd="t" o:hr="t" fillcolor="#a0a0a0" stroked="f"/>
        </w:pict>
      </w:r>
    </w:p>
    <w:p w:rsidR="00000000" w:rsidRDefault="005C524C">
      <w:pPr>
        <w:divId w:val="168651683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22325030"/>
        <w:rPr>
          <w:rFonts w:eastAsia="Times New Roman"/>
        </w:rPr>
      </w:pPr>
      <w:r>
        <w:rPr>
          <w:rFonts w:eastAsia="Times New Roman"/>
          <w:b/>
          <w:bCs/>
          <w:color w:val="000000"/>
          <w:sz w:val="20"/>
          <w:szCs w:val="20"/>
        </w:rPr>
        <w:t>EQUITABLE HOLDINGS, INC.</w:t>
      </w:r>
    </w:p>
    <w:p w:rsidR="00000000" w:rsidRDefault="005C524C">
      <w:pPr>
        <w:jc w:val="center"/>
        <w:divId w:val="1222325030"/>
        <w:rPr>
          <w:rFonts w:eastAsia="Times New Roman"/>
        </w:rPr>
      </w:pPr>
      <w:r>
        <w:rPr>
          <w:rFonts w:eastAsia="Times New Roman"/>
          <w:b/>
          <w:bCs/>
          <w:color w:val="000000"/>
          <w:sz w:val="20"/>
          <w:szCs w:val="20"/>
        </w:rPr>
        <w:t>Notes to Consolidated Financial Statements (Unaudited)</w:t>
      </w:r>
    </w:p>
    <w:p w:rsidR="00000000" w:rsidRDefault="005C524C">
      <w:pPr>
        <w:divId w:val="1198855051"/>
        <w:rPr>
          <w:rFonts w:eastAsia="Times New Roman"/>
        </w:rPr>
      </w:pPr>
    </w:p>
    <w:p w:rsidR="00000000" w:rsidRDefault="005C524C">
      <w:pPr>
        <w:divId w:val="1457025538"/>
        <w:rPr>
          <w:rFonts w:eastAsia="Times New Roman"/>
        </w:rPr>
      </w:pPr>
      <w:r>
        <w:rPr>
          <w:rFonts w:eastAsia="Times New Roman"/>
          <w:b/>
          <w:bCs/>
          <w:color w:val="000000"/>
          <w:sz w:val="20"/>
          <w:szCs w:val="20"/>
        </w:rPr>
        <w:t xml:space="preserve">1)    ORGANIZATION </w:t>
      </w:r>
    </w:p>
    <w:p w:rsidR="00000000" w:rsidRDefault="005C524C">
      <w:pPr>
        <w:divId w:val="1568758467"/>
        <w:rPr>
          <w:rFonts w:eastAsia="Times New Roman"/>
        </w:rPr>
      </w:pPr>
      <w:r>
        <w:rPr>
          <w:rFonts w:eastAsia="Times New Roman"/>
          <w:color w:val="000000"/>
          <w:sz w:val="20"/>
          <w:szCs w:val="20"/>
        </w:rPr>
        <w:t xml:space="preserve">Equitable Holdings, Inc. is the holding company for a diversified financial services organization. The Company conducts operations in four segments: Individual Retirement, Group Retirement, Investment Management and Research, and Protection Solutions. The </w:t>
      </w:r>
      <w:r>
        <w:rPr>
          <w:rFonts w:eastAsia="Times New Roman"/>
          <w:color w:val="000000"/>
          <w:sz w:val="20"/>
          <w:szCs w:val="20"/>
        </w:rPr>
        <w:t xml:space="preserve">Company’s management evaluates the performance of each of these segments independently. </w:t>
      </w:r>
    </w:p>
    <w:p w:rsidR="00000000" w:rsidRDefault="005C524C">
      <w:pPr>
        <w:ind w:hanging="360"/>
        <w:jc w:val="both"/>
        <w:divId w:val="36011644"/>
        <w:rPr>
          <w:rFonts w:eastAsia="Times New Roman"/>
        </w:rPr>
      </w:pPr>
      <w:r>
        <w:rPr>
          <w:rFonts w:eastAsia="Times New Roman"/>
          <w:color w:val="000000"/>
          <w:sz w:val="20"/>
          <w:szCs w:val="20"/>
        </w:rPr>
        <w:t>•</w:t>
      </w: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5C524C">
      <w:pPr>
        <w:ind w:hanging="360"/>
        <w:jc w:val="both"/>
        <w:divId w:val="392430235"/>
        <w:rPr>
          <w:rFonts w:eastAsia="Times New Roman"/>
        </w:rPr>
      </w:pPr>
      <w:r>
        <w:rPr>
          <w:rFonts w:eastAsia="Times New Roman"/>
          <w:color w:val="000000"/>
          <w:sz w:val="20"/>
          <w:szCs w:val="20"/>
        </w:rPr>
        <w:t>•The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p w:rsidR="00000000" w:rsidRDefault="005C524C">
      <w:pPr>
        <w:ind w:hanging="360"/>
        <w:jc w:val="both"/>
        <w:divId w:val="2044671572"/>
        <w:rPr>
          <w:rFonts w:eastAsia="Times New Roman"/>
        </w:rPr>
      </w:pPr>
      <w:r>
        <w:rPr>
          <w:rFonts w:eastAsia="Times New Roman"/>
          <w:color w:val="000000"/>
          <w:sz w:val="20"/>
          <w:szCs w:val="20"/>
        </w:rPr>
        <w:t>•The Investment Management and Research segment provides diversified invest</w:t>
      </w:r>
      <w:r>
        <w:rPr>
          <w:rFonts w:eastAsia="Times New Roman"/>
          <w:color w:val="000000"/>
          <w:sz w:val="20"/>
          <w:szCs w:val="20"/>
        </w:rPr>
        <w:t>ment management, research and related solutions globally to a broad range of clients through three main client channels - Institutional, Retail and Private Wealth - and distributes its institutional research products and solutions through Bernstein Researc</w:t>
      </w:r>
      <w:r>
        <w:rPr>
          <w:rFonts w:eastAsia="Times New Roman"/>
          <w:color w:val="000000"/>
          <w:sz w:val="20"/>
          <w:szCs w:val="20"/>
        </w:rPr>
        <w:t>h Services. The Investment Management and Research segment reflects the business of AB Holding and ABLP and their subsidiaries (collectively, AB).</w:t>
      </w:r>
    </w:p>
    <w:p w:rsidR="00000000" w:rsidRDefault="005C524C">
      <w:pPr>
        <w:ind w:hanging="360"/>
        <w:divId w:val="1348796950"/>
        <w:rPr>
          <w:rFonts w:eastAsia="Times New Roman"/>
        </w:rPr>
      </w:pPr>
      <w:r>
        <w:rPr>
          <w:rFonts w:eastAsia="Times New Roman"/>
          <w:color w:val="000000"/>
          <w:sz w:val="20"/>
          <w:szCs w:val="20"/>
        </w:rPr>
        <w:t>•The Protection Solutions segment includes the Company’s life insurance and group employee benefits businesse</w:t>
      </w:r>
      <w:r>
        <w:rPr>
          <w:rFonts w:eastAsia="Times New Roman"/>
          <w:color w:val="000000"/>
          <w:sz w:val="20"/>
          <w:szCs w:val="20"/>
        </w:rPr>
        <w:t>s. The life insurance business offers a variety of VUL, IUL and term life products to help affluent and high net worth individuals, as well as small and medium-sized business owners, with their wealth protection, wealth transfer and corporate needs. Our gr</w:t>
      </w:r>
      <w:r>
        <w:rPr>
          <w:rFonts w:eastAsia="Times New Roman"/>
          <w:color w:val="000000"/>
          <w:sz w:val="20"/>
          <w:szCs w:val="20"/>
        </w:rPr>
        <w:t>oup employee benefits business offers a suite of life, short- and long-term disability, dental and vision insurance products to small and medium-size businesses across the United States.</w:t>
      </w:r>
    </w:p>
    <w:p w:rsidR="00000000" w:rsidRDefault="005C524C">
      <w:pPr>
        <w:divId w:val="2120636542"/>
        <w:rPr>
          <w:rFonts w:eastAsia="Times New Roman"/>
        </w:rPr>
      </w:pPr>
      <w:r>
        <w:rPr>
          <w:rFonts w:eastAsia="Times New Roman"/>
          <w:color w:val="000000"/>
          <w:sz w:val="20"/>
          <w:szCs w:val="20"/>
        </w:rPr>
        <w:t>The Company reports certain activities and items that are not include</w:t>
      </w:r>
      <w:r>
        <w:rPr>
          <w:rFonts w:eastAsia="Times New Roman"/>
          <w:color w:val="000000"/>
          <w:sz w:val="20"/>
          <w:szCs w:val="20"/>
        </w:rPr>
        <w:t>d in our segments in Corporate and Other. Corporate and Other includes certain of our financing and investment expenses. It also includes: Equitable Advisors broker-dealer business, closed block of life insurance (the “Closed Block”), run-off variable annu</w:t>
      </w:r>
      <w:r>
        <w:rPr>
          <w:rFonts w:eastAsia="Times New Roman"/>
          <w:color w:val="000000"/>
          <w:sz w:val="20"/>
          <w:szCs w:val="20"/>
        </w:rPr>
        <w:t>ity reinsurance business, run-off group pension business, run-off health business, benefit plans for our employees, certain strategic investments and certain unallocated items, including capital and related investments, interest expense and corporate expen</w:t>
      </w:r>
      <w:r>
        <w:rPr>
          <w:rFonts w:eastAsia="Times New Roman"/>
          <w:color w:val="000000"/>
          <w:sz w:val="20"/>
          <w:szCs w:val="20"/>
        </w:rPr>
        <w:t>se. AB’s results of operations are reflected in the Investment Management and Research segment. Accordingly, Corporate and Other does not include any items applicable to AB.</w:t>
      </w:r>
    </w:p>
    <w:p w:rsidR="00000000" w:rsidRDefault="005C524C">
      <w:pPr>
        <w:divId w:val="1881631217"/>
        <w:rPr>
          <w:rFonts w:eastAsia="Times New Roman"/>
        </w:rPr>
      </w:pPr>
      <w:r>
        <w:rPr>
          <w:rFonts w:eastAsia="Times New Roman"/>
          <w:color w:val="000000"/>
          <w:sz w:val="20"/>
          <w:szCs w:val="20"/>
        </w:rPr>
        <w:t>As of June 30, 2022 and December 31, 2021 the Company’s economic interest in AB wa</w:t>
      </w:r>
      <w:r>
        <w:rPr>
          <w:rFonts w:eastAsia="Times New Roman"/>
          <w:color w:val="000000"/>
          <w:sz w:val="20"/>
          <w:szCs w:val="20"/>
        </w:rPr>
        <w:t>s approximately 65% as of both dates. The General Partner of AB is a wholly-owned subsidiary of the Company. Because the General Partner has the authority to manage and control the business of AB, AB is consolidated in the Company’s financial statements fo</w:t>
      </w:r>
      <w:r>
        <w:rPr>
          <w:rFonts w:eastAsia="Times New Roman"/>
          <w:color w:val="000000"/>
          <w:sz w:val="20"/>
          <w:szCs w:val="20"/>
        </w:rPr>
        <w:t>r all periods presented.</w:t>
      </w:r>
    </w:p>
    <w:p w:rsidR="00000000" w:rsidRDefault="005C524C">
      <w:pPr>
        <w:divId w:val="1873684671"/>
        <w:rPr>
          <w:rFonts w:eastAsia="Times New Roman"/>
        </w:rPr>
      </w:pPr>
      <w:r>
        <w:rPr>
          <w:rFonts w:eastAsia="Times New Roman"/>
          <w:color w:val="000000"/>
          <w:sz w:val="20"/>
          <w:szCs w:val="20"/>
        </w:rPr>
        <w:t>On June 1, 2021, Holdings completed the sale (the “Venerable Transaction”) of CS Life, to Venerable Insurance and Annuity Company, an insurance company domiciled in Iowa (“VIAC”), pursuant to the Master Transaction Agreement, dated</w:t>
      </w:r>
      <w:r>
        <w:rPr>
          <w:rFonts w:eastAsia="Times New Roman"/>
          <w:color w:val="000000"/>
          <w:sz w:val="20"/>
          <w:szCs w:val="20"/>
        </w:rPr>
        <w:t xml:space="preserve"> October 27, 2020 (the “Master Transaction Agreement”), among the Company, VIAC and, solely with respect to Article XIV thereof, Venerable Holdings, Inc., a Delaware corporation (“Venerable”).</w:t>
      </w:r>
    </w:p>
    <w:p w:rsidR="00000000" w:rsidRDefault="005C524C">
      <w:pPr>
        <w:divId w:val="747917997"/>
        <w:rPr>
          <w:rFonts w:eastAsia="Times New Roman"/>
        </w:rPr>
      </w:pPr>
      <w:r>
        <w:rPr>
          <w:rFonts w:eastAsia="Times New Roman"/>
          <w:color w:val="000000"/>
          <w:sz w:val="20"/>
          <w:szCs w:val="20"/>
        </w:rPr>
        <w:t>Pursuant to the Master Transaction Agreement, immediately prior</w:t>
      </w:r>
      <w:r>
        <w:rPr>
          <w:rFonts w:eastAsia="Times New Roman"/>
          <w:color w:val="000000"/>
          <w:sz w:val="20"/>
          <w:szCs w:val="20"/>
        </w:rPr>
        <w:t xml:space="preserve"> to the closing of the Venerable Transaction, CS Life effected the recapture of all of the business that was ceded to CS Life Re Company, a wholly owned subsidiary of CS Life (“Reinsurance Subsidiary”), and sold 100% of the equity of the Reinsurance Subsid</w:t>
      </w:r>
      <w:r>
        <w:rPr>
          <w:rFonts w:eastAsia="Times New Roman"/>
          <w:color w:val="000000"/>
          <w:sz w:val="20"/>
          <w:szCs w:val="20"/>
        </w:rPr>
        <w:t>iary to another wholly owned subsidiary of the Company.</w:t>
      </w:r>
    </w:p>
    <w:p w:rsidR="00000000" w:rsidRDefault="005C524C">
      <w:pPr>
        <w:divId w:val="1154641280"/>
        <w:rPr>
          <w:rFonts w:eastAsia="Times New Roman"/>
        </w:rPr>
      </w:pPr>
      <w:r>
        <w:rPr>
          <w:rFonts w:eastAsia="Times New Roman"/>
          <w:color w:val="000000"/>
          <w:sz w:val="20"/>
          <w:szCs w:val="20"/>
        </w:rPr>
        <w:t>VIAC paid the Company a cash purchase price of $215 million for CS Life at closing. The post-closing true-up adjustment was immaterial. VIAC also issued a surplus note in aggregate principal amount of</w:t>
      </w:r>
      <w:r>
        <w:rPr>
          <w:rFonts w:eastAsia="Times New Roman"/>
          <w:color w:val="000000"/>
          <w:sz w:val="20"/>
          <w:szCs w:val="20"/>
        </w:rPr>
        <w:t xml:space="preserve"> $60 million, to Equitable Financial Life Insurance Company, a New York-domiciled life insurance company and a wholly owned subsidiary of Holdings, for cash consideration. </w:t>
      </w:r>
    </w:p>
    <w:p w:rsidR="00000000" w:rsidRDefault="005C524C">
      <w:pPr>
        <w:divId w:val="1832480529"/>
        <w:rPr>
          <w:rFonts w:eastAsia="Times New Roman"/>
        </w:rPr>
      </w:pPr>
      <w:r>
        <w:rPr>
          <w:rFonts w:eastAsia="Times New Roman"/>
          <w:color w:val="000000"/>
          <w:sz w:val="20"/>
          <w:szCs w:val="20"/>
        </w:rPr>
        <w:t>Immediately following the closing of the Venerable Transaction, CS Life and Equitab</w:t>
      </w:r>
      <w:r>
        <w:rPr>
          <w:rFonts w:eastAsia="Times New Roman"/>
          <w:color w:val="000000"/>
          <w:sz w:val="20"/>
          <w:szCs w:val="20"/>
        </w:rPr>
        <w:t>le Financial entered into a coinsurance and modified coinsurance agreement (the “Reinsurance Agreement”), pursuant to which Equitable Financial ceded to CS Life, on a combined coinsurance and modified coinsurance basis, legacy variable annuity policies sol</w:t>
      </w:r>
      <w:r>
        <w:rPr>
          <w:rFonts w:eastAsia="Times New Roman"/>
          <w:color w:val="000000"/>
          <w:sz w:val="20"/>
          <w:szCs w:val="20"/>
        </w:rPr>
        <w:t xml:space="preserve">d by Equitable Financial between 2006-2008 (the “Block”), comprised of non-New York “Accumulator” policies containing fixed rate Guaranteed Minimum Income Benefit and/or Guaranteed Minimum Death Benefit </w:t>
      </w:r>
    </w:p>
    <w:p w:rsidR="00000000" w:rsidRDefault="005C524C">
      <w:pPr>
        <w:jc w:val="center"/>
        <w:divId w:val="238097803"/>
        <w:rPr>
          <w:rFonts w:eastAsia="Times New Roman"/>
        </w:rPr>
      </w:pPr>
      <w:r>
        <w:rPr>
          <w:rFonts w:eastAsia="Times New Roman"/>
          <w:color w:val="000000"/>
          <w:sz w:val="20"/>
          <w:szCs w:val="20"/>
        </w:rPr>
        <w:t>11</w:t>
      </w:r>
    </w:p>
    <w:p w:rsidR="00000000" w:rsidRDefault="005C524C">
      <w:pPr>
        <w:rPr>
          <w:rFonts w:eastAsia="Times New Roman"/>
        </w:rPr>
      </w:pPr>
      <w:r>
        <w:rPr>
          <w:rFonts w:eastAsia="Times New Roman"/>
        </w:rPr>
        <w:pict>
          <v:rect id="_x0000_i1037" style="width:0;height:1.5pt" o:hralign="center" o:hrstd="t" o:hr="t" fillcolor="#a0a0a0" stroked="f"/>
        </w:pict>
      </w:r>
    </w:p>
    <w:p w:rsidR="00000000" w:rsidRDefault="005C524C">
      <w:pPr>
        <w:divId w:val="175180544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2086829848"/>
        <w:rPr>
          <w:rFonts w:eastAsia="Times New Roman"/>
        </w:rPr>
      </w:pPr>
      <w:r>
        <w:rPr>
          <w:rFonts w:eastAsia="Times New Roman"/>
          <w:b/>
          <w:bCs/>
          <w:color w:val="000000"/>
          <w:sz w:val="20"/>
          <w:szCs w:val="20"/>
        </w:rPr>
        <w:t>EQUITABLE HOLDINGS, INC.</w:t>
      </w:r>
    </w:p>
    <w:p w:rsidR="00000000" w:rsidRDefault="005C524C">
      <w:pPr>
        <w:jc w:val="center"/>
        <w:divId w:val="208682984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2086829848"/>
        <w:rPr>
          <w:rFonts w:eastAsia="Times New Roman"/>
        </w:rPr>
      </w:pPr>
    </w:p>
    <w:p w:rsidR="00000000" w:rsidRDefault="005C524C">
      <w:pPr>
        <w:divId w:val="1935548999"/>
        <w:rPr>
          <w:rFonts w:eastAsia="Times New Roman"/>
        </w:rPr>
      </w:pPr>
      <w:r>
        <w:rPr>
          <w:rFonts w:eastAsia="Times New Roman"/>
          <w:color w:val="000000"/>
          <w:sz w:val="20"/>
          <w:szCs w:val="20"/>
        </w:rPr>
        <w:t>guarantees. At the closing of the Transaction, CS Life deposited assets supporting the general acc</w:t>
      </w:r>
      <w:r>
        <w:rPr>
          <w:rFonts w:eastAsia="Times New Roman"/>
          <w:color w:val="000000"/>
          <w:sz w:val="20"/>
          <w:szCs w:val="20"/>
        </w:rPr>
        <w:t xml:space="preserve">ount liabilities relating to the Block into a trust account for the benefit of Equitable Financial, which assets will secure its obligations to Equitable Financial under the Reinsurance Agreement. At the closing of the Transaction, AllianceBernstein L.P., </w:t>
      </w:r>
      <w:r>
        <w:rPr>
          <w:rFonts w:eastAsia="Times New Roman"/>
          <w:color w:val="000000"/>
          <w:sz w:val="20"/>
          <w:szCs w:val="20"/>
        </w:rPr>
        <w:t>a subsidiary of the Company (“AB”), entered into an investment advisory agreement with CS Life pursuant to which AB will serve as the preferred investment manager of the general account assets transferred to the trust account. The Company transferred asset</w:t>
      </w:r>
      <w:r>
        <w:rPr>
          <w:rFonts w:eastAsia="Times New Roman"/>
          <w:color w:val="000000"/>
          <w:sz w:val="20"/>
          <w:szCs w:val="20"/>
        </w:rPr>
        <w:t>s of $9.5 billion, including primarily available for sale securities and cash, to a collateral trust account as the consideration for the reinsurance transaction. In addition, the Company recorded $9.6 billion of direct insurance liabilities ceded under th</w:t>
      </w:r>
      <w:r>
        <w:rPr>
          <w:rFonts w:eastAsia="Times New Roman"/>
          <w:color w:val="000000"/>
          <w:sz w:val="20"/>
          <w:szCs w:val="20"/>
        </w:rPr>
        <w:t>e reinsurance contract, of which $5.3 billion is accounted at fair value, as the reinsurance of GMxB with no lapse guarantee riders are embedded derivatives. Additionally, $16.9 billion of Separate Account liabilities were ceded under a modified coinsuranc</w:t>
      </w:r>
      <w:r>
        <w:rPr>
          <w:rFonts w:eastAsia="Times New Roman"/>
          <w:color w:val="000000"/>
          <w:sz w:val="20"/>
          <w:szCs w:val="20"/>
        </w:rPr>
        <w:t>e portion of the agreement.</w:t>
      </w:r>
    </w:p>
    <w:p w:rsidR="00000000" w:rsidRDefault="005C524C">
      <w:pPr>
        <w:divId w:val="550848090"/>
        <w:rPr>
          <w:rFonts w:eastAsia="Times New Roman"/>
        </w:rPr>
      </w:pPr>
      <w:r>
        <w:rPr>
          <w:rFonts w:eastAsia="Times New Roman"/>
          <w:color w:val="000000"/>
          <w:sz w:val="20"/>
          <w:szCs w:val="20"/>
        </w:rPr>
        <w:t>In addition, upon the completion of the Venerable Transaction, EIMG acquired an approximate 9.09% equity interest in Venerable’s parent holding company, VA Capital Company LLC. In connection with such investment, EIMG designated</w:t>
      </w:r>
      <w:r>
        <w:rPr>
          <w:rFonts w:eastAsia="Times New Roman"/>
          <w:color w:val="000000"/>
          <w:sz w:val="20"/>
          <w:szCs w:val="20"/>
        </w:rPr>
        <w:t xml:space="preserve"> a member to the Board of Managers of VA Capital Company LLC.</w:t>
      </w:r>
    </w:p>
    <w:p w:rsidR="00000000" w:rsidRDefault="005C524C">
      <w:pPr>
        <w:divId w:val="106823887"/>
        <w:rPr>
          <w:rFonts w:eastAsia="Times New Roman"/>
        </w:rPr>
      </w:pPr>
    </w:p>
    <w:p w:rsidR="00000000" w:rsidRDefault="005C524C">
      <w:pPr>
        <w:divId w:val="487945838"/>
        <w:rPr>
          <w:rFonts w:eastAsia="Times New Roman"/>
        </w:rPr>
      </w:pPr>
      <w:r>
        <w:rPr>
          <w:rFonts w:eastAsia="Times New Roman"/>
          <w:b/>
          <w:bCs/>
          <w:color w:val="000000"/>
          <w:sz w:val="20"/>
          <w:szCs w:val="20"/>
        </w:rPr>
        <w:t xml:space="preserve">2)     SIGNIFICANT ACCOUNTING POLICIES </w:t>
      </w:r>
    </w:p>
    <w:p w:rsidR="00000000" w:rsidRDefault="005C524C">
      <w:pPr>
        <w:divId w:val="61296785"/>
        <w:rPr>
          <w:rFonts w:eastAsia="Times New Roman"/>
        </w:rPr>
      </w:pPr>
      <w:r>
        <w:rPr>
          <w:rFonts w:eastAsia="Times New Roman"/>
          <w:color w:val="000000"/>
          <w:sz w:val="20"/>
          <w:szCs w:val="20"/>
          <w:u w:val="single"/>
        </w:rPr>
        <w:t>Basis of Presentation and Principles of Consolidation</w:t>
      </w:r>
    </w:p>
    <w:p w:rsidR="00000000" w:rsidRDefault="005C524C">
      <w:pPr>
        <w:divId w:val="2075003465"/>
        <w:rPr>
          <w:rFonts w:eastAsia="Times New Roman"/>
        </w:rPr>
      </w:pPr>
      <w:r>
        <w:rPr>
          <w:rFonts w:eastAsia="Times New Roman"/>
          <w:color w:val="000000"/>
          <w:sz w:val="20"/>
          <w:szCs w:val="20"/>
        </w:rPr>
        <w:t xml:space="preserve">The unaudited interim consolidated financial statements (the “consolidated financial statements”) </w:t>
      </w:r>
      <w:r>
        <w:rPr>
          <w:rFonts w:eastAsia="Times New Roman"/>
          <w:color w:val="000000"/>
          <w:sz w:val="20"/>
          <w:szCs w:val="20"/>
        </w:rPr>
        <w:t>have been prepared in conformity with accounting principles generally accepted in the United States of America (“U.S. GAAP” or “GAAP”) on a basis consistent with reporting interim financial information in accordance with instructions to the Form 10-Q and A</w:t>
      </w:r>
      <w:r>
        <w:rPr>
          <w:rFonts w:eastAsia="Times New Roman"/>
          <w:color w:val="000000"/>
          <w:sz w:val="20"/>
          <w:szCs w:val="20"/>
        </w:rPr>
        <w:t xml:space="preserve">rticle 10 of Regulation S-X of the Securities and Exchange Commission (“SEC”). </w:t>
      </w:r>
    </w:p>
    <w:p w:rsidR="00000000" w:rsidRDefault="005C524C">
      <w:pPr>
        <w:divId w:val="679965175"/>
        <w:rPr>
          <w:rFonts w:eastAsia="Times New Roman"/>
        </w:rPr>
      </w:pPr>
      <w:r>
        <w:rPr>
          <w:rFonts w:eastAsia="Times New Roman"/>
          <w:color w:val="000000"/>
          <w:sz w:val="20"/>
          <w:szCs w:val="20"/>
        </w:rPr>
        <w:t>In the opinion of management, all adjustments necessary for a fair statement of the financial position and results of operations have been made. All such adjustments are of a n</w:t>
      </w:r>
      <w:r>
        <w:rPr>
          <w:rFonts w:eastAsia="Times New Roman"/>
          <w:color w:val="000000"/>
          <w:sz w:val="20"/>
          <w:szCs w:val="20"/>
        </w:rPr>
        <w:t>ormal, recurring nature. Interim results are not necessarily indicative of the results that may be expected for the full year. These financial statements should be read in conjunction with the Company’s consolidated financial statements included in the Com</w:t>
      </w:r>
      <w:r>
        <w:rPr>
          <w:rFonts w:eastAsia="Times New Roman"/>
          <w:color w:val="000000"/>
          <w:sz w:val="20"/>
          <w:szCs w:val="20"/>
        </w:rPr>
        <w:t xml:space="preserve">pany’s Annual Report on Form 10-K for the year ended December 31, 2021. </w:t>
      </w:r>
    </w:p>
    <w:p w:rsidR="00000000" w:rsidRDefault="005C524C">
      <w:pPr>
        <w:divId w:val="720833632"/>
        <w:rPr>
          <w:rFonts w:eastAsia="Times New Roman"/>
        </w:rPr>
      </w:pPr>
      <w:r>
        <w:rPr>
          <w:rFonts w:eastAsia="Times New Roman"/>
          <w:color w:val="000000"/>
          <w:sz w:val="20"/>
          <w:szCs w:val="20"/>
        </w:rPr>
        <w:t>The accompanying unaudited consolidated financial statements present the consolidated results of operations, financial condition, and cash flows of the Company and its subsidiaries an</w:t>
      </w:r>
      <w:r>
        <w:rPr>
          <w:rFonts w:eastAsia="Times New Roman"/>
          <w:color w:val="000000"/>
          <w:sz w:val="20"/>
          <w:szCs w:val="20"/>
        </w:rPr>
        <w:t xml:space="preserve">d those investment companies, partnerships and joint ventures in which the Company has control and a majority economic interest as well as those variable interest entities (“VIEs”) that meet the requirements for consolidation. </w:t>
      </w:r>
    </w:p>
    <w:p w:rsidR="00000000" w:rsidRDefault="005C524C">
      <w:pPr>
        <w:divId w:val="951940503"/>
        <w:rPr>
          <w:rFonts w:eastAsia="Times New Roman"/>
        </w:rPr>
      </w:pPr>
      <w:r>
        <w:rPr>
          <w:rFonts w:eastAsia="Times New Roman"/>
          <w:color w:val="000000"/>
          <w:sz w:val="20"/>
          <w:szCs w:val="20"/>
        </w:rPr>
        <w:t>All significant intercompany</w:t>
      </w:r>
      <w:r>
        <w:rPr>
          <w:rFonts w:eastAsia="Times New Roman"/>
          <w:color w:val="000000"/>
          <w:sz w:val="20"/>
          <w:szCs w:val="20"/>
        </w:rPr>
        <w:t xml:space="preserve"> transactions and balances have been eliminated in consolidation. The terms “second quarter 2022” and “second quarter 2021” refer to the three months ended June 30, 2022 and 2021, respectively. The terms “first six months of 2022” and “first six months of </w:t>
      </w:r>
      <w:r>
        <w:rPr>
          <w:rFonts w:eastAsia="Times New Roman"/>
          <w:color w:val="000000"/>
          <w:sz w:val="20"/>
          <w:szCs w:val="20"/>
        </w:rPr>
        <w:t>2021” refer to the six months ended June 30, 2022 and 2021, respectively.</w:t>
      </w:r>
    </w:p>
    <w:p w:rsidR="00000000" w:rsidRDefault="005C524C">
      <w:pPr>
        <w:divId w:val="1272711237"/>
        <w:rPr>
          <w:rFonts w:eastAsia="Times New Roman"/>
        </w:rPr>
      </w:pPr>
      <w:r>
        <w:rPr>
          <w:rFonts w:eastAsia="Times New Roman"/>
          <w:color w:val="000000"/>
          <w:sz w:val="20"/>
          <w:szCs w:val="20"/>
        </w:rPr>
        <w:t xml:space="preserve">Certain prior year amounts have been reclassified to conform to the current year’s presentation. </w:t>
      </w:r>
    </w:p>
    <w:p w:rsidR="00000000" w:rsidRDefault="005C524C">
      <w:pPr>
        <w:divId w:val="1309480560"/>
        <w:rPr>
          <w:rFonts w:eastAsia="Times New Roman"/>
        </w:rPr>
      </w:pPr>
    </w:p>
    <w:p w:rsidR="00000000" w:rsidRDefault="005C524C">
      <w:pPr>
        <w:divId w:val="1677002387"/>
        <w:rPr>
          <w:rFonts w:eastAsia="Times New Roman"/>
        </w:rPr>
      </w:pPr>
      <w:r>
        <w:rPr>
          <w:rFonts w:eastAsia="Times New Roman"/>
          <w:color w:val="000000"/>
          <w:sz w:val="20"/>
          <w:szCs w:val="20"/>
          <w:u w:val="single"/>
        </w:rPr>
        <w:t>Recent Accounting Pronouncements</w:t>
      </w:r>
    </w:p>
    <w:p w:rsidR="00000000" w:rsidRDefault="005C524C">
      <w:pPr>
        <w:divId w:val="934482034"/>
        <w:rPr>
          <w:rFonts w:eastAsia="Times New Roman"/>
        </w:rPr>
      </w:pPr>
      <w:r>
        <w:rPr>
          <w:rFonts w:eastAsia="Times New Roman"/>
          <w:color w:val="000000"/>
          <w:sz w:val="20"/>
          <w:szCs w:val="20"/>
        </w:rPr>
        <w:t xml:space="preserve">Changes to U.S. GAAP are established by the Financial Accounting Standards Board (“FASB”) in the form of Accounting Standards Updates (“ASUs”) to the FASB Accounting Standards Codification (“ASC”). The Company considers the applicability and impact of all </w:t>
      </w:r>
      <w:r>
        <w:rPr>
          <w:rFonts w:eastAsia="Times New Roman"/>
          <w:color w:val="000000"/>
          <w:sz w:val="20"/>
          <w:szCs w:val="20"/>
        </w:rPr>
        <w:t>ASUs. ASUs listed below include those that have been adopted during the current fiscal year and/or those that have been issued but not yet adopted as of June 30, 2022, and as of the date of this filing. ASUs not listed below were assessed and determined to</w:t>
      </w:r>
      <w:r>
        <w:rPr>
          <w:rFonts w:eastAsia="Times New Roman"/>
          <w:color w:val="000000"/>
          <w:sz w:val="20"/>
          <w:szCs w:val="20"/>
        </w:rPr>
        <w:t xml:space="preserve"> be either not applicable or not material.</w:t>
      </w:r>
    </w:p>
    <w:p w:rsidR="00000000" w:rsidRDefault="005C524C">
      <w:pPr>
        <w:jc w:val="center"/>
        <w:divId w:val="71512278"/>
        <w:rPr>
          <w:rFonts w:eastAsia="Times New Roman"/>
        </w:rPr>
      </w:pPr>
    </w:p>
    <w:p w:rsidR="00000000" w:rsidRDefault="005C524C">
      <w:pPr>
        <w:jc w:val="center"/>
        <w:divId w:val="71512278"/>
        <w:rPr>
          <w:rFonts w:eastAsia="Times New Roman"/>
        </w:rPr>
      </w:pPr>
      <w:r>
        <w:rPr>
          <w:rFonts w:eastAsia="Times New Roman"/>
          <w:color w:val="000000"/>
          <w:sz w:val="20"/>
          <w:szCs w:val="20"/>
        </w:rPr>
        <w:t>12</w:t>
      </w:r>
    </w:p>
    <w:p w:rsidR="00000000" w:rsidRDefault="005C524C">
      <w:pPr>
        <w:rPr>
          <w:rFonts w:eastAsia="Times New Roman"/>
        </w:rPr>
      </w:pPr>
      <w:r>
        <w:rPr>
          <w:rFonts w:eastAsia="Times New Roman"/>
        </w:rPr>
        <w:pict>
          <v:rect id="_x0000_i1038" style="width:0;height:1.5pt" o:hralign="center" o:hrstd="t" o:hr="t" fillcolor="#a0a0a0" stroked="f"/>
        </w:pict>
      </w:r>
    </w:p>
    <w:p w:rsidR="00000000" w:rsidRDefault="005C524C">
      <w:pPr>
        <w:divId w:val="83102098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541549604"/>
        <w:rPr>
          <w:rFonts w:eastAsia="Times New Roman"/>
        </w:rPr>
      </w:pPr>
      <w:r>
        <w:rPr>
          <w:rFonts w:eastAsia="Times New Roman"/>
          <w:b/>
          <w:bCs/>
          <w:color w:val="000000"/>
          <w:sz w:val="20"/>
          <w:szCs w:val="20"/>
        </w:rPr>
        <w:t>EQUITABLE HOLDINGS, INC.</w:t>
      </w:r>
    </w:p>
    <w:p w:rsidR="00000000" w:rsidRDefault="005C524C">
      <w:pPr>
        <w:jc w:val="center"/>
        <w:divId w:val="1541549604"/>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541549604"/>
        <w:rPr>
          <w:rFonts w:eastAsia="Times New Roman"/>
        </w:rPr>
      </w:pPr>
    </w:p>
    <w:p w:rsidR="00000000" w:rsidRDefault="005C524C">
      <w:pPr>
        <w:divId w:val="1174149145"/>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7"/>
        <w:gridCol w:w="67"/>
        <w:gridCol w:w="2567"/>
        <w:gridCol w:w="37"/>
        <w:gridCol w:w="67"/>
        <w:gridCol w:w="2714"/>
        <w:gridCol w:w="37"/>
      </w:tblGrid>
      <w:tr w:rsidR="00000000">
        <w:trPr>
          <w:divId w:val="1174149145"/>
        </w:trPr>
        <w:tc>
          <w:tcPr>
            <w:tcW w:w="50" w:type="pct"/>
            <w:vAlign w:val="center"/>
            <w:hideMark/>
          </w:tcPr>
          <w:p w:rsidR="00000000" w:rsidRDefault="005C524C">
            <w:pPr>
              <w:rPr>
                <w:rFonts w:eastAsia="Times New Roman"/>
              </w:rPr>
            </w:pPr>
          </w:p>
        </w:tc>
        <w:tc>
          <w:tcPr>
            <w:tcW w:w="15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5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6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74149145"/>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174149145"/>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5C524C">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trPr>
          <w:divId w:val="1174149145"/>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5C524C">
            <w:pPr>
              <w:spacing w:after="100"/>
              <w:jc w:val="both"/>
              <w:divId w:val="499321135"/>
              <w:rPr>
                <w:rFonts w:eastAsia="Times New Roman"/>
              </w:rPr>
            </w:pPr>
            <w:r>
              <w:rPr>
                <w:rFonts w:eastAsia="Times New Roman"/>
                <w:color w:val="000000"/>
                <w:sz w:val="18"/>
                <w:szCs w:val="18"/>
              </w:rPr>
              <w:t xml:space="preserve">This ASU provides targeted improvements to existing recognition, measurement, presentation, and </w:t>
            </w:r>
            <w:r>
              <w:rPr>
                <w:rFonts w:eastAsia="Times New Roman"/>
                <w:color w:val="000000"/>
                <w:sz w:val="18"/>
                <w:szCs w:val="18"/>
              </w:rPr>
              <w:t>disclosure requirements for long-duration contracts issued by an insurance entity. The ASU primarily impacts four key areas, including:</w:t>
            </w:r>
          </w:p>
          <w:p w:rsidR="00000000" w:rsidRDefault="005C524C">
            <w:pPr>
              <w:spacing w:after="100"/>
              <w:jc w:val="both"/>
              <w:divId w:val="1638802410"/>
              <w:rPr>
                <w:rFonts w:eastAsia="Times New Roman"/>
              </w:rPr>
            </w:pPr>
            <w:r>
              <w:rPr>
                <w:rFonts w:eastAsia="Times New Roman"/>
                <w:color w:val="000000"/>
                <w:sz w:val="18"/>
                <w:szCs w:val="18"/>
              </w:rPr>
              <w:t>1. Measurement of the liability for future policy benefits for traditional and limited payment contracts. The ASU requir</w:t>
            </w:r>
            <w:r>
              <w:rPr>
                <w:rFonts w:eastAsia="Times New Roman"/>
                <w:color w:val="000000"/>
                <w:sz w:val="18"/>
                <w:szCs w:val="18"/>
              </w:rPr>
              <w:t>es companies to review, and if necessary, update cash flow assumptions at least annually for non-participating traditional and limited-payment insurance contracts. The ASU also prescribes the discount rate to be used in measuring the liability for future p</w:t>
            </w:r>
            <w:r>
              <w:rPr>
                <w:rFonts w:eastAsia="Times New Roman"/>
                <w:color w:val="000000"/>
                <w:sz w:val="18"/>
                <w:szCs w:val="18"/>
              </w:rPr>
              <w:t>olicy benefits for traditional and limited payment long-duration contracts.</w:t>
            </w:r>
          </w:p>
          <w:p w:rsidR="00000000" w:rsidRDefault="005C524C">
            <w:pPr>
              <w:spacing w:after="100"/>
              <w:jc w:val="both"/>
              <w:rPr>
                <w:rFonts w:eastAsia="Times New Roman"/>
              </w:rPr>
            </w:pPr>
          </w:p>
          <w:p w:rsidR="00000000" w:rsidRDefault="005C524C">
            <w:pPr>
              <w:spacing w:after="100"/>
              <w:jc w:val="both"/>
              <w:rPr>
                <w:rFonts w:eastAsia="Times New Roman"/>
              </w:rPr>
            </w:pPr>
            <w:r>
              <w:rPr>
                <w:rFonts w:eastAsia="Times New Roman"/>
                <w:color w:val="000000"/>
                <w:sz w:val="18"/>
                <w:szCs w:val="18"/>
              </w:rPr>
              <w:t>2. Measurement of MRBs. MRBs, as defined under the ASU, will encompass certain GMxB features associated with variable annuity products and other general account annuities with ot</w:t>
            </w:r>
            <w:r>
              <w:rPr>
                <w:rFonts w:eastAsia="Times New Roman"/>
                <w:color w:val="000000"/>
                <w:sz w:val="18"/>
                <w:szCs w:val="18"/>
              </w:rPr>
              <w:t xml:space="preserve">her than nominal market risk. </w:t>
            </w:r>
          </w:p>
          <w:p w:rsidR="00000000" w:rsidRDefault="005C524C">
            <w:pPr>
              <w:spacing w:after="100"/>
              <w:jc w:val="both"/>
              <w:rPr>
                <w:rFonts w:eastAsia="Times New Roman"/>
              </w:rPr>
            </w:pPr>
          </w:p>
          <w:p w:rsidR="00000000" w:rsidRDefault="005C524C">
            <w:pPr>
              <w:spacing w:after="100"/>
              <w:jc w:val="both"/>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margins, requiring such balanc</w:t>
            </w:r>
            <w:r>
              <w:rPr>
                <w:rFonts w:eastAsia="Times New Roman"/>
                <w:color w:val="000000"/>
                <w:sz w:val="18"/>
                <w:szCs w:val="18"/>
              </w:rPr>
              <w:t xml:space="preserve">es to be amortized on a constant level basis over the expected term of the contracts. </w:t>
            </w:r>
          </w:p>
          <w:p w:rsidR="00000000" w:rsidRDefault="005C524C">
            <w:pPr>
              <w:spacing w:after="100"/>
              <w:jc w:val="both"/>
              <w:rPr>
                <w:rFonts w:eastAsia="Times New Roman"/>
              </w:rPr>
            </w:pPr>
          </w:p>
          <w:p w:rsidR="00000000" w:rsidRDefault="005C524C">
            <w:pPr>
              <w:spacing w:after="100"/>
              <w:jc w:val="both"/>
              <w:rPr>
                <w:rFonts w:eastAsia="Times New Roman"/>
              </w:rPr>
            </w:pPr>
            <w:r>
              <w:rPr>
                <w:rFonts w:eastAsia="Times New Roman"/>
                <w:color w:val="000000"/>
                <w:sz w:val="18"/>
                <w:szCs w:val="18"/>
              </w:rPr>
              <w:t> </w:t>
            </w:r>
            <w:r>
              <w:rPr>
                <w:rFonts w:eastAsia="Times New Roman"/>
                <w:color w:val="000000"/>
                <w:sz w:val="18"/>
                <w:szCs w:val="18"/>
              </w:rPr>
              <w:t>4. Expanded footnote disclosures. The ASU requires additional disclosures including information about significant inputs, judgements, assumptions and methods used in measurement.</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18"/>
                <w:szCs w:val="18"/>
              </w:rPr>
              <w:t xml:space="preserve">In November 2020, the FASB issued ASU 2020-11 which deferred the effective </w:t>
            </w:r>
            <w:r>
              <w:rPr>
                <w:rFonts w:eastAsia="Times New Roman"/>
                <w:color w:val="000000"/>
                <w:sz w:val="18"/>
                <w:szCs w:val="18"/>
              </w:rPr>
              <w:t xml:space="preserve">date of the amendments in ASU 2018-12 for all insurance entities. ASU 2018-12 is effective for fiscal years, and interim periods within those fiscal years, beginning after December 15, 2022. Early adoption is allowed. </w:t>
            </w:r>
            <w:r>
              <w:rPr>
                <w:rFonts w:eastAsia="Times New Roman"/>
                <w:color w:val="000000"/>
                <w:sz w:val="18"/>
                <w:szCs w:val="18"/>
              </w:rPr>
              <w:br/>
            </w:r>
            <w:r>
              <w:rPr>
                <w:rFonts w:eastAsia="Times New Roman"/>
                <w:sz w:val="18"/>
                <w:szCs w:val="18"/>
              </w:rPr>
              <w:br/>
            </w: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contracts in force as of the</w:t>
            </w:r>
            <w:r>
              <w:rPr>
                <w:rFonts w:eastAsia="Times New Roman"/>
                <w:color w:val="000000"/>
                <w:sz w:val="18"/>
                <w:szCs w:val="18"/>
              </w:rPr>
              <w:t xml:space="preserve"> beginning of the earliest period presented on the basis of their existing carrying amounts, adjusted for the removal of any related amounts in AOCI or a full retrospective transition method using actual historical experience information as of contract inc</w:t>
            </w:r>
            <w:r>
              <w:rPr>
                <w:rFonts w:eastAsia="Times New Roman"/>
                <w:color w:val="000000"/>
                <w:sz w:val="18"/>
                <w:szCs w:val="18"/>
              </w:rPr>
              <w:t>eption. The same adoption method must be used for deferred policy acquisition costs.</w:t>
            </w:r>
            <w:r>
              <w:rPr>
                <w:rFonts w:eastAsia="Times New Roman"/>
                <w:color w:val="000000"/>
                <w:sz w:val="18"/>
                <w:szCs w:val="18"/>
              </w:rPr>
              <w:br/>
            </w:r>
            <w:r>
              <w:rPr>
                <w:rFonts w:eastAsia="Times New Roman"/>
                <w:sz w:val="18"/>
                <w:szCs w:val="18"/>
              </w:rPr>
              <w:br/>
            </w:r>
            <w:r>
              <w:rPr>
                <w:rFonts w:eastAsia="Times New Roman"/>
                <w:color w:val="000000"/>
                <w:sz w:val="18"/>
                <w:szCs w:val="18"/>
              </w:rPr>
              <w:t>For MRBs, the ASU should be applied retrospectively as of the beginning of the 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18"/>
                <w:szCs w:val="18"/>
              </w:rPr>
              <w:t xml:space="preserve">The Company continues to progress with implementation efforts </w:t>
            </w:r>
            <w:r>
              <w:rPr>
                <w:rFonts w:eastAsia="Times New Roman"/>
                <w:color w:val="000000"/>
                <w:sz w:val="18"/>
                <w:szCs w:val="18"/>
              </w:rPr>
              <w:t>and the evaluation of the impact that adoption of this guidance will have on the Company’s consolidated financial statements. Due to its extensive nature, the adoption of the ASU is expected to have a significant impact on the Company’s consolidated financ</w:t>
            </w:r>
            <w:r>
              <w:rPr>
                <w:rFonts w:eastAsia="Times New Roman"/>
                <w:color w:val="000000"/>
                <w:sz w:val="18"/>
                <w:szCs w:val="18"/>
              </w:rPr>
              <w:t>ial statements, as well as systems, processes and controls. Effective January 1, 2023, the new guidance will be adopted using the modified retrospective approach, except for MRBs which will use the full retrospective approach.</w:t>
            </w:r>
            <w:r>
              <w:rPr>
                <w:rFonts w:eastAsia="Times New Roman"/>
                <w:color w:val="000000"/>
                <w:sz w:val="18"/>
                <w:szCs w:val="18"/>
              </w:rPr>
              <w:br/>
            </w:r>
            <w:r>
              <w:rPr>
                <w:rFonts w:eastAsia="Times New Roman"/>
                <w:sz w:val="18"/>
                <w:szCs w:val="18"/>
              </w:rPr>
              <w:br/>
            </w:r>
            <w:r>
              <w:rPr>
                <w:rFonts w:eastAsia="Times New Roman"/>
                <w:color w:val="000000"/>
                <w:sz w:val="18"/>
                <w:szCs w:val="18"/>
              </w:rPr>
              <w:t>The Company has created a go</w:t>
            </w:r>
            <w:r>
              <w:rPr>
                <w:rFonts w:eastAsia="Times New Roman"/>
                <w:color w:val="000000"/>
                <w:sz w:val="18"/>
                <w:szCs w:val="18"/>
              </w:rPr>
              <w:t>vernance framework and implementation plan to ensure timely adoption of the guidance. In preparation for implementation, the Company continues to refine key accounting policy decisions, modernize processes and update internal controls. These changes includ</w:t>
            </w:r>
            <w:r>
              <w:rPr>
                <w:rFonts w:eastAsia="Times New Roman"/>
                <w:color w:val="000000"/>
                <w:sz w:val="18"/>
                <w:szCs w:val="18"/>
              </w:rPr>
              <w:t>e modifications of actuarial valuation systems, data sourcing, analytical procedures and reporting processes.</w:t>
            </w:r>
            <w:r>
              <w:rPr>
                <w:rFonts w:eastAsia="Times New Roman"/>
                <w:color w:val="000000"/>
                <w:sz w:val="18"/>
                <w:szCs w:val="18"/>
              </w:rPr>
              <w:br/>
            </w:r>
            <w:r>
              <w:rPr>
                <w:rFonts w:eastAsia="Times New Roman"/>
                <w:sz w:val="18"/>
                <w:szCs w:val="18"/>
              </w:rPr>
              <w:br/>
            </w:r>
            <w:r>
              <w:rPr>
                <w:rFonts w:eastAsia="Times New Roman"/>
                <w:color w:val="000000"/>
                <w:sz w:val="18"/>
                <w:szCs w:val="18"/>
              </w:rPr>
              <w:t>The impact on total equity of applying this ASU is estimated to be positive to the current amount of reported total equity as of June 30, 2022. A</w:t>
            </w:r>
            <w:r>
              <w:rPr>
                <w:rFonts w:eastAsia="Times New Roman"/>
                <w:color w:val="000000"/>
                <w:sz w:val="18"/>
                <w:szCs w:val="18"/>
              </w:rPr>
              <w:t>s of June 30, 2022, a positive impact to AOCI is expected due to increases in the Company’s estimate of its non-performance risk on variable annuity guarantees accounted for as MRBs for the first time under the guidance. The estimated impact to the retaine</w:t>
            </w:r>
            <w:r>
              <w:rPr>
                <w:rFonts w:eastAsia="Times New Roman"/>
                <w:color w:val="000000"/>
                <w:sz w:val="18"/>
                <w:szCs w:val="18"/>
              </w:rPr>
              <w:t>d earnings element of total equity as of June 30, 2022, due to accounting for variable annuity guarantees as MRBs that are not currently measured at fair value, is mitigated by the Company’s present use of a near industry low interest rate assumption of 2.</w:t>
            </w:r>
            <w:r>
              <w:rPr>
                <w:rFonts w:eastAsia="Times New Roman"/>
                <w:color w:val="000000"/>
                <w:sz w:val="18"/>
                <w:szCs w:val="18"/>
              </w:rPr>
              <w:t xml:space="preserve">25% on GMIB business. Because movements in equity markets, interest rates and credit spreads are unpredictable and at times volatile, it is possible that the estimated effects of adoption could change materially between June 30, 2022 and January 1, 2023. </w:t>
            </w:r>
          </w:p>
        </w:tc>
      </w:tr>
      <w:tr w:rsidR="00000000">
        <w:trPr>
          <w:divId w:val="1174149145"/>
        </w:trPr>
        <w:tc>
          <w:tcPr>
            <w:tcW w:w="0" w:type="auto"/>
            <w:gridSpan w:val="3"/>
            <w:vAlign w:val="center"/>
            <w:hideMark/>
          </w:tcPr>
          <w:p w:rsidR="00000000" w:rsidRDefault="005C524C">
            <w:pPr>
              <w:spacing w:after="100"/>
              <w:jc w:val="both"/>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17414914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149055302"/>
        <w:rPr>
          <w:rFonts w:eastAsia="Times New Roman"/>
        </w:rPr>
      </w:pPr>
      <w:r>
        <w:rPr>
          <w:rFonts w:eastAsia="Times New Roman"/>
          <w:color w:val="000000"/>
          <w:sz w:val="20"/>
          <w:szCs w:val="20"/>
        </w:rPr>
        <w:t>13</w:t>
      </w:r>
    </w:p>
    <w:p w:rsidR="00000000" w:rsidRDefault="005C524C">
      <w:pPr>
        <w:rPr>
          <w:rFonts w:eastAsia="Times New Roman"/>
        </w:rPr>
      </w:pPr>
      <w:r>
        <w:rPr>
          <w:rFonts w:eastAsia="Times New Roman"/>
        </w:rPr>
        <w:pict>
          <v:rect id="_x0000_i1039" style="width:0;height:1.5pt" o:hralign="center" o:hrstd="t" o:hr="t" fillcolor="#a0a0a0" stroked="f"/>
        </w:pict>
      </w:r>
    </w:p>
    <w:p w:rsidR="00000000" w:rsidRDefault="005C524C">
      <w:pPr>
        <w:divId w:val="113202200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115829791"/>
        <w:rPr>
          <w:rFonts w:eastAsia="Times New Roman"/>
        </w:rPr>
      </w:pPr>
      <w:r>
        <w:rPr>
          <w:rFonts w:eastAsia="Times New Roman"/>
          <w:b/>
          <w:bCs/>
          <w:color w:val="000000"/>
          <w:sz w:val="20"/>
          <w:szCs w:val="20"/>
        </w:rPr>
        <w:t>EQUITABLE HOLDINGS, INC.</w:t>
      </w:r>
    </w:p>
    <w:p w:rsidR="00000000" w:rsidRDefault="005C524C">
      <w:pPr>
        <w:jc w:val="center"/>
        <w:divId w:val="1115829791"/>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115829791"/>
        <w:rPr>
          <w:rFonts w:eastAsia="Times New Roman"/>
        </w:rPr>
      </w:pPr>
    </w:p>
    <w:p w:rsidR="00000000" w:rsidRDefault="005C524C">
      <w:pPr>
        <w:divId w:val="1758668298"/>
        <w:rPr>
          <w:rFonts w:eastAsia="Times New Roman"/>
        </w:rPr>
      </w:pPr>
      <w:r>
        <w:rPr>
          <w:rFonts w:eastAsia="Times New Roman"/>
          <w:color w:val="000000"/>
          <w:sz w:val="20"/>
          <w:szCs w:val="20"/>
          <w:u w:val="single"/>
        </w:rPr>
        <w:t>Accounting and Consolidation of VIEs</w:t>
      </w:r>
    </w:p>
    <w:p w:rsidR="00000000" w:rsidRDefault="005C524C">
      <w:pPr>
        <w:divId w:val="1884781904"/>
        <w:rPr>
          <w:rFonts w:eastAsia="Times New Roman"/>
        </w:rPr>
      </w:pPr>
      <w:r>
        <w:rPr>
          <w:rFonts w:eastAsia="Times New Roman"/>
          <w:color w:val="000000"/>
          <w:sz w:val="20"/>
          <w:szCs w:val="20"/>
        </w:rPr>
        <w:t>For all new i</w:t>
      </w:r>
      <w:r>
        <w:rPr>
          <w:rFonts w:eastAsia="Times New Roman"/>
          <w:color w:val="000000"/>
          <w:sz w:val="20"/>
          <w:szCs w:val="20"/>
        </w:rPr>
        <w:t>nvestment products and entities developed by the Company, the Company first determines whether the entity is a VIE, which involves determining an entity’s variability and variable interests, identifying the holders of the equity investment at risk and asse</w:t>
      </w:r>
      <w:r>
        <w:rPr>
          <w:rFonts w:eastAsia="Times New Roman"/>
          <w:color w:val="000000"/>
          <w:sz w:val="20"/>
          <w:szCs w:val="20"/>
        </w:rPr>
        <w:t xml:space="preserve">ssing the five characteristics of a VIE. Once an entity has been determined to be a VIE, the Company then determines whether it is the primary beneficiary of the VIE based on its beneficial interests. If the Company is deemed to be the primary beneficiary </w:t>
      </w:r>
      <w:r>
        <w:rPr>
          <w:rFonts w:eastAsia="Times New Roman"/>
          <w:color w:val="000000"/>
          <w:sz w:val="20"/>
          <w:szCs w:val="20"/>
        </w:rPr>
        <w:t>of the VIE, then the Company consolidates the entity.</w:t>
      </w:r>
    </w:p>
    <w:p w:rsidR="00000000" w:rsidRDefault="005C524C">
      <w:pPr>
        <w:divId w:val="313336261"/>
        <w:rPr>
          <w:rFonts w:eastAsia="Times New Roman"/>
        </w:rPr>
      </w:pPr>
      <w:r>
        <w:rPr>
          <w:rFonts w:eastAsia="Times New Roman"/>
          <w:color w:val="000000"/>
          <w:sz w:val="20"/>
          <w:szCs w:val="20"/>
        </w:rPr>
        <w:t>Management of the Company reviews quarterly its investment management agreements and its investments in, and other financial arrangements with, certain entities that hold client AUM to determine the ent</w:t>
      </w:r>
      <w:r>
        <w:rPr>
          <w:rFonts w:eastAsia="Times New Roman"/>
          <w:color w:val="000000"/>
          <w:sz w:val="20"/>
          <w:szCs w:val="20"/>
        </w:rPr>
        <w:t>ities that the Company is required to consolidate under this guidance. These entities include certain mutual fund products, hedge funds, structured products, group trusts, collective investment trusts and limited partnerships.</w:t>
      </w:r>
    </w:p>
    <w:p w:rsidR="00000000" w:rsidRDefault="005C524C">
      <w:pPr>
        <w:divId w:val="544636341"/>
        <w:rPr>
          <w:rFonts w:eastAsia="Times New Roman"/>
        </w:rPr>
      </w:pPr>
      <w:r>
        <w:rPr>
          <w:rFonts w:eastAsia="Times New Roman"/>
          <w:color w:val="000000"/>
          <w:sz w:val="20"/>
          <w:szCs w:val="20"/>
        </w:rPr>
        <w:t>The analysis performed to ide</w:t>
      </w:r>
      <w:r>
        <w:rPr>
          <w:rFonts w:eastAsia="Times New Roman"/>
          <w:color w:val="000000"/>
          <w:sz w:val="20"/>
          <w:szCs w:val="20"/>
        </w:rPr>
        <w:t>ntify variable interests held, determine whether entities are VIEs or VOEs, and evaluate whether the Company has a controlling financial interest in such entities requires the exercise of judgment and is updated on a continuous basis as circumstances chang</w:t>
      </w:r>
      <w:r>
        <w:rPr>
          <w:rFonts w:eastAsia="Times New Roman"/>
          <w:color w:val="000000"/>
          <w:sz w:val="20"/>
          <w:szCs w:val="20"/>
        </w:rPr>
        <w:t>e or new entities are developed. The primary beneficiary evaluation generally is performed qualitatively based on all facts and circumstances, including consideration of economic interests in the VIE held directly and indirectly through related parties and</w:t>
      </w:r>
      <w:r>
        <w:rPr>
          <w:rFonts w:eastAsia="Times New Roman"/>
          <w:color w:val="000000"/>
          <w:sz w:val="20"/>
          <w:szCs w:val="20"/>
        </w:rPr>
        <w:t xml:space="preserve"> entities under common control, as well as quantitatively, as appropriate.</w:t>
      </w:r>
    </w:p>
    <w:p w:rsidR="00000000" w:rsidRDefault="005C524C">
      <w:pPr>
        <w:jc w:val="both"/>
        <w:divId w:val="969363866"/>
        <w:rPr>
          <w:rFonts w:eastAsia="Times New Roman"/>
        </w:rPr>
      </w:pPr>
      <w:r>
        <w:rPr>
          <w:rFonts w:eastAsia="Times New Roman"/>
          <w:b/>
          <w:bCs/>
          <w:i/>
          <w:iCs/>
          <w:color w:val="000000"/>
          <w:sz w:val="20"/>
          <w:szCs w:val="20"/>
        </w:rPr>
        <w:t>Consolidated VIEs</w:t>
      </w:r>
    </w:p>
    <w:p w:rsidR="00000000" w:rsidRDefault="005C524C">
      <w:pPr>
        <w:jc w:val="both"/>
        <w:divId w:val="398019235"/>
        <w:rPr>
          <w:rFonts w:eastAsia="Times New Roman"/>
        </w:rPr>
      </w:pPr>
      <w:r>
        <w:rPr>
          <w:rFonts w:eastAsia="Times New Roman"/>
          <w:color w:val="000000"/>
          <w:sz w:val="20"/>
          <w:szCs w:val="20"/>
          <w:u w:val="single"/>
        </w:rPr>
        <w:t>Consolidated CLOs</w:t>
      </w:r>
    </w:p>
    <w:p w:rsidR="00000000" w:rsidRDefault="005C524C">
      <w:pPr>
        <w:divId w:val="1940407881"/>
        <w:rPr>
          <w:rFonts w:eastAsia="Times New Roman"/>
        </w:rPr>
      </w:pPr>
      <w:r>
        <w:rPr>
          <w:rFonts w:eastAsia="Times New Roman"/>
          <w:color w:val="000000"/>
          <w:sz w:val="20"/>
          <w:szCs w:val="20"/>
        </w:rPr>
        <w:t>The Company is the investment manager of certain asset-backed investment vehicles, commonly referred to as CLOs, and certain other vehicles for w</w:t>
      </w:r>
      <w:r>
        <w:rPr>
          <w:rFonts w:eastAsia="Times New Roman"/>
          <w:color w:val="000000"/>
          <w:sz w:val="20"/>
          <w:szCs w:val="20"/>
        </w:rPr>
        <w:t>hich the Company earns fee income for investment management services. The Company may sell or syndicate investments through these vehicles, principally as part of the strategic investing activity as part of its investment management businesses. Additionall</w:t>
      </w:r>
      <w:r>
        <w:rPr>
          <w:rFonts w:eastAsia="Times New Roman"/>
          <w:color w:val="000000"/>
          <w:sz w:val="20"/>
          <w:szCs w:val="20"/>
        </w:rPr>
        <w:t xml:space="preserve">y, the Company may invest in securities issued by these vehicles which are eliminated in consolidation of the CLOs. </w:t>
      </w:r>
    </w:p>
    <w:p w:rsidR="00000000" w:rsidRDefault="005C524C">
      <w:pPr>
        <w:divId w:val="28193011"/>
        <w:rPr>
          <w:rFonts w:eastAsia="Times New Roman"/>
        </w:rPr>
      </w:pPr>
      <w:r>
        <w:rPr>
          <w:rFonts w:eastAsia="Times New Roman"/>
          <w:color w:val="000000"/>
          <w:sz w:val="20"/>
          <w:szCs w:val="20"/>
        </w:rPr>
        <w:t xml:space="preserve">As of June 30, 2022 and December 31, 2021, respectively, Equitable Financial holds $93 million and $109 million of equity interests in the </w:t>
      </w:r>
      <w:r>
        <w:rPr>
          <w:rFonts w:eastAsia="Times New Roman"/>
          <w:color w:val="000000"/>
          <w:sz w:val="20"/>
          <w:szCs w:val="20"/>
        </w:rPr>
        <w:t xml:space="preserve">CLOs. The Company consolidated the CLOs as of June 30, 2022 and December 31, 2021 as it is the primary beneficiary due to the combination of both its equity interest held by Equitable Financial and the majority ownership of AB, which functions as the CLOs </w:t>
      </w:r>
      <w:r>
        <w:rPr>
          <w:rFonts w:eastAsia="Times New Roman"/>
          <w:color w:val="000000"/>
          <w:sz w:val="20"/>
          <w:szCs w:val="20"/>
        </w:rPr>
        <w:t>loan manager. The assets of the CLOs are legally isolated from the Company’s creditors and can only be used to settle obligations of the CLOs. The liabilities of the CLOs are non-recourse to the Company and the Company has no obligation to satisfy the liab</w:t>
      </w:r>
      <w:r>
        <w:rPr>
          <w:rFonts w:eastAsia="Times New Roman"/>
          <w:color w:val="000000"/>
          <w:sz w:val="20"/>
          <w:szCs w:val="20"/>
        </w:rPr>
        <w:t>ilities of the CLOs. As of June 30, 2022, Equitable Financial holds $71 million of equity interests in a newly formed SPE established to purchase loans from the market in anticipation of a new CLO transaction. The Company consolidated the SPE as of June 30</w:t>
      </w:r>
      <w:r>
        <w:rPr>
          <w:rFonts w:eastAsia="Times New Roman"/>
          <w:color w:val="000000"/>
          <w:sz w:val="20"/>
          <w:szCs w:val="20"/>
        </w:rPr>
        <w:t>, 2022 as it is the primary beneficiary due to the combination of both its equity interest held by Equitable Financial and the majority ownership of AB, which functions as the SPE loan manager.</w:t>
      </w:r>
    </w:p>
    <w:p w:rsidR="00000000" w:rsidRDefault="005C524C">
      <w:pPr>
        <w:divId w:val="1808160384"/>
        <w:rPr>
          <w:rFonts w:eastAsia="Times New Roman"/>
        </w:rPr>
      </w:pPr>
      <w:r>
        <w:rPr>
          <w:rFonts w:eastAsia="Times New Roman"/>
          <w:color w:val="000000"/>
          <w:sz w:val="20"/>
          <w:szCs w:val="20"/>
        </w:rPr>
        <w:t>Resulting from this consolidation in the Company’s consolidate</w:t>
      </w:r>
      <w:r>
        <w:rPr>
          <w:rFonts w:eastAsia="Times New Roman"/>
          <w:color w:val="000000"/>
          <w:sz w:val="20"/>
          <w:szCs w:val="20"/>
        </w:rPr>
        <w:t>d balance sheets are fixed maturities, at fair value using the fair value option with total assets of $1.6 billion and $1.6 billion notes issued by consolidated variable interest entities, at fair value using the fair value option with total liabilities of</w:t>
      </w:r>
      <w:r>
        <w:rPr>
          <w:rFonts w:eastAsia="Times New Roman"/>
          <w:color w:val="000000"/>
          <w:sz w:val="20"/>
          <w:szCs w:val="20"/>
        </w:rPr>
        <w:t xml:space="preserve"> $1.2 billion and $1.2 billion at June 30, 2022 and December 31, 2021, respectively</w:t>
      </w:r>
      <w:r>
        <w:rPr>
          <w:rFonts w:eastAsia="Times New Roman"/>
          <w:color w:val="FF0000"/>
          <w:sz w:val="20"/>
          <w:szCs w:val="20"/>
        </w:rPr>
        <w:t>.</w:t>
      </w:r>
      <w:r>
        <w:rPr>
          <w:rFonts w:eastAsia="Times New Roman"/>
          <w:color w:val="000000"/>
          <w:sz w:val="20"/>
          <w:szCs w:val="20"/>
        </w:rPr>
        <w:t xml:space="preserve"> The unpaid outstanding principal balance of the notes and short-term borrowing is $1.4 billion and $1.3 billion at June 30, 2022 and December 31, 2021.</w:t>
      </w:r>
    </w:p>
    <w:p w:rsidR="00000000" w:rsidRDefault="005C524C">
      <w:pPr>
        <w:jc w:val="both"/>
        <w:divId w:val="161630883"/>
        <w:rPr>
          <w:rFonts w:eastAsia="Times New Roman"/>
        </w:rPr>
      </w:pPr>
      <w:r>
        <w:rPr>
          <w:rFonts w:eastAsia="Times New Roman"/>
          <w:color w:val="000000"/>
          <w:sz w:val="20"/>
          <w:szCs w:val="20"/>
          <w:u w:val="single"/>
        </w:rPr>
        <w:t>Consolidated Limited Partnerships and LLCs</w:t>
      </w:r>
    </w:p>
    <w:p w:rsidR="00000000" w:rsidRDefault="005C524C">
      <w:pPr>
        <w:divId w:val="2136482591"/>
        <w:rPr>
          <w:rFonts w:eastAsia="Times New Roman"/>
        </w:rPr>
      </w:pPr>
      <w:r>
        <w:rPr>
          <w:rFonts w:eastAsia="Times New Roman"/>
          <w:color w:val="000000"/>
          <w:sz w:val="20"/>
          <w:szCs w:val="20"/>
        </w:rPr>
        <w:t>As of June 30, 2022 and December 31, 2021 the Company consolidated limited partnerships and LLCs for which it was identified as the primary beneficiary under the VIE model. Included in Other invested assets, Mortg</w:t>
      </w:r>
      <w:r>
        <w:rPr>
          <w:rFonts w:eastAsia="Times New Roman"/>
          <w:color w:val="000000"/>
          <w:sz w:val="20"/>
          <w:szCs w:val="20"/>
        </w:rPr>
        <w:t>age loans on real estate and Other equity investments in the Company’s consolidated balance sheets at June 30, 2022 and December 31, 2021 are total assets of $242 million and $219 million, respectively related to these VIEs.</w:t>
      </w:r>
    </w:p>
    <w:p w:rsidR="00000000" w:rsidRDefault="005C524C">
      <w:pPr>
        <w:jc w:val="both"/>
        <w:divId w:val="2003656091"/>
        <w:rPr>
          <w:rFonts w:eastAsia="Times New Roman"/>
        </w:rPr>
      </w:pPr>
      <w:r>
        <w:rPr>
          <w:rFonts w:eastAsia="Times New Roman"/>
          <w:b/>
          <w:bCs/>
          <w:i/>
          <w:iCs/>
          <w:color w:val="000000"/>
          <w:sz w:val="20"/>
          <w:szCs w:val="20"/>
        </w:rPr>
        <w:t>Consolidated AB-Sponsored Inves</w:t>
      </w:r>
      <w:r>
        <w:rPr>
          <w:rFonts w:eastAsia="Times New Roman"/>
          <w:b/>
          <w:bCs/>
          <w:i/>
          <w:iCs/>
          <w:color w:val="000000"/>
          <w:sz w:val="20"/>
          <w:szCs w:val="20"/>
        </w:rPr>
        <w:t>tment Funds</w:t>
      </w:r>
    </w:p>
    <w:p w:rsidR="00000000" w:rsidRDefault="005C524C">
      <w:pPr>
        <w:divId w:val="709692251"/>
        <w:rPr>
          <w:rFonts w:eastAsia="Times New Roman"/>
        </w:rPr>
      </w:pPr>
      <w:r>
        <w:rPr>
          <w:rFonts w:eastAsia="Times New Roman"/>
          <w:color w:val="000000"/>
          <w:sz w:val="20"/>
          <w:szCs w:val="20"/>
        </w:rPr>
        <w:t xml:space="preserve">Included in the Company’s consolidated balance sheet as of June 30, 2022 and December 31, 2021 are assets of </w:t>
      </w:r>
      <w:r>
        <w:rPr>
          <w:rFonts w:eastAsia="Times New Roman"/>
          <w:color w:val="000000"/>
          <w:sz w:val="20"/>
          <w:szCs w:val="20"/>
          <w:shd w:val="clear" w:color="auto" w:fill="FFFFFF"/>
        </w:rPr>
        <w:t xml:space="preserve">$497 million and $734 million, liabilities of $38 million and $87 million, and redeemable noncontrolling interests of $309 million and </w:t>
      </w:r>
      <w:r>
        <w:rPr>
          <w:rFonts w:eastAsia="Times New Roman"/>
          <w:color w:val="000000"/>
          <w:sz w:val="20"/>
          <w:szCs w:val="20"/>
          <w:shd w:val="clear" w:color="auto" w:fill="FFFFFF"/>
        </w:rPr>
        <w:t>$421 million</w:t>
      </w:r>
      <w:r>
        <w:rPr>
          <w:rFonts w:eastAsia="Times New Roman"/>
          <w:color w:val="000000"/>
          <w:sz w:val="20"/>
          <w:szCs w:val="20"/>
        </w:rPr>
        <w:t xml:space="preserve">, respectively, associated with the consolidation of AB-sponsored investment funds under the VIE model. There were no consolidated AB-sponsored investment funds under the VOE model as of June 30, 2022 and December 31, 2021. The assets of these </w:t>
      </w:r>
      <w:r>
        <w:rPr>
          <w:rFonts w:eastAsia="Times New Roman"/>
          <w:color w:val="000000"/>
          <w:sz w:val="20"/>
          <w:szCs w:val="20"/>
        </w:rPr>
        <w:t xml:space="preserve">consolidated funds are presented within other invested assets and cash and </w:t>
      </w:r>
    </w:p>
    <w:p w:rsidR="00000000" w:rsidRDefault="005C524C">
      <w:pPr>
        <w:jc w:val="center"/>
        <w:divId w:val="452869028"/>
        <w:rPr>
          <w:rFonts w:eastAsia="Times New Roman"/>
        </w:rPr>
      </w:pPr>
      <w:r>
        <w:rPr>
          <w:rFonts w:eastAsia="Times New Roman"/>
          <w:color w:val="000000"/>
          <w:sz w:val="20"/>
          <w:szCs w:val="20"/>
        </w:rPr>
        <w:t>14</w:t>
      </w:r>
    </w:p>
    <w:p w:rsidR="00000000" w:rsidRDefault="005C524C">
      <w:pPr>
        <w:rPr>
          <w:rFonts w:eastAsia="Times New Roman"/>
        </w:rPr>
      </w:pPr>
      <w:r>
        <w:rPr>
          <w:rFonts w:eastAsia="Times New Roman"/>
        </w:rPr>
        <w:pict>
          <v:rect id="_x0000_i1040" style="width:0;height:1.5pt" o:hralign="center" o:hrstd="t" o:hr="t" fillcolor="#a0a0a0" stroked="f"/>
        </w:pict>
      </w:r>
    </w:p>
    <w:p w:rsidR="00000000" w:rsidRDefault="005C524C">
      <w:pPr>
        <w:divId w:val="127763754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764425538"/>
        <w:rPr>
          <w:rFonts w:eastAsia="Times New Roman"/>
        </w:rPr>
      </w:pPr>
      <w:r>
        <w:rPr>
          <w:rFonts w:eastAsia="Times New Roman"/>
          <w:b/>
          <w:bCs/>
          <w:color w:val="000000"/>
          <w:sz w:val="20"/>
          <w:szCs w:val="20"/>
        </w:rPr>
        <w:t>EQUITABLE HOLDINGS, INC.</w:t>
      </w:r>
    </w:p>
    <w:p w:rsidR="00000000" w:rsidRDefault="005C524C">
      <w:pPr>
        <w:jc w:val="center"/>
        <w:divId w:val="76442553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764425538"/>
        <w:rPr>
          <w:rFonts w:eastAsia="Times New Roman"/>
        </w:rPr>
      </w:pPr>
    </w:p>
    <w:p w:rsidR="00000000" w:rsidRDefault="005C524C">
      <w:pPr>
        <w:divId w:val="1250045456"/>
        <w:rPr>
          <w:rFonts w:eastAsia="Times New Roman"/>
        </w:rPr>
      </w:pPr>
      <w:r>
        <w:rPr>
          <w:rFonts w:eastAsia="Times New Roman"/>
          <w:color w:val="000000"/>
          <w:sz w:val="20"/>
          <w:szCs w:val="20"/>
        </w:rPr>
        <w:t>cash equivalents, and liabilities of these consolidated funds are presented with other liabilities in the Company’s consolidated balance sheets; ownership interests not held by the Company</w:t>
      </w:r>
      <w:r>
        <w:rPr>
          <w:rFonts w:eastAsia="Times New Roman"/>
          <w:color w:val="000000"/>
          <w:sz w:val="20"/>
          <w:szCs w:val="20"/>
        </w:rPr>
        <w:t xml:space="preserve"> relating to consolidated VIEs and VOEs are presented either as redeemable or non-redeemable noncontrolling interests, as appropriate. Redeemable noncontrolling interests are presented in mezzanine equity and non-redeemable noncontrolling interests are pre</w:t>
      </w:r>
      <w:r>
        <w:rPr>
          <w:rFonts w:eastAsia="Times New Roman"/>
          <w:color w:val="000000"/>
          <w:sz w:val="20"/>
          <w:szCs w:val="20"/>
        </w:rPr>
        <w:t>sented within permanent equity. The Company is not required to provide financial support to these AB-sponsored investment funds, and only the assets of such funds are available to settle each fund’s own liabilities.</w:t>
      </w:r>
    </w:p>
    <w:p w:rsidR="00000000" w:rsidRDefault="005C524C">
      <w:pPr>
        <w:jc w:val="both"/>
        <w:divId w:val="661471283"/>
        <w:rPr>
          <w:rFonts w:eastAsia="Times New Roman"/>
        </w:rPr>
      </w:pPr>
      <w:r>
        <w:rPr>
          <w:rFonts w:eastAsia="Times New Roman"/>
          <w:b/>
          <w:bCs/>
          <w:i/>
          <w:iCs/>
          <w:color w:val="000000"/>
          <w:sz w:val="20"/>
          <w:szCs w:val="20"/>
        </w:rPr>
        <w:t>Non-Consolidated VIEs</w:t>
      </w:r>
    </w:p>
    <w:p w:rsidR="00000000" w:rsidRDefault="005C524C">
      <w:pPr>
        <w:divId w:val="58485385"/>
        <w:rPr>
          <w:rFonts w:eastAsia="Times New Roman"/>
        </w:rPr>
      </w:pPr>
      <w:r>
        <w:rPr>
          <w:rFonts w:eastAsia="Times New Roman"/>
          <w:color w:val="000000"/>
          <w:sz w:val="20"/>
          <w:szCs w:val="20"/>
        </w:rPr>
        <w:t>As of June 30, 202</w:t>
      </w:r>
      <w:r>
        <w:rPr>
          <w:rFonts w:eastAsia="Times New Roman"/>
          <w:color w:val="000000"/>
          <w:sz w:val="20"/>
          <w:szCs w:val="20"/>
        </w:rPr>
        <w:t>2 and December 31, 2021 respectively, the Company held approximately $2.3 billion and $2.1 billion of investment assets in the form of equity interests issued by non-corporate legal entities determined under the guidance to be VIEs, such as limited partner</w:t>
      </w:r>
      <w:r>
        <w:rPr>
          <w:rFonts w:eastAsia="Times New Roman"/>
          <w:color w:val="000000"/>
          <w:sz w:val="20"/>
          <w:szCs w:val="20"/>
        </w:rPr>
        <w:t>ships and limited liability companies, including CLOs, hedge funds, private equity funds and real estate-related funds. As an equity investor, the Company is considered to have a variable interest in each of these VIEs as a result of its participation in t</w:t>
      </w:r>
      <w:r>
        <w:rPr>
          <w:rFonts w:eastAsia="Times New Roman"/>
          <w:color w:val="000000"/>
          <w:sz w:val="20"/>
          <w:szCs w:val="20"/>
        </w:rPr>
        <w:t>he risks and/or rewards these funds were designed to create by their defined portfolio objectives and strategies. Primarily through qualitative assessment, including consideration of related party interests or other financial arrangements, if any, the Comp</w:t>
      </w:r>
      <w:r>
        <w:rPr>
          <w:rFonts w:eastAsia="Times New Roman"/>
          <w:color w:val="000000"/>
          <w:sz w:val="20"/>
          <w:szCs w:val="20"/>
        </w:rPr>
        <w:t>any was not identified as primary beneficiary of any of these VIEs, largely due to its inability to direct the activities that most significantly impact their economic performance. Consequently, the Company continues to reflect these equity interests in th</w:t>
      </w:r>
      <w:r>
        <w:rPr>
          <w:rFonts w:eastAsia="Times New Roman"/>
          <w:color w:val="000000"/>
          <w:sz w:val="20"/>
          <w:szCs w:val="20"/>
        </w:rPr>
        <w:t>e consolidated balance sheets as other equity investments and applies the equity method of accounting for these positions. The net assets of these non-consolidated VIEs are approximately $278.0 billion and $245.6 billion as of June 30, 2022 and December 31</w:t>
      </w:r>
      <w:r>
        <w:rPr>
          <w:rFonts w:eastAsia="Times New Roman"/>
          <w:color w:val="000000"/>
          <w:sz w:val="20"/>
          <w:szCs w:val="20"/>
        </w:rPr>
        <w:t>, 2021 respectively. The Company’s maximum exposure to loss from its direct involvement with these VIEs is the carrying value of its investment of $2.3 billion and $2.1 billion and approximately $1.3 billion and $1.2 billion of unfunded commitments as of J</w:t>
      </w:r>
      <w:r>
        <w:rPr>
          <w:rFonts w:eastAsia="Times New Roman"/>
          <w:color w:val="000000"/>
          <w:sz w:val="20"/>
          <w:szCs w:val="20"/>
        </w:rPr>
        <w:t>une 30, 2022 and December 31, 2021, respectively. The Company has no further economic interest in these VIEs in the form of guarantees, derivatives, credit enhancements or similar instruments and obligations.</w:t>
      </w:r>
    </w:p>
    <w:p w:rsidR="00000000" w:rsidRDefault="005C524C">
      <w:pPr>
        <w:jc w:val="both"/>
        <w:divId w:val="1115254179"/>
        <w:rPr>
          <w:rFonts w:eastAsia="Times New Roman"/>
        </w:rPr>
      </w:pPr>
      <w:r>
        <w:rPr>
          <w:rFonts w:eastAsia="Times New Roman"/>
          <w:b/>
          <w:bCs/>
          <w:i/>
          <w:iCs/>
          <w:color w:val="000000"/>
          <w:sz w:val="20"/>
          <w:szCs w:val="20"/>
        </w:rPr>
        <w:t>Non-Consolidated AB-Sponsored Investment Produc</w:t>
      </w:r>
      <w:r>
        <w:rPr>
          <w:rFonts w:eastAsia="Times New Roman"/>
          <w:b/>
          <w:bCs/>
          <w:i/>
          <w:iCs/>
          <w:color w:val="000000"/>
          <w:sz w:val="20"/>
          <w:szCs w:val="20"/>
        </w:rPr>
        <w:t>ts</w:t>
      </w:r>
    </w:p>
    <w:p w:rsidR="00000000" w:rsidRDefault="005C524C">
      <w:pPr>
        <w:divId w:val="960066142"/>
        <w:rPr>
          <w:rFonts w:eastAsia="Times New Roman"/>
        </w:rPr>
      </w:pPr>
      <w:r>
        <w:rPr>
          <w:rFonts w:eastAsia="Times New Roman"/>
          <w:color w:val="000000"/>
          <w:sz w:val="20"/>
          <w:szCs w:val="20"/>
        </w:rPr>
        <w:t>As of June 30, 2022 and December 31, 2021, the net assets of investment products sponsored by AB that are non-consolidated VIEs are approximately $40.3 billion and $68.9 billion, respectively. The Company’s maximum exposure to loss from its direct invol</w:t>
      </w:r>
      <w:r>
        <w:rPr>
          <w:rFonts w:eastAsia="Times New Roman"/>
          <w:color w:val="000000"/>
          <w:sz w:val="20"/>
          <w:szCs w:val="20"/>
        </w:rPr>
        <w:t>vement with these VIEs is its investment of $5 million and $9 million as of June 30, 2022 and December 31, 2021. The Company has no further commitments to or economic interest in these VIEs.</w:t>
      </w:r>
    </w:p>
    <w:p w:rsidR="00000000" w:rsidRDefault="005C524C">
      <w:pPr>
        <w:divId w:val="631135995"/>
        <w:rPr>
          <w:rFonts w:eastAsia="Times New Roman"/>
        </w:rPr>
      </w:pPr>
      <w:r>
        <w:rPr>
          <w:rFonts w:eastAsia="Times New Roman"/>
          <w:color w:val="000000"/>
          <w:sz w:val="20"/>
          <w:szCs w:val="20"/>
          <w:u w:val="single"/>
        </w:rPr>
        <w:t>Assumption Updates and Model Changes</w:t>
      </w:r>
    </w:p>
    <w:p w:rsidR="00000000" w:rsidRDefault="005C524C">
      <w:pPr>
        <w:divId w:val="1625849303"/>
        <w:rPr>
          <w:rFonts w:eastAsia="Times New Roman"/>
        </w:rPr>
      </w:pPr>
      <w:r>
        <w:rPr>
          <w:rFonts w:eastAsia="Times New Roman"/>
          <w:color w:val="000000"/>
          <w:sz w:val="20"/>
          <w:szCs w:val="20"/>
        </w:rPr>
        <w:t>The Company conducts its ann</w:t>
      </w:r>
      <w:r>
        <w:rPr>
          <w:rFonts w:eastAsia="Times New Roman"/>
          <w:color w:val="000000"/>
          <w:sz w:val="20"/>
          <w:szCs w:val="20"/>
        </w:rPr>
        <w:t>ual review of its assumptions and models during the third quarter of each year. The annual review encompasses assumptions underlying the valuation of unearned revenue liabilities, embedded derivatives for our insurance business, liabilities for future poli</w:t>
      </w:r>
      <w:r>
        <w:rPr>
          <w:rFonts w:eastAsia="Times New Roman"/>
          <w:color w:val="000000"/>
          <w:sz w:val="20"/>
          <w:szCs w:val="20"/>
        </w:rPr>
        <w:t>cyholder benefits, DAC and DSI assets.</w:t>
      </w:r>
    </w:p>
    <w:p w:rsidR="00000000" w:rsidRDefault="005C524C">
      <w:pPr>
        <w:divId w:val="1231113078"/>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believes may have a significant impact to the ca</w:t>
      </w:r>
      <w:r>
        <w:rPr>
          <w:rFonts w:eastAsia="Times New Roman"/>
          <w:color w:val="000000"/>
          <w:sz w:val="20"/>
          <w:szCs w:val="20"/>
        </w:rPr>
        <w:t>rrying value of product liabilities and assets and consequently materially impact its earnings in the period of the change. There were no material assumption updates or model changes in the first and second quarters of 2022 or 2021.</w:t>
      </w:r>
    </w:p>
    <w:p w:rsidR="00000000" w:rsidRDefault="005C524C">
      <w:pPr>
        <w:divId w:val="443233617"/>
        <w:rPr>
          <w:rFonts w:eastAsia="Times New Roman"/>
        </w:rPr>
      </w:pPr>
      <w:r>
        <w:rPr>
          <w:rFonts w:eastAsia="Times New Roman"/>
          <w:b/>
          <w:bCs/>
          <w:color w:val="000000"/>
          <w:sz w:val="20"/>
          <w:szCs w:val="20"/>
        </w:rPr>
        <w:t>3)    INVESTMENTS</w:t>
      </w:r>
    </w:p>
    <w:p w:rsidR="00000000" w:rsidRDefault="005C524C">
      <w:pPr>
        <w:divId w:val="226963932"/>
        <w:rPr>
          <w:rFonts w:eastAsia="Times New Roman"/>
        </w:rPr>
      </w:pPr>
      <w:r>
        <w:rPr>
          <w:rFonts w:eastAsia="Times New Roman"/>
          <w:color w:val="000000"/>
          <w:sz w:val="20"/>
          <w:szCs w:val="20"/>
          <w:u w:val="single"/>
        </w:rPr>
        <w:t>Fixed Maturities AFS</w:t>
      </w:r>
    </w:p>
    <w:p w:rsidR="00000000" w:rsidRDefault="005C524C">
      <w:pPr>
        <w:divId w:val="1622036567"/>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interest receivable because the Company elected to present accrued interest receivable within ot</w:t>
      </w:r>
      <w:r>
        <w:rPr>
          <w:rFonts w:eastAsia="Times New Roman"/>
          <w:color w:val="000000"/>
          <w:sz w:val="20"/>
          <w:szCs w:val="20"/>
        </w:rPr>
        <w:t>her assets. Accrued interest receivable on AFS fixed maturities as of June 30, 2022 and December 31, 2021 was $541 million and $506 million, respectively. There was no accrued interest written off for AFS fixed maturities for the three and six months ended</w:t>
      </w:r>
      <w:r>
        <w:rPr>
          <w:rFonts w:eastAsia="Times New Roman"/>
          <w:color w:val="000000"/>
          <w:sz w:val="20"/>
          <w:szCs w:val="20"/>
        </w:rPr>
        <w:t xml:space="preserve"> June 30, 2022 and 2021.</w:t>
      </w:r>
    </w:p>
    <w:p w:rsidR="00000000" w:rsidRDefault="005C524C">
      <w:pPr>
        <w:divId w:val="1114908995"/>
        <w:rPr>
          <w:rFonts w:eastAsia="Times New Roman"/>
        </w:rPr>
      </w:pPr>
      <w:r>
        <w:rPr>
          <w:rFonts w:eastAsia="Times New Roman"/>
          <w:color w:val="000000"/>
          <w:sz w:val="20"/>
          <w:szCs w:val="20"/>
        </w:rPr>
        <w:t xml:space="preserve">The following tables provide information relating to the Company’s fixed maturities classified as AFS. </w:t>
      </w:r>
    </w:p>
    <w:p w:rsidR="00000000" w:rsidRDefault="005C524C">
      <w:pPr>
        <w:jc w:val="center"/>
        <w:divId w:val="186991377"/>
        <w:rPr>
          <w:rFonts w:eastAsia="Times New Roman"/>
        </w:rPr>
      </w:pPr>
      <w:r>
        <w:rPr>
          <w:rFonts w:eastAsia="Times New Roman"/>
          <w:color w:val="000000"/>
          <w:sz w:val="20"/>
          <w:szCs w:val="20"/>
        </w:rPr>
        <w:t>15</w:t>
      </w:r>
    </w:p>
    <w:p w:rsidR="00000000" w:rsidRDefault="005C524C">
      <w:pPr>
        <w:rPr>
          <w:rFonts w:eastAsia="Times New Roman"/>
        </w:rPr>
      </w:pPr>
      <w:r>
        <w:rPr>
          <w:rFonts w:eastAsia="Times New Roman"/>
        </w:rPr>
        <w:pict>
          <v:rect id="_x0000_i1041" style="width:0;height:1.5pt" o:hralign="center" o:hrstd="t" o:hr="t" fillcolor="#a0a0a0" stroked="f"/>
        </w:pict>
      </w:r>
    </w:p>
    <w:p w:rsidR="00000000" w:rsidRDefault="005C524C">
      <w:pPr>
        <w:divId w:val="36995965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81929845"/>
        <w:rPr>
          <w:rFonts w:eastAsia="Times New Roman"/>
        </w:rPr>
      </w:pPr>
      <w:r>
        <w:rPr>
          <w:rFonts w:eastAsia="Times New Roman"/>
          <w:b/>
          <w:bCs/>
          <w:color w:val="000000"/>
          <w:sz w:val="20"/>
          <w:szCs w:val="20"/>
        </w:rPr>
        <w:t>EQUITABLE H</w:t>
      </w:r>
      <w:r>
        <w:rPr>
          <w:rFonts w:eastAsia="Times New Roman"/>
          <w:b/>
          <w:bCs/>
          <w:color w:val="000000"/>
          <w:sz w:val="20"/>
          <w:szCs w:val="20"/>
        </w:rPr>
        <w:t>OLDINGS, INC.</w:t>
      </w:r>
    </w:p>
    <w:p w:rsidR="00000000" w:rsidRDefault="005C524C">
      <w:pPr>
        <w:jc w:val="center"/>
        <w:divId w:val="68192984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81929845"/>
        <w:rPr>
          <w:rFonts w:eastAsia="Times New Roman"/>
        </w:rPr>
      </w:pPr>
    </w:p>
    <w:p w:rsidR="00000000" w:rsidRDefault="005C524C">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586"/>
        <w:gridCol w:w="39"/>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5C524C">
            <w:pPr>
              <w:jc w:val="center"/>
              <w:rPr>
                <w:rFonts w:eastAsia="Times New Roman"/>
              </w:rPr>
            </w:pPr>
          </w:p>
        </w:tc>
        <w:tc>
          <w:tcPr>
            <w:tcW w:w="23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divId w:val="1946427273"/>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divId w:val="1807307729"/>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divId w:val="122231778"/>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52,025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1295864154"/>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70544734"/>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at June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74,238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67,254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December 31, 2021: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342779017"/>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1700467769"/>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50,172 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52,511 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516306785"/>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13,056 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15,385 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divId w:val="1553076421"/>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divId w:val="1898123697"/>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1,124 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5,934 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at December 31,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73,429 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4" w:space="0" w:color="000000"/>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78,216 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270"/>
        <w:divId w:val="354772627"/>
        <w:rPr>
          <w:rFonts w:eastAsia="Times New Roman"/>
        </w:rPr>
      </w:pPr>
      <w:r>
        <w:rPr>
          <w:rFonts w:eastAsia="Times New Roman"/>
          <w:color w:val="000000"/>
          <w:sz w:val="18"/>
          <w:szCs w:val="18"/>
        </w:rPr>
        <w:t>___</w:t>
      </w:r>
      <w:r>
        <w:rPr>
          <w:rFonts w:eastAsia="Times New Roman"/>
          <w:color w:val="000000"/>
          <w:sz w:val="18"/>
          <w:szCs w:val="18"/>
        </w:rPr>
        <w:t>___________</w:t>
      </w:r>
    </w:p>
    <w:p w:rsidR="00000000" w:rsidRDefault="005C524C">
      <w:pPr>
        <w:ind w:hanging="270"/>
        <w:divId w:val="850489952"/>
        <w:rPr>
          <w:rFonts w:eastAsia="Times New Roman"/>
        </w:rPr>
      </w:pPr>
      <w:r>
        <w:rPr>
          <w:rFonts w:eastAsia="Times New Roman"/>
          <w:color w:val="000000"/>
          <w:sz w:val="18"/>
          <w:szCs w:val="18"/>
        </w:rPr>
        <w:t>(1)Corporate fixed maturities include both public and private issues.</w:t>
      </w:r>
    </w:p>
    <w:p w:rsidR="00000000" w:rsidRDefault="005C524C">
      <w:pPr>
        <w:ind w:hanging="270"/>
        <w:divId w:val="70277465"/>
        <w:rPr>
          <w:rFonts w:eastAsia="Times New Roman"/>
        </w:rPr>
      </w:pPr>
      <w:r>
        <w:rPr>
          <w:rFonts w:eastAsia="Times New Roman"/>
          <w:color w:val="000000"/>
          <w:sz w:val="18"/>
          <w:szCs w:val="18"/>
        </w:rPr>
        <w:t>(2)Includes publicly traded agency pass-through securities and collateralized obligations.</w:t>
      </w:r>
    </w:p>
    <w:p w:rsidR="00000000" w:rsidRDefault="005C524C">
      <w:pPr>
        <w:ind w:hanging="270"/>
        <w:divId w:val="1530796196"/>
        <w:rPr>
          <w:rFonts w:eastAsia="Times New Roman"/>
        </w:rPr>
      </w:pPr>
      <w:r>
        <w:rPr>
          <w:rFonts w:eastAsia="Times New Roman"/>
          <w:color w:val="000000"/>
          <w:sz w:val="18"/>
          <w:szCs w:val="18"/>
        </w:rPr>
        <w:t>(3)Includes credit-tranched securities collateralized by sub-prime mortgages, credi</w:t>
      </w:r>
      <w:r>
        <w:rPr>
          <w:rFonts w:eastAsia="Times New Roman"/>
          <w:color w:val="000000"/>
          <w:sz w:val="18"/>
          <w:szCs w:val="18"/>
        </w:rPr>
        <w:t>t risk transfer securities and other asset types.</w:t>
      </w:r>
    </w:p>
    <w:p w:rsidR="00000000" w:rsidRDefault="005C524C">
      <w:pPr>
        <w:divId w:val="1271471548"/>
        <w:rPr>
          <w:rFonts w:eastAsia="Times New Roman"/>
        </w:rPr>
      </w:pPr>
      <w:r>
        <w:rPr>
          <w:rFonts w:eastAsia="Times New Roman"/>
          <w:color w:val="000000"/>
          <w:sz w:val="20"/>
          <w:szCs w:val="20"/>
        </w:rPr>
        <w:t>The contractual maturities of AFS fixed maturities as of June 30, 2022 are shown in the table below. Bonds not due at a single maturity date have been included in the table in the final year of maturity. Ac</w:t>
      </w:r>
      <w:r>
        <w:rPr>
          <w:rFonts w:eastAsia="Times New Roman"/>
          <w:color w:val="000000"/>
          <w:sz w:val="20"/>
          <w:szCs w:val="20"/>
        </w:rPr>
        <w:t>tual maturities may differ from contractual maturities because borrowers may have the right to call or prepay obligations with or without call or prepayment penalties.</w:t>
      </w:r>
    </w:p>
    <w:p w:rsidR="00000000" w:rsidRDefault="005C524C">
      <w:pPr>
        <w:jc w:val="center"/>
        <w:divId w:val="1269577919"/>
        <w:rPr>
          <w:rFonts w:eastAsia="Times New Roman"/>
        </w:rPr>
      </w:pPr>
    </w:p>
    <w:p w:rsidR="00000000" w:rsidRDefault="005C524C">
      <w:pPr>
        <w:jc w:val="center"/>
        <w:divId w:val="1269577919"/>
        <w:rPr>
          <w:rFonts w:eastAsia="Times New Roman"/>
        </w:rPr>
      </w:pPr>
      <w:r>
        <w:rPr>
          <w:rFonts w:eastAsia="Times New Roman"/>
          <w:color w:val="000000"/>
          <w:sz w:val="20"/>
          <w:szCs w:val="20"/>
        </w:rPr>
        <w:t>16</w:t>
      </w:r>
    </w:p>
    <w:p w:rsidR="00000000" w:rsidRDefault="005C524C">
      <w:pPr>
        <w:rPr>
          <w:rFonts w:eastAsia="Times New Roman"/>
        </w:rPr>
      </w:pPr>
      <w:r>
        <w:rPr>
          <w:rFonts w:eastAsia="Times New Roman"/>
        </w:rPr>
        <w:pict>
          <v:rect id="_x0000_i1042" style="width:0;height:1.5pt" o:hralign="center" o:hrstd="t" o:hr="t" fillcolor="#a0a0a0" stroked="f"/>
        </w:pict>
      </w:r>
    </w:p>
    <w:p w:rsidR="00000000" w:rsidRDefault="005C524C">
      <w:pPr>
        <w:divId w:val="39860280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990551306"/>
        <w:rPr>
          <w:rFonts w:eastAsia="Times New Roman"/>
        </w:rPr>
      </w:pPr>
      <w:r>
        <w:rPr>
          <w:rFonts w:eastAsia="Times New Roman"/>
          <w:b/>
          <w:bCs/>
          <w:color w:val="000000"/>
          <w:sz w:val="20"/>
          <w:szCs w:val="20"/>
        </w:rPr>
        <w:t>EQUITABLE HOLDINGS, INC.</w:t>
      </w:r>
    </w:p>
    <w:p w:rsidR="00000000" w:rsidRDefault="005C524C">
      <w:pPr>
        <w:jc w:val="center"/>
        <w:divId w:val="199055130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990551306"/>
        <w:rPr>
          <w:rFonts w:eastAsia="Times New Roman"/>
        </w:rPr>
      </w:pPr>
    </w:p>
    <w:p w:rsidR="00000000" w:rsidRDefault="005C524C">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3"/>
        <w:gridCol w:w="39"/>
        <w:gridCol w:w="121"/>
        <w:gridCol w:w="994"/>
        <w:gridCol w:w="36"/>
        <w:gridCol w:w="36"/>
        <w:gridCol w:w="36"/>
        <w:gridCol w:w="36"/>
        <w:gridCol w:w="121"/>
        <w:gridCol w:w="958"/>
        <w:gridCol w:w="36"/>
      </w:tblGrid>
      <w:tr w:rsidR="00000000">
        <w:trPr>
          <w:divId w:val="2003655763"/>
          <w:jc w:val="center"/>
        </w:trPr>
        <w:tc>
          <w:tcPr>
            <w:tcW w:w="50" w:type="pct"/>
            <w:vAlign w:val="center"/>
            <w:hideMark/>
          </w:tcPr>
          <w:p w:rsidR="00000000" w:rsidRDefault="005C524C">
            <w:pPr>
              <w:jc w:val="center"/>
              <w:rPr>
                <w:rFonts w:eastAsia="Times New Roman"/>
              </w:rPr>
            </w:pPr>
          </w:p>
        </w:tc>
        <w:tc>
          <w:tcPr>
            <w:tcW w:w="354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003655763"/>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r>
      <w:tr w:rsidR="00000000">
        <w:trPr>
          <w:divId w:val="2003655763"/>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2003655763"/>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003655763"/>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00365576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18,470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16,969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26,715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22,523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61,201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55,027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03655763"/>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at June 30, 2022</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74,219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67,254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270"/>
        <w:divId w:val="128132684"/>
        <w:rPr>
          <w:rFonts w:eastAsia="Times New Roman"/>
        </w:rPr>
      </w:pPr>
    </w:p>
    <w:p w:rsidR="00000000" w:rsidRDefault="005C524C">
      <w:pPr>
        <w:divId w:val="1443307467"/>
        <w:rPr>
          <w:rFonts w:eastAsia="Times New Roman"/>
        </w:rPr>
      </w:pPr>
      <w:r>
        <w:rPr>
          <w:rFonts w:eastAsia="Times New Roman"/>
          <w:color w:val="000000"/>
          <w:sz w:val="20"/>
          <w:szCs w:val="20"/>
        </w:rPr>
        <w:t>The following table shows proceeds from sales, gross gains (losses) from sales and allowance for credit losses for AFS fixed maturities for the three and six months ended June 30, 2022 and 2021:</w:t>
      </w:r>
    </w:p>
    <w:p w:rsidR="00000000" w:rsidRDefault="005C524C">
      <w:pPr>
        <w:jc w:val="center"/>
        <w:rPr>
          <w:rFonts w:eastAsia="Times New Roman"/>
        </w:rPr>
      </w:pPr>
      <w:r>
        <w:rPr>
          <w:rFonts w:eastAsia="Times New Roman"/>
          <w:b/>
          <w:bCs/>
          <w:color w:val="000000"/>
          <w:sz w:val="20"/>
          <w:szCs w:val="20"/>
        </w:rPr>
        <w:t>Proceeds from Sales, Gross Gains (Losses) from Sales and Allo</w:t>
      </w:r>
      <w:r>
        <w:rPr>
          <w:rFonts w:eastAsia="Times New Roman"/>
          <w:b/>
          <w:bCs/>
          <w:color w:val="000000"/>
          <w:sz w:val="20"/>
          <w:szCs w:val="20"/>
        </w:rPr>
        <w:t>wance for Credit Losses for AFS Fixed Maturities</w:t>
      </w:r>
    </w:p>
    <w:p w:rsidR="00000000" w:rsidRDefault="005C524C">
      <w:pPr>
        <w:divId w:val="9534408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800"/>
        <w:gridCol w:w="37"/>
        <w:gridCol w:w="120"/>
        <w:gridCol w:w="883"/>
        <w:gridCol w:w="36"/>
        <w:gridCol w:w="36"/>
        <w:gridCol w:w="36"/>
        <w:gridCol w:w="36"/>
        <w:gridCol w:w="120"/>
        <w:gridCol w:w="883"/>
        <w:gridCol w:w="36"/>
        <w:gridCol w:w="36"/>
        <w:gridCol w:w="36"/>
        <w:gridCol w:w="36"/>
        <w:gridCol w:w="120"/>
        <w:gridCol w:w="857"/>
        <w:gridCol w:w="36"/>
        <w:gridCol w:w="36"/>
        <w:gridCol w:w="36"/>
        <w:gridCol w:w="36"/>
        <w:gridCol w:w="120"/>
        <w:gridCol w:w="860"/>
        <w:gridCol w:w="36"/>
      </w:tblGrid>
      <w:tr w:rsidR="00000000">
        <w:trPr>
          <w:divId w:val="509443123"/>
        </w:trPr>
        <w:tc>
          <w:tcPr>
            <w:tcW w:w="50" w:type="pct"/>
            <w:vAlign w:val="center"/>
            <w:hideMark/>
          </w:tcPr>
          <w:p w:rsidR="00000000" w:rsidRDefault="005C524C">
            <w:pPr>
              <w:rPr>
                <w:rFonts w:eastAsia="Times New Roman"/>
              </w:rPr>
            </w:pPr>
          </w:p>
        </w:tc>
        <w:tc>
          <w:tcPr>
            <w:tcW w:w="232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509443123"/>
        </w:trPr>
        <w:tc>
          <w:tcPr>
            <w:tcW w:w="0" w:type="auto"/>
            <w:gridSpan w:val="3"/>
            <w:tcMar>
              <w:top w:w="30" w:type="dxa"/>
              <w:left w:w="20" w:type="dxa"/>
              <w:bottom w:w="30" w:type="dxa"/>
              <w:right w:w="20" w:type="dxa"/>
            </w:tcMar>
            <w:vAlign w:val="bottom"/>
            <w:hideMark/>
          </w:tcPr>
          <w:p w:rsidR="00000000" w:rsidRDefault="005C524C">
            <w:pPr>
              <w:spacing w:after="100"/>
              <w:divId w:val="383220854"/>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509443123"/>
        </w:trPr>
        <w:tc>
          <w:tcPr>
            <w:tcW w:w="0" w:type="auto"/>
            <w:gridSpan w:val="3"/>
            <w:tcMar>
              <w:top w:w="30" w:type="dxa"/>
              <w:left w:w="20" w:type="dxa"/>
              <w:bottom w:w="30" w:type="dxa"/>
              <w:right w:w="20" w:type="dxa"/>
            </w:tcMar>
            <w:vAlign w:val="bottom"/>
            <w:hideMark/>
          </w:tcPr>
          <w:p w:rsidR="00000000" w:rsidRDefault="005C524C">
            <w:pPr>
              <w:spacing w:after="100"/>
              <w:divId w:val="1885603625"/>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509443123"/>
        </w:trPr>
        <w:tc>
          <w:tcPr>
            <w:tcW w:w="0" w:type="auto"/>
            <w:gridSpan w:val="3"/>
            <w:tcMar>
              <w:top w:w="30" w:type="dxa"/>
              <w:left w:w="20" w:type="dxa"/>
              <w:bottom w:w="30" w:type="dxa"/>
              <w:right w:w="20" w:type="dxa"/>
            </w:tcMar>
            <w:vAlign w:val="bottom"/>
            <w:hideMark/>
          </w:tcPr>
          <w:p w:rsidR="00000000" w:rsidRDefault="005C524C">
            <w:pPr>
              <w:spacing w:after="100"/>
              <w:divId w:val="886258855"/>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509443123"/>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Proceeds from sales</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3,344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9,866 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10,735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17,075 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50944312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50944312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(591)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509443123"/>
          <w:trHeight w:val="24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50944312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change in Allowance for Credit losses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1733111676"/>
        <w:rPr>
          <w:rFonts w:eastAsia="Times New Roman"/>
        </w:rPr>
      </w:pPr>
    </w:p>
    <w:p w:rsidR="00000000" w:rsidRDefault="005C524C">
      <w:pPr>
        <w:divId w:val="1324505090"/>
        <w:rPr>
          <w:rFonts w:eastAsia="Times New Roman"/>
        </w:rPr>
      </w:pPr>
      <w:r>
        <w:rPr>
          <w:rFonts w:eastAsia="Times New Roman"/>
          <w:color w:val="000000"/>
          <w:sz w:val="20"/>
          <w:szCs w:val="20"/>
        </w:rPr>
        <w:t>The following table sets forth the amount of credit loss impairments on AFS fixed maturities held by the Company a</w:t>
      </w:r>
      <w:r>
        <w:rPr>
          <w:rFonts w:eastAsia="Times New Roman"/>
          <w:color w:val="000000"/>
          <w:sz w:val="20"/>
          <w:szCs w:val="20"/>
        </w:rPr>
        <w:t>t the dates indicated and the corresponding changes in such amounts.</w:t>
      </w:r>
    </w:p>
    <w:p w:rsidR="00000000" w:rsidRDefault="005C524C">
      <w:pPr>
        <w:jc w:val="center"/>
        <w:divId w:val="1425029772"/>
        <w:rPr>
          <w:rFonts w:eastAsia="Times New Roman"/>
        </w:rPr>
      </w:pPr>
    </w:p>
    <w:p w:rsidR="00000000" w:rsidRDefault="005C524C">
      <w:pPr>
        <w:jc w:val="center"/>
        <w:divId w:val="1425029772"/>
        <w:rPr>
          <w:rFonts w:eastAsia="Times New Roman"/>
        </w:rPr>
      </w:pPr>
      <w:r>
        <w:rPr>
          <w:rFonts w:eastAsia="Times New Roman"/>
          <w:color w:val="000000"/>
          <w:sz w:val="20"/>
          <w:szCs w:val="20"/>
        </w:rPr>
        <w:t>17</w:t>
      </w:r>
    </w:p>
    <w:p w:rsidR="00000000" w:rsidRDefault="005C524C">
      <w:pPr>
        <w:rPr>
          <w:rFonts w:eastAsia="Times New Roman"/>
        </w:rPr>
      </w:pPr>
      <w:r>
        <w:rPr>
          <w:rFonts w:eastAsia="Times New Roman"/>
        </w:rPr>
        <w:pict>
          <v:rect id="_x0000_i1043" style="width:0;height:1.5pt" o:hralign="center" o:hrstd="t" o:hr="t" fillcolor="#a0a0a0" stroked="f"/>
        </w:pict>
      </w:r>
    </w:p>
    <w:p w:rsidR="00000000" w:rsidRDefault="005C524C">
      <w:pPr>
        <w:divId w:val="93574634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126503742"/>
        <w:rPr>
          <w:rFonts w:eastAsia="Times New Roman"/>
        </w:rPr>
      </w:pPr>
      <w:r>
        <w:rPr>
          <w:rFonts w:eastAsia="Times New Roman"/>
          <w:b/>
          <w:bCs/>
          <w:color w:val="000000"/>
          <w:sz w:val="20"/>
          <w:szCs w:val="20"/>
        </w:rPr>
        <w:t>EQUITABLE HOLDINGS, INC.</w:t>
      </w:r>
    </w:p>
    <w:p w:rsidR="00000000" w:rsidRDefault="005C524C">
      <w:pPr>
        <w:jc w:val="center"/>
        <w:divId w:val="112650374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126503742"/>
        <w:rPr>
          <w:rFonts w:eastAsia="Times New Roman"/>
        </w:rPr>
      </w:pPr>
    </w:p>
    <w:p w:rsidR="00000000" w:rsidRDefault="005C524C">
      <w:pPr>
        <w:jc w:val="center"/>
        <w:rPr>
          <w:rFonts w:eastAsia="Times New Roman"/>
        </w:rPr>
      </w:pPr>
      <w:r>
        <w:rPr>
          <w:rFonts w:eastAsia="Times New Roman"/>
          <w:b/>
          <w:bCs/>
          <w:color w:val="000000"/>
          <w:sz w:val="20"/>
          <w:szCs w:val="20"/>
        </w:rPr>
        <w:t>AFS Fixed Maturities - Credit Loss Impairments</w:t>
      </w:r>
    </w:p>
    <w:p w:rsidR="00000000" w:rsidRDefault="005C524C">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880"/>
        <w:gridCol w:w="37"/>
        <w:gridCol w:w="120"/>
        <w:gridCol w:w="871"/>
        <w:gridCol w:w="36"/>
        <w:gridCol w:w="36"/>
        <w:gridCol w:w="36"/>
        <w:gridCol w:w="36"/>
        <w:gridCol w:w="120"/>
        <w:gridCol w:w="846"/>
        <w:gridCol w:w="36"/>
        <w:gridCol w:w="36"/>
        <w:gridCol w:w="36"/>
        <w:gridCol w:w="36"/>
        <w:gridCol w:w="120"/>
        <w:gridCol w:w="814"/>
        <w:gridCol w:w="36"/>
        <w:gridCol w:w="36"/>
        <w:gridCol w:w="36"/>
        <w:gridCol w:w="36"/>
        <w:gridCol w:w="120"/>
        <w:gridCol w:w="872"/>
        <w:gridCol w:w="36"/>
      </w:tblGrid>
      <w:tr w:rsidR="00000000">
        <w:trPr>
          <w:divId w:val="1105147914"/>
        </w:trPr>
        <w:tc>
          <w:tcPr>
            <w:tcW w:w="50" w:type="pct"/>
            <w:vAlign w:val="center"/>
            <w:hideMark/>
          </w:tcPr>
          <w:p w:rsidR="00000000" w:rsidRDefault="005C524C">
            <w:pPr>
              <w:jc w:val="center"/>
              <w:rPr>
                <w:rFonts w:eastAsia="Times New Roman"/>
              </w:rPr>
            </w:pPr>
          </w:p>
        </w:tc>
        <w:tc>
          <w:tcPr>
            <w:tcW w:w="23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0514791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1105147914"/>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1105147914"/>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105147914"/>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beginning of period</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Recognized impairments on securities impaired to fair value this period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Additional credit losses this period on securities previously impaired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10514791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at June 30,</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540"/>
        <w:divId w:val="1646278123"/>
        <w:rPr>
          <w:rFonts w:eastAsia="Times New Roman"/>
        </w:rPr>
      </w:pPr>
      <w:r>
        <w:rPr>
          <w:rFonts w:eastAsia="Times New Roman"/>
          <w:color w:val="000000"/>
          <w:sz w:val="18"/>
          <w:szCs w:val="18"/>
        </w:rPr>
        <w:t>______________</w:t>
      </w:r>
    </w:p>
    <w:p w:rsidR="00000000" w:rsidRDefault="005C524C">
      <w:pPr>
        <w:ind w:hanging="270"/>
        <w:divId w:val="2126806442"/>
        <w:rPr>
          <w:rFonts w:eastAsia="Times New Roman"/>
        </w:rPr>
      </w:pPr>
      <w:r>
        <w:rPr>
          <w:rFonts w:eastAsia="Times New Roman"/>
          <w:color w:val="000000"/>
          <w:sz w:val="18"/>
          <w:szCs w:val="18"/>
        </w:rPr>
        <w:t xml:space="preserve">(1)Represents circumstances </w:t>
      </w:r>
      <w:r>
        <w:rPr>
          <w:rFonts w:eastAsia="Times New Roman"/>
          <w:color w:val="000000"/>
          <w:sz w:val="18"/>
          <w:szCs w:val="18"/>
        </w:rPr>
        <w:t>where the Company determined in the current period that it intends to sell the security, or it is more likely than not that it will be required to sell the security before recovery of the security’s amortized cost.</w:t>
      </w:r>
    </w:p>
    <w:p w:rsidR="00000000" w:rsidRDefault="005C524C">
      <w:pPr>
        <w:divId w:val="229120546"/>
        <w:rPr>
          <w:rFonts w:eastAsia="Times New Roman"/>
        </w:rPr>
      </w:pPr>
      <w:r>
        <w:rPr>
          <w:rFonts w:eastAsia="Times New Roman"/>
          <w:color w:val="000000"/>
          <w:sz w:val="20"/>
          <w:szCs w:val="20"/>
        </w:rPr>
        <w:t>The tables that follow below present a ro</w:t>
      </w:r>
      <w:r>
        <w:rPr>
          <w:rFonts w:eastAsia="Times New Roman"/>
          <w:color w:val="000000"/>
          <w:sz w:val="20"/>
          <w:szCs w:val="20"/>
        </w:rPr>
        <w:t>ll-forward of net unrealized investment gains (losses) recognized in AOCI.</w:t>
      </w:r>
    </w:p>
    <w:p w:rsidR="00000000" w:rsidRDefault="005C524C">
      <w:pPr>
        <w:jc w:val="center"/>
        <w:divId w:val="706686009"/>
        <w:rPr>
          <w:rFonts w:eastAsia="Times New Roman"/>
        </w:rPr>
      </w:pPr>
    </w:p>
    <w:p w:rsidR="00000000" w:rsidRDefault="005C524C">
      <w:pPr>
        <w:jc w:val="center"/>
        <w:divId w:val="706686009"/>
        <w:rPr>
          <w:rFonts w:eastAsia="Times New Roman"/>
        </w:rPr>
      </w:pPr>
      <w:r>
        <w:rPr>
          <w:rFonts w:eastAsia="Times New Roman"/>
          <w:color w:val="000000"/>
          <w:sz w:val="20"/>
          <w:szCs w:val="20"/>
        </w:rPr>
        <w:t>18</w:t>
      </w:r>
    </w:p>
    <w:p w:rsidR="00000000" w:rsidRDefault="005C524C">
      <w:pPr>
        <w:rPr>
          <w:rFonts w:eastAsia="Times New Roman"/>
        </w:rPr>
      </w:pPr>
      <w:r>
        <w:rPr>
          <w:rFonts w:eastAsia="Times New Roman"/>
        </w:rPr>
        <w:pict>
          <v:rect id="_x0000_i1044" style="width:0;height:1.5pt" o:hralign="center" o:hrstd="t" o:hr="t" fillcolor="#a0a0a0" stroked="f"/>
        </w:pict>
      </w:r>
    </w:p>
    <w:p w:rsidR="00000000" w:rsidRDefault="005C524C">
      <w:pPr>
        <w:divId w:val="196125417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13539647"/>
        <w:rPr>
          <w:rFonts w:eastAsia="Times New Roman"/>
        </w:rPr>
      </w:pPr>
      <w:r>
        <w:rPr>
          <w:rFonts w:eastAsia="Times New Roman"/>
          <w:b/>
          <w:bCs/>
          <w:color w:val="000000"/>
          <w:sz w:val="20"/>
          <w:szCs w:val="20"/>
        </w:rPr>
        <w:t>EQUITABLE HOLDINGS, INC.</w:t>
      </w:r>
    </w:p>
    <w:p w:rsidR="00000000" w:rsidRDefault="005C524C">
      <w:pPr>
        <w:jc w:val="center"/>
        <w:divId w:val="121353964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213539647"/>
        <w:rPr>
          <w:rFonts w:eastAsia="Times New Roman"/>
        </w:rPr>
      </w:pPr>
    </w:p>
    <w:p w:rsidR="00000000" w:rsidRDefault="005C524C">
      <w:pPr>
        <w:jc w:val="center"/>
        <w:divId w:val="23293642"/>
        <w:rPr>
          <w:rFonts w:eastAsia="Times New Roman"/>
        </w:rPr>
      </w:pPr>
      <w:r>
        <w:rPr>
          <w:rFonts w:eastAsia="Times New Roman"/>
          <w:b/>
          <w:bCs/>
          <w:color w:val="000000"/>
          <w:sz w:val="20"/>
          <w:szCs w:val="20"/>
        </w:rPr>
        <w:t>Net Unrealized Gains (Losses) on AFS Fixed Maturities</w:t>
      </w:r>
    </w:p>
    <w:p w:rsidR="00000000" w:rsidRDefault="005C524C">
      <w:pPr>
        <w:divId w:val="15978344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15"/>
        <w:gridCol w:w="38"/>
        <w:gridCol w:w="121"/>
        <w:gridCol w:w="785"/>
        <w:gridCol w:w="36"/>
        <w:gridCol w:w="36"/>
        <w:gridCol w:w="36"/>
        <w:gridCol w:w="36"/>
        <w:gridCol w:w="120"/>
        <w:gridCol w:w="599"/>
        <w:gridCol w:w="36"/>
        <w:gridCol w:w="36"/>
        <w:gridCol w:w="36"/>
        <w:gridCol w:w="36"/>
        <w:gridCol w:w="121"/>
        <w:gridCol w:w="918"/>
        <w:gridCol w:w="36"/>
        <w:gridCol w:w="36"/>
        <w:gridCol w:w="36"/>
        <w:gridCol w:w="36"/>
        <w:gridCol w:w="121"/>
        <w:gridCol w:w="661"/>
        <w:gridCol w:w="36"/>
        <w:gridCol w:w="36"/>
        <w:gridCol w:w="36"/>
        <w:gridCol w:w="36"/>
        <w:gridCol w:w="121"/>
        <w:gridCol w:w="935"/>
        <w:gridCol w:w="36"/>
      </w:tblGrid>
      <w:tr w:rsidR="00000000">
        <w:trPr>
          <w:divId w:val="658118098"/>
        </w:trPr>
        <w:tc>
          <w:tcPr>
            <w:tcW w:w="50" w:type="pct"/>
            <w:vAlign w:val="center"/>
            <w:hideMark/>
          </w:tcPr>
          <w:p w:rsidR="00000000" w:rsidRDefault="005C524C">
            <w:pPr>
              <w:rPr>
                <w:rFonts w:eastAsia="Times New Roman"/>
              </w:rPr>
            </w:pPr>
          </w:p>
        </w:tc>
        <w:tc>
          <w:tcPr>
            <w:tcW w:w="19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0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658118098"/>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65811809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April 1, 2022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(237)</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(975)</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(5,889)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(5,889)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(6,965)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1,180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Height w:val="30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April 1, 2021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(947)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5,361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(414)</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(794)</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2,988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58118098"/>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5811809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8041576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15"/>
        <w:gridCol w:w="38"/>
        <w:gridCol w:w="121"/>
        <w:gridCol w:w="785"/>
        <w:gridCol w:w="36"/>
        <w:gridCol w:w="36"/>
        <w:gridCol w:w="36"/>
        <w:gridCol w:w="36"/>
        <w:gridCol w:w="120"/>
        <w:gridCol w:w="599"/>
        <w:gridCol w:w="36"/>
        <w:gridCol w:w="36"/>
        <w:gridCol w:w="36"/>
        <w:gridCol w:w="36"/>
        <w:gridCol w:w="121"/>
        <w:gridCol w:w="918"/>
        <w:gridCol w:w="36"/>
        <w:gridCol w:w="36"/>
        <w:gridCol w:w="36"/>
        <w:gridCol w:w="36"/>
        <w:gridCol w:w="121"/>
        <w:gridCol w:w="661"/>
        <w:gridCol w:w="36"/>
        <w:gridCol w:w="36"/>
        <w:gridCol w:w="36"/>
        <w:gridCol w:w="36"/>
        <w:gridCol w:w="121"/>
        <w:gridCol w:w="935"/>
        <w:gridCol w:w="36"/>
      </w:tblGrid>
      <w:tr w:rsidR="00000000">
        <w:trPr>
          <w:divId w:val="1633752867"/>
        </w:trPr>
        <w:tc>
          <w:tcPr>
            <w:tcW w:w="50" w:type="pct"/>
            <w:vAlign w:val="center"/>
            <w:hideMark/>
          </w:tcPr>
          <w:p w:rsidR="00000000" w:rsidRDefault="005C524C">
            <w:pPr>
              <w:rPr>
                <w:rFonts w:eastAsia="Times New Roman"/>
              </w:rPr>
            </w:pPr>
          </w:p>
        </w:tc>
        <w:tc>
          <w:tcPr>
            <w:tcW w:w="19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0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633752867"/>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633752867"/>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63375286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January 1, 2022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(782)</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(418)</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(757)</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3375286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(12,314)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(12,314)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3375286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633752867"/>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33752867"/>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633752867"/>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33752867"/>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63375286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divId w:val="602614774"/>
        <w:rPr>
          <w:rFonts w:eastAsia="Times New Roman"/>
        </w:rPr>
      </w:pPr>
    </w:p>
    <w:p w:rsidR="00000000" w:rsidRDefault="005C524C">
      <w:pPr>
        <w:jc w:val="center"/>
        <w:divId w:val="602614774"/>
        <w:rPr>
          <w:rFonts w:eastAsia="Times New Roman"/>
        </w:rPr>
      </w:pPr>
      <w:r>
        <w:rPr>
          <w:rFonts w:eastAsia="Times New Roman"/>
          <w:color w:val="000000"/>
          <w:sz w:val="20"/>
          <w:szCs w:val="20"/>
        </w:rPr>
        <w:t>19</w:t>
      </w:r>
    </w:p>
    <w:p w:rsidR="00000000" w:rsidRDefault="005C524C">
      <w:pPr>
        <w:rPr>
          <w:rFonts w:eastAsia="Times New Roman"/>
        </w:rPr>
      </w:pPr>
      <w:r>
        <w:rPr>
          <w:rFonts w:eastAsia="Times New Roman"/>
        </w:rPr>
        <w:pict>
          <v:rect id="_x0000_i1045" style="width:0;height:1.5pt" o:hralign="center" o:hrstd="t" o:hr="t" fillcolor="#a0a0a0" stroked="f"/>
        </w:pict>
      </w:r>
    </w:p>
    <w:p w:rsidR="00000000" w:rsidRDefault="005C524C">
      <w:pPr>
        <w:divId w:val="68309191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394041621"/>
        <w:rPr>
          <w:rFonts w:eastAsia="Times New Roman"/>
        </w:rPr>
      </w:pPr>
      <w:r>
        <w:rPr>
          <w:rFonts w:eastAsia="Times New Roman"/>
          <w:b/>
          <w:bCs/>
          <w:color w:val="000000"/>
          <w:sz w:val="20"/>
          <w:szCs w:val="20"/>
        </w:rPr>
        <w:t>EQUITABLE HOLDINGS, INC.</w:t>
      </w:r>
    </w:p>
    <w:p w:rsidR="00000000" w:rsidRDefault="005C524C">
      <w:pPr>
        <w:jc w:val="center"/>
        <w:divId w:val="1394041621"/>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3940416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215"/>
        <w:gridCol w:w="37"/>
        <w:gridCol w:w="120"/>
        <w:gridCol w:w="828"/>
        <w:gridCol w:w="36"/>
        <w:gridCol w:w="36"/>
        <w:gridCol w:w="36"/>
        <w:gridCol w:w="36"/>
        <w:gridCol w:w="120"/>
        <w:gridCol w:w="722"/>
        <w:gridCol w:w="36"/>
        <w:gridCol w:w="36"/>
        <w:gridCol w:w="36"/>
        <w:gridCol w:w="36"/>
        <w:gridCol w:w="120"/>
        <w:gridCol w:w="747"/>
        <w:gridCol w:w="36"/>
        <w:gridCol w:w="36"/>
        <w:gridCol w:w="36"/>
        <w:gridCol w:w="36"/>
        <w:gridCol w:w="120"/>
        <w:gridCol w:w="722"/>
        <w:gridCol w:w="36"/>
        <w:gridCol w:w="36"/>
        <w:gridCol w:w="36"/>
        <w:gridCol w:w="36"/>
        <w:gridCol w:w="120"/>
        <w:gridCol w:w="785"/>
        <w:gridCol w:w="36"/>
      </w:tblGrid>
      <w:tr w:rsidR="00000000">
        <w:trPr>
          <w:divId w:val="899092315"/>
        </w:trPr>
        <w:tc>
          <w:tcPr>
            <w:tcW w:w="50" w:type="pct"/>
            <w:vAlign w:val="center"/>
            <w:hideMark/>
          </w:tcPr>
          <w:p w:rsidR="00000000" w:rsidRDefault="005C524C">
            <w:pPr>
              <w:jc w:val="center"/>
              <w:rPr>
                <w:rFonts w:eastAsia="Times New Roman"/>
              </w:rPr>
            </w:pPr>
          </w:p>
        </w:tc>
        <w:tc>
          <w:tcPr>
            <w:tcW w:w="19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0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(6,965)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1,180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Height w:val="30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4,896 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(2,836)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(2,836)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99092315"/>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9092315"/>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871958998"/>
        <w:rPr>
          <w:rFonts w:eastAsia="Times New Roman"/>
        </w:rPr>
      </w:pPr>
      <w:r>
        <w:rPr>
          <w:rFonts w:eastAsia="Times New Roman"/>
          <w:color w:val="000000"/>
          <w:sz w:val="18"/>
          <w:szCs w:val="18"/>
        </w:rPr>
        <w:t>______</w:t>
      </w:r>
      <w:r>
        <w:rPr>
          <w:rFonts w:eastAsia="Times New Roman"/>
          <w:color w:val="000000"/>
          <w:sz w:val="18"/>
          <w:szCs w:val="18"/>
        </w:rPr>
        <w:t>_______</w:t>
      </w:r>
    </w:p>
    <w:p w:rsidR="00000000" w:rsidRDefault="005C524C">
      <w:pPr>
        <w:ind w:hanging="360"/>
        <w:divId w:val="1930774370"/>
        <w:rPr>
          <w:rFonts w:eastAsia="Times New Roman"/>
        </w:rPr>
      </w:pPr>
      <w:r>
        <w:rPr>
          <w:rFonts w:eastAsia="Times New Roman"/>
          <w:color w:val="000000"/>
          <w:sz w:val="18"/>
          <w:szCs w:val="18"/>
        </w:rPr>
        <w:t>(1) Effective January 1, 2021, certain preferred stock have been reclassified to other equity investments.</w:t>
      </w:r>
    </w:p>
    <w:p w:rsidR="00000000" w:rsidRDefault="005C524C">
      <w:pPr>
        <w:ind w:hanging="360"/>
        <w:divId w:val="712923014"/>
        <w:rPr>
          <w:rFonts w:eastAsia="Times New Roman"/>
        </w:rPr>
      </w:pPr>
    </w:p>
    <w:p w:rsidR="00000000" w:rsidRDefault="005C524C">
      <w:pPr>
        <w:divId w:val="1457484539"/>
        <w:rPr>
          <w:rFonts w:eastAsia="Times New Roman"/>
        </w:rPr>
      </w:pPr>
      <w:r>
        <w:rPr>
          <w:rFonts w:eastAsia="Times New Roman"/>
          <w:color w:val="000000"/>
          <w:sz w:val="20"/>
          <w:szCs w:val="20"/>
        </w:rPr>
        <w:t>The following tables disclose the fair values and gross unrealized losses of the 4,942 issues as of June 30, 2022 and the 2,060 issues as of December 31, 2021 that are not deemed to have credit losses, aggregated by investment category and length of time t</w:t>
      </w:r>
      <w:r>
        <w:rPr>
          <w:rFonts w:eastAsia="Times New Roman"/>
          <w:color w:val="000000"/>
          <w:sz w:val="20"/>
          <w:szCs w:val="20"/>
        </w:rPr>
        <w:t xml:space="preserve">hat individual securities have been in a continuous unrealized loss position for the specified periods at the dates indicated. </w:t>
      </w:r>
    </w:p>
    <w:p w:rsidR="00000000" w:rsidRDefault="005C524C">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1"/>
        <w:gridCol w:w="2867"/>
        <w:gridCol w:w="40"/>
        <w:gridCol w:w="120"/>
        <w:gridCol w:w="600"/>
        <w:gridCol w:w="36"/>
        <w:gridCol w:w="36"/>
        <w:gridCol w:w="36"/>
        <w:gridCol w:w="36"/>
        <w:gridCol w:w="121"/>
        <w:gridCol w:w="698"/>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362681863"/>
        </w:trPr>
        <w:tc>
          <w:tcPr>
            <w:tcW w:w="50" w:type="pct"/>
            <w:vAlign w:val="center"/>
            <w:hideMark/>
          </w:tcPr>
          <w:p w:rsidR="00000000" w:rsidRDefault="005C524C">
            <w:pPr>
              <w:jc w:val="center"/>
              <w:rPr>
                <w:rFonts w:eastAsia="Times New Roman"/>
              </w:rPr>
            </w:pPr>
          </w:p>
        </w:tc>
        <w:tc>
          <w:tcPr>
            <w:tcW w:w="182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362681863"/>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Losses</w:t>
            </w:r>
          </w:p>
        </w:tc>
      </w:tr>
      <w:tr w:rsidR="00000000">
        <w:trPr>
          <w:divId w:val="362681863"/>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362681863"/>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38,094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40,977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at June 30,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55,467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58,920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Height w:val="22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December 31, 2021: </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12,204 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3,865 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3,903 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1,623 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62681863"/>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6268186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at December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453905874"/>
        <w:rPr>
          <w:rFonts w:eastAsia="Times New Roman"/>
        </w:rPr>
      </w:pPr>
    </w:p>
    <w:p w:rsidR="00000000" w:rsidRDefault="005C524C">
      <w:pPr>
        <w:jc w:val="center"/>
        <w:divId w:val="1115061228"/>
        <w:rPr>
          <w:rFonts w:eastAsia="Times New Roman"/>
        </w:rPr>
      </w:pPr>
    </w:p>
    <w:p w:rsidR="00000000" w:rsidRDefault="005C524C">
      <w:pPr>
        <w:jc w:val="center"/>
        <w:divId w:val="1115061228"/>
        <w:rPr>
          <w:rFonts w:eastAsia="Times New Roman"/>
        </w:rPr>
      </w:pPr>
      <w:r>
        <w:rPr>
          <w:rFonts w:eastAsia="Times New Roman"/>
          <w:color w:val="000000"/>
          <w:sz w:val="20"/>
          <w:szCs w:val="20"/>
        </w:rPr>
        <w:t>20</w:t>
      </w:r>
    </w:p>
    <w:p w:rsidR="00000000" w:rsidRDefault="005C524C">
      <w:pPr>
        <w:rPr>
          <w:rFonts w:eastAsia="Times New Roman"/>
        </w:rPr>
      </w:pPr>
      <w:r>
        <w:rPr>
          <w:rFonts w:eastAsia="Times New Roman"/>
        </w:rPr>
        <w:pict>
          <v:rect id="_x0000_i1046" style="width:0;height:1.5pt" o:hralign="center" o:hrstd="t" o:hr="t" fillcolor="#a0a0a0" stroked="f"/>
        </w:pict>
      </w:r>
    </w:p>
    <w:p w:rsidR="00000000" w:rsidRDefault="005C524C">
      <w:pPr>
        <w:divId w:val="127351284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344476484"/>
        <w:rPr>
          <w:rFonts w:eastAsia="Times New Roman"/>
        </w:rPr>
      </w:pPr>
      <w:r>
        <w:rPr>
          <w:rFonts w:eastAsia="Times New Roman"/>
          <w:b/>
          <w:bCs/>
          <w:color w:val="000000"/>
          <w:sz w:val="20"/>
          <w:szCs w:val="20"/>
        </w:rPr>
        <w:t>EQUITABLE HOLDINGS, INC.</w:t>
      </w:r>
    </w:p>
    <w:p w:rsidR="00000000" w:rsidRDefault="005C524C">
      <w:pPr>
        <w:jc w:val="center"/>
        <w:divId w:val="344476484"/>
        <w:rPr>
          <w:rFonts w:eastAsia="Times New Roman"/>
        </w:rPr>
      </w:pPr>
      <w:r>
        <w:rPr>
          <w:rFonts w:eastAsia="Times New Roman"/>
          <w:b/>
          <w:bCs/>
          <w:color w:val="000000"/>
          <w:sz w:val="20"/>
          <w:szCs w:val="20"/>
        </w:rPr>
        <w:t>Note</w:t>
      </w:r>
      <w:r>
        <w:rPr>
          <w:rFonts w:eastAsia="Times New Roman"/>
          <w:b/>
          <w:bCs/>
          <w:color w:val="000000"/>
          <w:sz w:val="20"/>
          <w:szCs w:val="20"/>
        </w:rPr>
        <w:t>s to Consolidated Financial Statements (Unaudited), Continued</w:t>
      </w:r>
    </w:p>
    <w:p w:rsidR="00000000" w:rsidRDefault="005C524C">
      <w:pPr>
        <w:jc w:val="center"/>
        <w:divId w:val="344476484"/>
        <w:rPr>
          <w:rFonts w:eastAsia="Times New Roman"/>
        </w:rPr>
      </w:pPr>
    </w:p>
    <w:p w:rsidR="00000000" w:rsidRDefault="005C524C">
      <w:pPr>
        <w:ind w:firstLine="90"/>
        <w:divId w:val="2099787805"/>
        <w:rPr>
          <w:rFonts w:eastAsia="Times New Roman"/>
        </w:rPr>
      </w:pPr>
    </w:p>
    <w:p w:rsidR="00000000" w:rsidRDefault="005C524C">
      <w:pPr>
        <w:divId w:val="1280379898"/>
        <w:rPr>
          <w:rFonts w:eastAsia="Times New Roman"/>
        </w:rPr>
      </w:pPr>
      <w:r>
        <w:rPr>
          <w:rFonts w:eastAsia="Times New Roman"/>
          <w:color w:val="000000"/>
          <w:sz w:val="20"/>
          <w:szCs w:val="20"/>
        </w:rPr>
        <w:t>The Company’s investments in fixed maturities do not include concentrations of credit risk of any single issuer greater than 10% of the consolidated equity of the Company, other than securit</w:t>
      </w:r>
      <w:r>
        <w:rPr>
          <w:rFonts w:eastAsia="Times New Roman"/>
          <w:color w:val="000000"/>
          <w:sz w:val="20"/>
          <w:szCs w:val="20"/>
        </w:rPr>
        <w:t>ies of the U.S. government, U.S. government agencies, and certain securities guaranteed by the U.S. government. The Company maintains a diversified portfolio of corporate securities across industries and issuers and does not have exposure to any single iss</w:t>
      </w:r>
      <w:r>
        <w:rPr>
          <w:rFonts w:eastAsia="Times New Roman"/>
          <w:color w:val="000000"/>
          <w:sz w:val="20"/>
          <w:szCs w:val="20"/>
        </w:rPr>
        <w:t>uer in excess of 0.5% of total corporate securities. The largest exposures to a single issuer of corporate securities held as of June 30, 2022 and December 31, 2021 were $239 million and $322 million, respectively, representing 3.4% and 2.5% of the consoli</w:t>
      </w:r>
      <w:r>
        <w:rPr>
          <w:rFonts w:eastAsia="Times New Roman"/>
          <w:color w:val="000000"/>
          <w:sz w:val="20"/>
          <w:szCs w:val="20"/>
        </w:rPr>
        <w:t>dated equity of the Company.</w:t>
      </w:r>
    </w:p>
    <w:p w:rsidR="00000000" w:rsidRDefault="005C524C">
      <w:pPr>
        <w:divId w:val="202407695"/>
        <w:rPr>
          <w:rFonts w:eastAsia="Times New Roman"/>
        </w:rPr>
      </w:pPr>
      <w:r>
        <w:rPr>
          <w:rFonts w:eastAsia="Times New Roman"/>
          <w:color w:val="000000"/>
          <w:sz w:val="20"/>
          <w:szCs w:val="20"/>
        </w:rPr>
        <w:t>Corporate high yield securities, consisting primarily of public high yield bonds, are classified as other than investment grade by the various rating agencies, i.e., a rating below Baa3/BBB- or the NAIC designation of 3 (medium</w:t>
      </w:r>
      <w:r>
        <w:rPr>
          <w:rFonts w:eastAsia="Times New Roman"/>
          <w:color w:val="000000"/>
          <w:sz w:val="20"/>
          <w:szCs w:val="20"/>
        </w:rPr>
        <w:t xml:space="preserve"> investment grade), 4 or 5 (below investment grade) or 6 (in or near default). As of June 30, 2022 and December 31, 2021, respectively, approximately $2.9 billion and $2.9 billion, or 3.9% and 3.9%, of the $74.2 billion and $73.4 billion aggregate amortize</w:t>
      </w:r>
      <w:r>
        <w:rPr>
          <w:rFonts w:eastAsia="Times New Roman"/>
          <w:color w:val="000000"/>
          <w:sz w:val="20"/>
          <w:szCs w:val="20"/>
        </w:rPr>
        <w:t>d cost of fixed maturities held by the Company were considered to be other than investment grade. These securities had gross unrealized losses of $208 million and $18 million as of June 30, 2022 and December 31, 2021, respectively.</w:t>
      </w:r>
    </w:p>
    <w:p w:rsidR="00000000" w:rsidRDefault="005C524C">
      <w:pPr>
        <w:divId w:val="456529488"/>
        <w:rPr>
          <w:rFonts w:eastAsia="Times New Roman"/>
        </w:rPr>
      </w:pPr>
      <w:r>
        <w:rPr>
          <w:rFonts w:eastAsia="Times New Roman"/>
          <w:color w:val="000000"/>
          <w:sz w:val="20"/>
          <w:szCs w:val="20"/>
        </w:rPr>
        <w:t xml:space="preserve">As of June 30, 2022 and </w:t>
      </w:r>
      <w:r>
        <w:rPr>
          <w:rFonts w:eastAsia="Times New Roman"/>
          <w:color w:val="000000"/>
          <w:sz w:val="20"/>
          <w:szCs w:val="20"/>
        </w:rPr>
        <w:t xml:space="preserve">December 31, 2021, respectively, the $569 million and $91 million of gross unrealized losses of twelve months or more were primarily concentrated in corporate securities. In accordance with the policy described in Note 2 of the Notes to these Consolidated </w:t>
      </w:r>
      <w:r>
        <w:rPr>
          <w:rFonts w:eastAsia="Times New Roman"/>
          <w:color w:val="000000"/>
          <w:sz w:val="20"/>
          <w:szCs w:val="20"/>
        </w:rPr>
        <w:t>Financial Statements, the Company concluded that an adjustment to allowance for credit losses for these securities was not warranted at either June 30, 2022 or December 31, 2021. As of June 30, 2022 and December 31, 2021, the Company did not intend to sell</w:t>
      </w:r>
      <w:r>
        <w:rPr>
          <w:rFonts w:eastAsia="Times New Roman"/>
          <w:color w:val="000000"/>
          <w:sz w:val="20"/>
          <w:szCs w:val="20"/>
        </w:rPr>
        <w:t xml:space="preserve"> the securities nor will it likely be required to dispose of the securities before the anticipated recovery of their remaining amortized cost basis.</w:t>
      </w:r>
    </w:p>
    <w:p w:rsidR="00000000" w:rsidRDefault="005C524C">
      <w:pPr>
        <w:divId w:val="58215670"/>
        <w:rPr>
          <w:rFonts w:eastAsia="Times New Roman"/>
        </w:rPr>
      </w:pPr>
      <w:r>
        <w:rPr>
          <w:rFonts w:eastAsia="Times New Roman"/>
          <w:color w:val="000000"/>
          <w:sz w:val="20"/>
          <w:szCs w:val="20"/>
        </w:rPr>
        <w:t>Based on the Company’s evaluation both qualitatively and quantitatively of the drivers of the decline in fa</w:t>
      </w:r>
      <w:r>
        <w:rPr>
          <w:rFonts w:eastAsia="Times New Roman"/>
          <w:color w:val="000000"/>
          <w:sz w:val="20"/>
          <w:szCs w:val="20"/>
        </w:rPr>
        <w:t>ir value of fixed maturity securities as of June 30, 2022, the Company determined that the unrealized loss was primarily due to increases in interest rates, credit spreads and changes in credit ratings.</w:t>
      </w:r>
    </w:p>
    <w:p w:rsidR="00000000" w:rsidRDefault="005C524C">
      <w:pPr>
        <w:divId w:val="506332955"/>
        <w:rPr>
          <w:rFonts w:eastAsia="Times New Roman"/>
        </w:rPr>
      </w:pPr>
      <w:r>
        <w:rPr>
          <w:rFonts w:eastAsia="Times New Roman"/>
          <w:color w:val="000000"/>
          <w:sz w:val="20"/>
          <w:szCs w:val="20"/>
          <w:u w:val="single"/>
        </w:rPr>
        <w:t>Mortgage Loans on Real Estate</w:t>
      </w:r>
    </w:p>
    <w:p w:rsidR="00000000" w:rsidRDefault="005C524C">
      <w:pPr>
        <w:divId w:val="498892112"/>
        <w:rPr>
          <w:rFonts w:eastAsia="Times New Roman"/>
        </w:rPr>
      </w:pPr>
      <w:r>
        <w:rPr>
          <w:rFonts w:eastAsia="Times New Roman"/>
          <w:color w:val="000000"/>
          <w:sz w:val="20"/>
          <w:szCs w:val="20"/>
        </w:rPr>
        <w:t>Accrued interest receiv</w:t>
      </w:r>
      <w:r>
        <w:rPr>
          <w:rFonts w:eastAsia="Times New Roman"/>
          <w:color w:val="000000"/>
          <w:sz w:val="20"/>
          <w:szCs w:val="20"/>
        </w:rPr>
        <w:t>able on commercial and agricultural mortgage loans as of June 30, 2022 and December 31, 2021 was $58 million and $57 million, respectively. There was no accrued interest written off for commercial and agricultural mortgage loans for the six months ended Ju</w:t>
      </w:r>
      <w:r>
        <w:rPr>
          <w:rFonts w:eastAsia="Times New Roman"/>
          <w:color w:val="000000"/>
          <w:sz w:val="20"/>
          <w:szCs w:val="20"/>
        </w:rPr>
        <w:t>ne 30, 2022 and 2021.</w:t>
      </w:r>
    </w:p>
    <w:p w:rsidR="00000000" w:rsidRDefault="005C524C">
      <w:pPr>
        <w:divId w:val="207035027"/>
        <w:rPr>
          <w:rFonts w:eastAsia="Times New Roman"/>
        </w:rPr>
      </w:pPr>
      <w:r>
        <w:rPr>
          <w:rFonts w:eastAsia="Times New Roman"/>
          <w:color w:val="000000"/>
          <w:sz w:val="20"/>
          <w:szCs w:val="20"/>
        </w:rPr>
        <w:t>As of June 30, 2022, the Company had no loans for which foreclosure was probable included within the individually assessed mortgage loans, and accordingly had no associated allowance for credit losses.</w:t>
      </w:r>
    </w:p>
    <w:p w:rsidR="00000000" w:rsidRDefault="005C524C">
      <w:pPr>
        <w:divId w:val="382946286"/>
        <w:rPr>
          <w:rFonts w:eastAsia="Times New Roman"/>
        </w:rPr>
      </w:pPr>
      <w:r>
        <w:rPr>
          <w:rFonts w:eastAsia="Times New Roman"/>
          <w:color w:val="000000"/>
          <w:sz w:val="20"/>
          <w:szCs w:val="20"/>
          <w:u w:val="single"/>
        </w:rPr>
        <w:t>Allowance for Credit Losses on Mortgage Loans</w:t>
      </w:r>
    </w:p>
    <w:p w:rsidR="00000000" w:rsidRDefault="005C524C">
      <w:pPr>
        <w:divId w:val="1997032622"/>
        <w:rPr>
          <w:rFonts w:eastAsia="Times New Roman"/>
        </w:rPr>
      </w:pPr>
      <w:r>
        <w:rPr>
          <w:rFonts w:eastAsia="Times New Roman"/>
          <w:color w:val="000000"/>
          <w:sz w:val="20"/>
          <w:szCs w:val="20"/>
        </w:rPr>
        <w:t>The change in the allowance for credit losses for commercial mortgage loans and agricultural mortgage loans during the six months ended June 30, 2022 and 2021 were as follows:</w:t>
      </w:r>
    </w:p>
    <w:tbl>
      <w:tblPr>
        <w:tblW w:w="4970" w:type="pct"/>
        <w:tblCellMar>
          <w:top w:w="15" w:type="dxa"/>
          <w:left w:w="15" w:type="dxa"/>
          <w:bottom w:w="15" w:type="dxa"/>
          <w:right w:w="15" w:type="dxa"/>
        </w:tblCellMar>
        <w:tblLook w:val="04A0" w:firstRow="1" w:lastRow="0" w:firstColumn="1" w:lastColumn="0" w:noHBand="0" w:noVBand="1"/>
      </w:tblPr>
      <w:tblGrid>
        <w:gridCol w:w="38"/>
        <w:gridCol w:w="3812"/>
        <w:gridCol w:w="37"/>
        <w:gridCol w:w="120"/>
        <w:gridCol w:w="801"/>
        <w:gridCol w:w="36"/>
        <w:gridCol w:w="36"/>
        <w:gridCol w:w="36"/>
        <w:gridCol w:w="36"/>
        <w:gridCol w:w="120"/>
        <w:gridCol w:w="778"/>
        <w:gridCol w:w="36"/>
        <w:gridCol w:w="36"/>
        <w:gridCol w:w="36"/>
        <w:gridCol w:w="36"/>
        <w:gridCol w:w="120"/>
        <w:gridCol w:w="933"/>
        <w:gridCol w:w="36"/>
        <w:gridCol w:w="36"/>
        <w:gridCol w:w="36"/>
        <w:gridCol w:w="36"/>
        <w:gridCol w:w="120"/>
        <w:gridCol w:w="801"/>
        <w:gridCol w:w="36"/>
        <w:gridCol w:w="36"/>
        <w:gridCol w:w="36"/>
        <w:gridCol w:w="36"/>
      </w:tblGrid>
      <w:tr w:rsidR="00000000">
        <w:trPr>
          <w:divId w:val="835266890"/>
        </w:trPr>
        <w:tc>
          <w:tcPr>
            <w:tcW w:w="50" w:type="pct"/>
            <w:vAlign w:val="center"/>
            <w:hideMark/>
          </w:tcPr>
          <w:p w:rsidR="00000000" w:rsidRDefault="005C524C">
            <w:pPr>
              <w:rPr>
                <w:rFonts w:eastAsia="Times New Roman"/>
              </w:rPr>
            </w:pPr>
          </w:p>
        </w:tc>
        <w:tc>
          <w:tcPr>
            <w:tcW w:w="24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3526689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rsidR="00000000" w:rsidRDefault="005C524C">
            <w:pPr>
              <w:spacing w:after="100"/>
              <w:jc w:val="center"/>
              <w:rPr>
                <w:rFonts w:eastAsia="Times New Roman"/>
              </w:rPr>
            </w:pPr>
          </w:p>
        </w:tc>
      </w:tr>
      <w:tr w:rsidR="00000000">
        <w:trPr>
          <w:divId w:val="83526689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r>
      <w:tr w:rsidR="00000000">
        <w:trPr>
          <w:divId w:val="83526689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83526689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Allowance for credit losses on 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3526689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Commercial mortgages: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3526689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 xml:space="preserve">Balance, beginning of period </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Recoveries of amounts previously written off</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835266890"/>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115102681"/>
        <w:rPr>
          <w:rFonts w:eastAsia="Times New Roman"/>
        </w:rPr>
      </w:pPr>
    </w:p>
    <w:p w:rsidR="00000000" w:rsidRDefault="005C524C">
      <w:pPr>
        <w:jc w:val="center"/>
        <w:divId w:val="115102681"/>
        <w:rPr>
          <w:rFonts w:eastAsia="Times New Roman"/>
        </w:rPr>
      </w:pPr>
      <w:r>
        <w:rPr>
          <w:rFonts w:eastAsia="Times New Roman"/>
          <w:color w:val="000000"/>
          <w:sz w:val="20"/>
          <w:szCs w:val="20"/>
        </w:rPr>
        <w:t>21</w:t>
      </w:r>
    </w:p>
    <w:p w:rsidR="00000000" w:rsidRDefault="005C524C">
      <w:pPr>
        <w:rPr>
          <w:rFonts w:eastAsia="Times New Roman"/>
        </w:rPr>
      </w:pPr>
      <w:r>
        <w:rPr>
          <w:rFonts w:eastAsia="Times New Roman"/>
        </w:rPr>
        <w:pict>
          <v:rect id="_x0000_i1047" style="width:0;height:1.5pt" o:hralign="center" o:hrstd="t" o:hr="t" fillcolor="#a0a0a0" stroked="f"/>
        </w:pict>
      </w:r>
    </w:p>
    <w:p w:rsidR="00000000" w:rsidRDefault="005C524C">
      <w:pPr>
        <w:divId w:val="177590394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910040270"/>
        <w:rPr>
          <w:rFonts w:eastAsia="Times New Roman"/>
        </w:rPr>
      </w:pPr>
      <w:r>
        <w:rPr>
          <w:rFonts w:eastAsia="Times New Roman"/>
          <w:b/>
          <w:bCs/>
          <w:color w:val="000000"/>
          <w:sz w:val="20"/>
          <w:szCs w:val="20"/>
        </w:rPr>
        <w:t>EQUITABLE HOLDINGS, INC.</w:t>
      </w:r>
    </w:p>
    <w:p w:rsidR="00000000" w:rsidRDefault="005C524C">
      <w:pPr>
        <w:jc w:val="center"/>
        <w:divId w:val="910040270"/>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910040270"/>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37"/>
        <w:gridCol w:w="3814"/>
        <w:gridCol w:w="36"/>
        <w:gridCol w:w="120"/>
        <w:gridCol w:w="801"/>
        <w:gridCol w:w="36"/>
        <w:gridCol w:w="36"/>
        <w:gridCol w:w="36"/>
        <w:gridCol w:w="36"/>
        <w:gridCol w:w="120"/>
        <w:gridCol w:w="778"/>
        <w:gridCol w:w="36"/>
        <w:gridCol w:w="36"/>
        <w:gridCol w:w="36"/>
        <w:gridCol w:w="36"/>
        <w:gridCol w:w="120"/>
        <w:gridCol w:w="933"/>
        <w:gridCol w:w="36"/>
        <w:gridCol w:w="36"/>
        <w:gridCol w:w="36"/>
        <w:gridCol w:w="36"/>
        <w:gridCol w:w="120"/>
        <w:gridCol w:w="801"/>
        <w:gridCol w:w="36"/>
        <w:gridCol w:w="36"/>
        <w:gridCol w:w="36"/>
        <w:gridCol w:w="36"/>
      </w:tblGrid>
      <w:tr w:rsidR="00000000">
        <w:trPr>
          <w:divId w:val="2144888331"/>
        </w:trPr>
        <w:tc>
          <w:tcPr>
            <w:tcW w:w="50" w:type="pct"/>
            <w:vAlign w:val="center"/>
            <w:hideMark/>
          </w:tcPr>
          <w:p w:rsidR="00000000" w:rsidRDefault="005C524C">
            <w:pPr>
              <w:jc w:val="center"/>
              <w:rPr>
                <w:rFonts w:eastAsia="Times New Roman"/>
              </w:rPr>
            </w:pPr>
          </w:p>
        </w:tc>
        <w:tc>
          <w:tcPr>
            <w:tcW w:w="24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448883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rsidR="00000000" w:rsidRDefault="005C524C">
            <w:pPr>
              <w:spacing w:after="100"/>
              <w:jc w:val="center"/>
              <w:rPr>
                <w:rFonts w:eastAsia="Times New Roman"/>
              </w:rPr>
            </w:pPr>
          </w:p>
        </w:tc>
      </w:tr>
      <w:tr w:rsidR="00000000">
        <w:trPr>
          <w:divId w:val="21448883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r>
      <w:tr w:rsidR="00000000">
        <w:trPr>
          <w:divId w:val="21448883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14488833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 xml:space="preserve">Agricultural mortgages: </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4488833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r w:rsidR="00000000">
        <w:trPr>
          <w:divId w:val="2144888331"/>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4488833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allowance for credit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r>
    </w:tbl>
    <w:p w:rsidR="00000000" w:rsidRDefault="005C524C">
      <w:pPr>
        <w:ind w:hanging="360"/>
        <w:divId w:val="1754889450"/>
        <w:rPr>
          <w:rFonts w:eastAsia="Times New Roman"/>
        </w:rPr>
      </w:pPr>
    </w:p>
    <w:p w:rsidR="00000000" w:rsidRDefault="005C524C">
      <w:pPr>
        <w:divId w:val="1188373014"/>
        <w:rPr>
          <w:rFonts w:eastAsia="Times New Roman"/>
        </w:rPr>
      </w:pPr>
      <w:r>
        <w:rPr>
          <w:rFonts w:eastAsia="Times New Roman"/>
          <w:color w:val="000000"/>
          <w:sz w:val="20"/>
          <w:szCs w:val="20"/>
        </w:rPr>
        <w:t>The change in the allowance for credit losses is attributable to:</w:t>
      </w:r>
    </w:p>
    <w:p w:rsidR="00000000" w:rsidRDefault="005C524C">
      <w:pPr>
        <w:ind w:hanging="360"/>
        <w:jc w:val="both"/>
        <w:divId w:val="1152211273"/>
        <w:rPr>
          <w:rFonts w:eastAsia="Times New Roman"/>
        </w:rPr>
      </w:pPr>
      <w:r>
        <w:rPr>
          <w:rFonts w:eastAsia="Times New Roman"/>
          <w:color w:val="000000"/>
          <w:sz w:val="20"/>
          <w:szCs w:val="20"/>
        </w:rPr>
        <w:t>•</w:t>
      </w:r>
      <w:r>
        <w:rPr>
          <w:rFonts w:eastAsia="Times New Roman"/>
          <w:color w:val="000000"/>
          <w:sz w:val="20"/>
          <w:szCs w:val="20"/>
        </w:rPr>
        <w:t>increases/decreases in the loan balance due to new originations, maturing mortgages, and loan amortization; and</w:t>
      </w:r>
    </w:p>
    <w:p w:rsidR="00000000" w:rsidRDefault="005C524C">
      <w:pPr>
        <w:ind w:hanging="360"/>
        <w:divId w:val="1935478627"/>
        <w:rPr>
          <w:rFonts w:eastAsia="Times New Roman"/>
        </w:rPr>
      </w:pPr>
      <w:r>
        <w:rPr>
          <w:rFonts w:eastAsia="Times New Roman"/>
          <w:color w:val="000000"/>
          <w:sz w:val="20"/>
          <w:szCs w:val="20"/>
        </w:rPr>
        <w:t>•changes in credit quality.</w:t>
      </w:r>
    </w:p>
    <w:p w:rsidR="00000000" w:rsidRDefault="005C524C">
      <w:pPr>
        <w:divId w:val="1166476024"/>
        <w:rPr>
          <w:rFonts w:eastAsia="Times New Roman"/>
        </w:rPr>
      </w:pPr>
      <w:r>
        <w:rPr>
          <w:rFonts w:eastAsia="Times New Roman"/>
          <w:color w:val="000000"/>
          <w:sz w:val="20"/>
          <w:szCs w:val="20"/>
          <w:u w:val="single"/>
        </w:rPr>
        <w:t>Credit Quality Information</w:t>
      </w:r>
    </w:p>
    <w:p w:rsidR="00000000" w:rsidRDefault="005C524C">
      <w:pPr>
        <w:divId w:val="1812746063"/>
        <w:rPr>
          <w:rFonts w:eastAsia="Times New Roman"/>
        </w:rPr>
      </w:pPr>
      <w:r>
        <w:rPr>
          <w:rFonts w:eastAsia="Times New Roman"/>
          <w:color w:val="000000"/>
          <w:sz w:val="20"/>
          <w:szCs w:val="20"/>
        </w:rPr>
        <w:t>The following tables summarize the Company’s mortgage loans segregated by risk rating exp</w:t>
      </w:r>
      <w:r>
        <w:rPr>
          <w:rFonts w:eastAsia="Times New Roman"/>
          <w:color w:val="000000"/>
          <w:sz w:val="20"/>
          <w:szCs w:val="20"/>
        </w:rPr>
        <w:t>osure as of June 30, 2022 and December 31, 2021.</w:t>
      </w:r>
    </w:p>
    <w:p w:rsidR="00000000" w:rsidRDefault="005C524C">
      <w:pPr>
        <w:divId w:val="956913301"/>
        <w:rPr>
          <w:rFonts w:eastAsia="Times New Roman"/>
        </w:rPr>
      </w:pPr>
    </w:p>
    <w:p w:rsidR="00000000" w:rsidRDefault="005C524C">
      <w:pPr>
        <w:jc w:val="center"/>
        <w:rPr>
          <w:rFonts w:eastAsia="Times New Roman"/>
        </w:rPr>
      </w:pPr>
      <w:r>
        <w:rPr>
          <w:rFonts w:eastAsia="Times New Roman"/>
          <w:b/>
          <w:bCs/>
          <w:color w:val="000000"/>
          <w:sz w:val="20"/>
          <w:szCs w:val="20"/>
        </w:rPr>
        <w:t>LTV Ratios (1)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276"/>
        <w:gridCol w:w="38"/>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068066676"/>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06806667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June 30, 2022</w:t>
            </w:r>
          </w:p>
        </w:tc>
      </w:tr>
      <w:tr w:rsidR="00000000">
        <w:trPr>
          <w:divId w:val="106806667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06806667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106806667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068066676"/>
          <w:jc w:val="center"/>
        </w:trPr>
        <w:tc>
          <w:tcPr>
            <w:tcW w:w="0" w:type="auto"/>
            <w:gridSpan w:val="3"/>
            <w:tcMar>
              <w:top w:w="30" w:type="dxa"/>
              <w:left w:w="20" w:type="dxa"/>
              <w:bottom w:w="30" w:type="dxa"/>
              <w:right w:w="20" w:type="dxa"/>
            </w:tcMar>
            <w:vAlign w:val="bottom"/>
            <w:hideMark/>
          </w:tcPr>
          <w:p w:rsidR="00000000" w:rsidRDefault="005C524C">
            <w:pPr>
              <w:spacing w:after="100"/>
              <w:divId w:val="907836818"/>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068066676"/>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06806667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1,790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2,969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7,839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2,562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CCEE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06806667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068066676"/>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06806667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1,550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068066676"/>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068066676"/>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68066676"/>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1626698373"/>
        <w:rPr>
          <w:rFonts w:eastAsia="Times New Roman"/>
        </w:rPr>
      </w:pPr>
    </w:p>
    <w:p w:rsidR="00000000" w:rsidRDefault="005C524C">
      <w:pPr>
        <w:jc w:val="center"/>
        <w:divId w:val="1626698373"/>
        <w:rPr>
          <w:rFonts w:eastAsia="Times New Roman"/>
        </w:rPr>
      </w:pPr>
      <w:r>
        <w:rPr>
          <w:rFonts w:eastAsia="Times New Roman"/>
          <w:color w:val="000000"/>
          <w:sz w:val="20"/>
          <w:szCs w:val="20"/>
        </w:rPr>
        <w:t>22</w:t>
      </w:r>
    </w:p>
    <w:p w:rsidR="00000000" w:rsidRDefault="005C524C">
      <w:pPr>
        <w:rPr>
          <w:rFonts w:eastAsia="Times New Roman"/>
        </w:rPr>
      </w:pPr>
      <w:r>
        <w:rPr>
          <w:rFonts w:eastAsia="Times New Roman"/>
        </w:rPr>
        <w:pict>
          <v:rect id="_x0000_i1048" style="width:0;height:1.5pt" o:hralign="center" o:hrstd="t" o:hr="t" fillcolor="#a0a0a0" stroked="f"/>
        </w:pict>
      </w:r>
    </w:p>
    <w:p w:rsidR="00000000" w:rsidRDefault="005C524C">
      <w:pPr>
        <w:divId w:val="152050381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40795408"/>
        <w:rPr>
          <w:rFonts w:eastAsia="Times New Roman"/>
        </w:rPr>
      </w:pPr>
      <w:r>
        <w:rPr>
          <w:rFonts w:eastAsia="Times New Roman"/>
          <w:b/>
          <w:bCs/>
          <w:color w:val="000000"/>
          <w:sz w:val="20"/>
          <w:szCs w:val="20"/>
        </w:rPr>
        <w:t>EQU</w:t>
      </w:r>
      <w:r>
        <w:rPr>
          <w:rFonts w:eastAsia="Times New Roman"/>
          <w:b/>
          <w:bCs/>
          <w:color w:val="000000"/>
          <w:sz w:val="20"/>
          <w:szCs w:val="20"/>
        </w:rPr>
        <w:t>ITABLE HOLDINGS, INC.</w:t>
      </w:r>
    </w:p>
    <w:p w:rsidR="00000000" w:rsidRDefault="005C524C">
      <w:pPr>
        <w:jc w:val="center"/>
        <w:divId w:val="124079540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240795408"/>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5"/>
        <w:gridCol w:w="1135"/>
        <w:gridCol w:w="37"/>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244802956"/>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44802956"/>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June 30, 2022</w:t>
            </w:r>
          </w:p>
        </w:tc>
      </w:tr>
      <w:tr w:rsidR="00000000">
        <w:trPr>
          <w:divId w:val="24480295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 Basis by Origination Year</w:t>
            </w:r>
          </w:p>
        </w:tc>
      </w:tr>
      <w:tr w:rsidR="00000000">
        <w:trPr>
          <w:divId w:val="24480295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244802956"/>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5C524C">
        <w:trPr>
          <w:divId w:val="24480295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3,059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24480295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244802956"/>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2,578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244802956"/>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244802956"/>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14,544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bl>
    <w:p w:rsidR="00000000" w:rsidRDefault="005C524C">
      <w:pPr>
        <w:divId w:val="1219975631"/>
        <w:rPr>
          <w:rFonts w:eastAsia="Times New Roman"/>
        </w:rPr>
      </w:pPr>
    </w:p>
    <w:p w:rsidR="00000000" w:rsidRDefault="005C524C">
      <w:pPr>
        <w:divId w:val="13308212"/>
        <w:rPr>
          <w:rFonts w:eastAsia="Times New Roman"/>
        </w:rPr>
      </w:pPr>
    </w:p>
    <w:p w:rsidR="00000000" w:rsidRDefault="005C524C">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276"/>
        <w:gridCol w:w="38"/>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418212014"/>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418212014"/>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June 30, 2022</w:t>
            </w:r>
          </w:p>
        </w:tc>
      </w:tr>
      <w:tr w:rsidR="00000000">
        <w:trPr>
          <w:divId w:val="1418212014"/>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418212014"/>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1418212014"/>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418212014"/>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18212014"/>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418212014"/>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2,078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5,619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w:t>
            </w:r>
            <w:r>
              <w:rPr>
                <w:rFonts w:eastAsia="Times New Roman"/>
                <w:color w:val="000000"/>
                <w:sz w:val="20"/>
                <w:szCs w:val="20"/>
              </w:rPr>
              <w:t>to 1.8x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25"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25"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1,521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5,226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11,910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418212014"/>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18212014"/>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418212014"/>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w:t>
            </w:r>
            <w:r>
              <w:rPr>
                <w:rFonts w:eastAsia="Times New Roman"/>
                <w:color w:val="000000"/>
                <w:sz w:val="20"/>
                <w:szCs w:val="20"/>
              </w:rPr>
              <w:t>to 2.0x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937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418212014"/>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18212014"/>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418212014"/>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1,862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1,338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2,392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418212014"/>
          <w:jc w:val="center"/>
        </w:trPr>
        <w:tc>
          <w:tcPr>
            <w:tcW w:w="0" w:type="auto"/>
            <w:gridSpan w:val="3"/>
            <w:shd w:val="clear" w:color="auto" w:fill="FFFF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bl>
    <w:p w:rsidR="00000000" w:rsidRDefault="005C524C">
      <w:pPr>
        <w:jc w:val="center"/>
        <w:divId w:val="1594318056"/>
        <w:rPr>
          <w:rFonts w:eastAsia="Times New Roman"/>
        </w:rPr>
      </w:pPr>
    </w:p>
    <w:p w:rsidR="00000000" w:rsidRDefault="005C524C">
      <w:pPr>
        <w:jc w:val="center"/>
        <w:divId w:val="1594318056"/>
        <w:rPr>
          <w:rFonts w:eastAsia="Times New Roman"/>
        </w:rPr>
      </w:pPr>
      <w:r>
        <w:rPr>
          <w:rFonts w:eastAsia="Times New Roman"/>
          <w:color w:val="000000"/>
          <w:sz w:val="20"/>
          <w:szCs w:val="20"/>
        </w:rPr>
        <w:t>23</w:t>
      </w:r>
    </w:p>
    <w:p w:rsidR="00000000" w:rsidRDefault="005C524C">
      <w:pPr>
        <w:rPr>
          <w:rFonts w:eastAsia="Times New Roman"/>
        </w:rPr>
      </w:pPr>
      <w:r>
        <w:rPr>
          <w:rFonts w:eastAsia="Times New Roman"/>
        </w:rPr>
        <w:pict>
          <v:rect id="_x0000_i1049" style="width:0;height:1.5pt" o:hralign="center" o:hrstd="t" o:hr="t" fillcolor="#a0a0a0" stroked="f"/>
        </w:pict>
      </w:r>
    </w:p>
    <w:p w:rsidR="00000000" w:rsidRDefault="005C524C">
      <w:pPr>
        <w:divId w:val="138826229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902522955"/>
        <w:rPr>
          <w:rFonts w:eastAsia="Times New Roman"/>
        </w:rPr>
      </w:pPr>
      <w:r>
        <w:rPr>
          <w:rFonts w:eastAsia="Times New Roman"/>
          <w:b/>
          <w:bCs/>
          <w:color w:val="000000"/>
          <w:sz w:val="20"/>
          <w:szCs w:val="20"/>
        </w:rPr>
        <w:t>EQUITABLE HOLDINGS, INC.</w:t>
      </w:r>
    </w:p>
    <w:p w:rsidR="00000000" w:rsidRDefault="005C524C">
      <w:pPr>
        <w:jc w:val="center"/>
        <w:divId w:val="90252295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902522955"/>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720"/>
        <w:gridCol w:w="37"/>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397"/>
        <w:gridCol w:w="36"/>
        <w:gridCol w:w="36"/>
        <w:gridCol w:w="36"/>
        <w:gridCol w:w="36"/>
        <w:gridCol w:w="120"/>
        <w:gridCol w:w="600"/>
        <w:gridCol w:w="36"/>
      </w:tblGrid>
      <w:tr w:rsidR="00000000">
        <w:trPr>
          <w:divId w:val="1983342592"/>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5C524C">
        <w:trPr>
          <w:divId w:val="1983342592"/>
          <w:jc w:val="center"/>
        </w:trPr>
        <w:tc>
          <w:tcPr>
            <w:tcW w:w="0" w:type="auto"/>
            <w:gridSpan w:val="3"/>
            <w:shd w:val="clear" w:color="auto" w:fill="CCEE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83342592"/>
          <w:jc w:val="center"/>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1,976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14,544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bl>
    <w:p w:rsidR="00000000" w:rsidRDefault="005C524C">
      <w:pPr>
        <w:ind w:hanging="270"/>
        <w:divId w:val="1675960705"/>
        <w:rPr>
          <w:rFonts w:eastAsia="Times New Roman"/>
        </w:rPr>
      </w:pPr>
      <w:r>
        <w:rPr>
          <w:rFonts w:eastAsia="Times New Roman"/>
          <w:color w:val="000000"/>
          <w:sz w:val="18"/>
          <w:szCs w:val="18"/>
        </w:rPr>
        <w:t xml:space="preserve">______________ </w:t>
      </w:r>
    </w:p>
    <w:p w:rsidR="00000000" w:rsidRDefault="005C524C">
      <w:pPr>
        <w:ind w:hanging="270"/>
        <w:divId w:val="1825049921"/>
        <w:rPr>
          <w:rFonts w:eastAsia="Times New Roman"/>
        </w:rPr>
      </w:pPr>
      <w:r>
        <w:rPr>
          <w:rFonts w:eastAsia="Times New Roman"/>
          <w:color w:val="000000"/>
          <w:sz w:val="18"/>
          <w:szCs w:val="18"/>
        </w:rPr>
        <w:t>(1)The LTV ratio is derived from current loan balance div</w:t>
      </w:r>
      <w:r>
        <w:rPr>
          <w:rFonts w:eastAsia="Times New Roman"/>
          <w:color w:val="000000"/>
          <w:sz w:val="18"/>
          <w:szCs w:val="18"/>
        </w:rPr>
        <w:t>ided by the fair value of the property. The fair value of the underlying commercial properties is updated annually for each mortgage loan.</w:t>
      </w:r>
    </w:p>
    <w:p w:rsidR="00000000" w:rsidRDefault="005C524C">
      <w:pPr>
        <w:ind w:hanging="270"/>
        <w:divId w:val="1978950759"/>
        <w:rPr>
          <w:rFonts w:eastAsia="Times New Roman"/>
        </w:rPr>
      </w:pPr>
      <w:r>
        <w:rPr>
          <w:rFonts w:eastAsia="Times New Roman"/>
          <w:color w:val="000000"/>
          <w:sz w:val="18"/>
          <w:szCs w:val="18"/>
        </w:rPr>
        <w:t>(2)The DSC ratio is calculated using the most recently reported operating income results from property operations div</w:t>
      </w:r>
      <w:r>
        <w:rPr>
          <w:rFonts w:eastAsia="Times New Roman"/>
          <w:color w:val="000000"/>
          <w:sz w:val="18"/>
          <w:szCs w:val="18"/>
        </w:rPr>
        <w:t>ided by annual debt service.</w:t>
      </w:r>
    </w:p>
    <w:p w:rsidR="00000000" w:rsidRDefault="005C524C">
      <w:pPr>
        <w:jc w:val="center"/>
        <w:rPr>
          <w:rFonts w:eastAsia="Times New Roman"/>
        </w:rPr>
      </w:pPr>
      <w:r>
        <w:rPr>
          <w:rFonts w:eastAsia="Times New Roman"/>
          <w:b/>
          <w:bCs/>
          <w:color w:val="000000"/>
          <w:sz w:val="20"/>
          <w:szCs w:val="20"/>
        </w:rPr>
        <w:t>LTV Ratios (1)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167"/>
        <w:gridCol w:w="38"/>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666"/>
        <w:gridCol w:w="36"/>
        <w:gridCol w:w="36"/>
        <w:gridCol w:w="36"/>
        <w:gridCol w:w="36"/>
        <w:gridCol w:w="121"/>
        <w:gridCol w:w="666"/>
        <w:gridCol w:w="36"/>
        <w:gridCol w:w="36"/>
        <w:gridCol w:w="36"/>
        <w:gridCol w:w="36"/>
        <w:gridCol w:w="120"/>
        <w:gridCol w:w="600"/>
        <w:gridCol w:w="36"/>
      </w:tblGrid>
      <w:tr w:rsidR="00000000">
        <w:trPr>
          <w:divId w:val="1341618733"/>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341618733"/>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December 31, 2021</w:t>
            </w:r>
          </w:p>
        </w:tc>
      </w:tr>
      <w:tr w:rsidR="00000000">
        <w:trPr>
          <w:divId w:val="1341618733"/>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Amortized Cost Basis by Origination Year</w:t>
            </w:r>
          </w:p>
        </w:tc>
      </w:tr>
      <w:tr w:rsidR="00000000">
        <w:trPr>
          <w:divId w:val="1341618733"/>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Total</w:t>
            </w:r>
          </w:p>
        </w:tc>
      </w:tr>
      <w:tr w:rsidR="00000000">
        <w:trPr>
          <w:divId w:val="1341618733"/>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341618733"/>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41618733"/>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293 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1,009 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1,286 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2,533 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7,351 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972 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2,501 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41618733"/>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41618733"/>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738 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338 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341618733"/>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41618733"/>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1,747 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2,992 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2,144 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1,554 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745 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578 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2,871 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8,472 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989 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2,518 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341618733"/>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bl>
    <w:p w:rsidR="00000000" w:rsidRDefault="005C524C">
      <w:pPr>
        <w:divId w:val="854540613"/>
        <w:rPr>
          <w:rFonts w:eastAsia="Times New Roman"/>
        </w:rPr>
      </w:pPr>
    </w:p>
    <w:p w:rsidR="00000000" w:rsidRDefault="005C524C">
      <w:pPr>
        <w:divId w:val="70743093"/>
        <w:rPr>
          <w:rFonts w:eastAsia="Times New Roman"/>
        </w:rPr>
      </w:pPr>
    </w:p>
    <w:p w:rsidR="00000000" w:rsidRDefault="005C524C">
      <w:pPr>
        <w:jc w:val="center"/>
        <w:rPr>
          <w:rFonts w:eastAsia="Times New Roman"/>
        </w:rPr>
      </w:pPr>
      <w:r>
        <w:rPr>
          <w:rFonts w:eastAsia="Times New Roman"/>
          <w:b/>
          <w:bCs/>
          <w:color w:val="000000"/>
          <w:sz w:val="20"/>
          <w:szCs w:val="20"/>
        </w:rPr>
        <w:t>Debt Service Coverage Ratios (2)</w:t>
      </w:r>
    </w:p>
    <w:tbl>
      <w:tblPr>
        <w:tblW w:w="4978" w:type="pct"/>
        <w:jc w:val="center"/>
        <w:tblCellMar>
          <w:top w:w="15" w:type="dxa"/>
          <w:left w:w="15" w:type="dxa"/>
          <w:bottom w:w="15" w:type="dxa"/>
          <w:right w:w="15" w:type="dxa"/>
        </w:tblCellMar>
        <w:tblLook w:val="04A0" w:firstRow="1" w:lastRow="0" w:firstColumn="1" w:lastColumn="0" w:noHBand="0" w:noVBand="1"/>
      </w:tblPr>
      <w:tblGrid>
        <w:gridCol w:w="47"/>
        <w:gridCol w:w="1808"/>
        <w:gridCol w:w="37"/>
        <w:gridCol w:w="47"/>
        <w:gridCol w:w="506"/>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47"/>
        <w:gridCol w:w="472"/>
        <w:gridCol w:w="36"/>
        <w:gridCol w:w="36"/>
        <w:gridCol w:w="36"/>
        <w:gridCol w:w="36"/>
        <w:gridCol w:w="94"/>
        <w:gridCol w:w="666"/>
        <w:gridCol w:w="36"/>
        <w:gridCol w:w="36"/>
        <w:gridCol w:w="36"/>
        <w:gridCol w:w="36"/>
        <w:gridCol w:w="94"/>
        <w:gridCol w:w="666"/>
        <w:gridCol w:w="36"/>
        <w:gridCol w:w="36"/>
        <w:gridCol w:w="36"/>
        <w:gridCol w:w="36"/>
        <w:gridCol w:w="49"/>
        <w:gridCol w:w="472"/>
        <w:gridCol w:w="36"/>
      </w:tblGrid>
      <w:tr w:rsidR="00000000">
        <w:trPr>
          <w:divId w:val="595014599"/>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595014599"/>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December 31, 2021</w:t>
            </w:r>
          </w:p>
        </w:tc>
      </w:tr>
      <w:tr w:rsidR="00000000">
        <w:trPr>
          <w:divId w:val="595014599"/>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Amortized Cost Basis by Origination Year</w:t>
            </w:r>
          </w:p>
        </w:tc>
      </w:tr>
      <w:tr w:rsidR="00000000">
        <w:trPr>
          <w:divId w:val="595014599"/>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Revolving Loans Converted to Term Loans Amortized Cost Basis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Total</w:t>
            </w:r>
          </w:p>
        </w:tc>
      </w:tr>
      <w:tr w:rsidR="00000000">
        <w:trPr>
          <w:divId w:val="595014599"/>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595014599"/>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595014599"/>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1992174943"/>
        <w:rPr>
          <w:rFonts w:eastAsia="Times New Roman"/>
        </w:rPr>
      </w:pPr>
    </w:p>
    <w:p w:rsidR="00000000" w:rsidRDefault="005C524C">
      <w:pPr>
        <w:jc w:val="center"/>
        <w:divId w:val="1992174943"/>
        <w:rPr>
          <w:rFonts w:eastAsia="Times New Roman"/>
        </w:rPr>
      </w:pPr>
      <w:r>
        <w:rPr>
          <w:rFonts w:eastAsia="Times New Roman"/>
          <w:color w:val="000000"/>
          <w:sz w:val="20"/>
          <w:szCs w:val="20"/>
        </w:rPr>
        <w:t>24</w:t>
      </w:r>
    </w:p>
    <w:p w:rsidR="00000000" w:rsidRDefault="005C524C">
      <w:pPr>
        <w:rPr>
          <w:rFonts w:eastAsia="Times New Roman"/>
        </w:rPr>
      </w:pPr>
      <w:r>
        <w:rPr>
          <w:rFonts w:eastAsia="Times New Roman"/>
        </w:rPr>
        <w:pict>
          <v:rect id="_x0000_i1050" style="width:0;height:1.5pt" o:hralign="center" o:hrstd="t" o:hr="t" fillcolor="#a0a0a0" stroked="f"/>
        </w:pict>
      </w:r>
    </w:p>
    <w:p w:rsidR="00000000" w:rsidRDefault="005C524C">
      <w:pPr>
        <w:divId w:val="53119360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676763287"/>
        <w:rPr>
          <w:rFonts w:eastAsia="Times New Roman"/>
        </w:rPr>
      </w:pPr>
      <w:r>
        <w:rPr>
          <w:rFonts w:eastAsia="Times New Roman"/>
          <w:b/>
          <w:bCs/>
          <w:color w:val="000000"/>
          <w:sz w:val="20"/>
          <w:szCs w:val="20"/>
        </w:rPr>
        <w:t>EQUITABLE HOLDINGS, INC.</w:t>
      </w:r>
    </w:p>
    <w:p w:rsidR="00000000" w:rsidRDefault="005C524C">
      <w:pPr>
        <w:jc w:val="center"/>
        <w:divId w:val="167676328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676763287"/>
        <w:rPr>
          <w:rFonts w:eastAsia="Times New Roman"/>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1714"/>
        <w:gridCol w:w="37"/>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350"/>
        <w:gridCol w:w="36"/>
        <w:gridCol w:w="36"/>
        <w:gridCol w:w="36"/>
        <w:gridCol w:w="36"/>
        <w:gridCol w:w="120"/>
        <w:gridCol w:w="397"/>
        <w:gridCol w:w="36"/>
        <w:gridCol w:w="36"/>
        <w:gridCol w:w="36"/>
        <w:gridCol w:w="36"/>
        <w:gridCol w:w="120"/>
        <w:gridCol w:w="600"/>
        <w:gridCol w:w="36"/>
      </w:tblGrid>
      <w:tr w:rsidR="00000000">
        <w:trPr>
          <w:divId w:val="1905988383"/>
          <w:jc w:val="center"/>
        </w:trPr>
        <w:tc>
          <w:tcPr>
            <w:tcW w:w="50" w:type="pct"/>
            <w:vAlign w:val="center"/>
            <w:hideMark/>
          </w:tcPr>
          <w:p w:rsidR="00000000" w:rsidRDefault="005C524C">
            <w:pPr>
              <w:jc w:val="center"/>
              <w:rPr>
                <w:rFonts w:eastAsia="Times New Roman"/>
              </w:rPr>
            </w:pPr>
          </w:p>
        </w:tc>
        <w:tc>
          <w:tcPr>
            <w:tcW w:w="11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5C524C">
        <w:trPr>
          <w:divId w:val="190598838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1,243 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485 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2,235 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6,088 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1,149 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1,952 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25"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264 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701 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25"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267 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25"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1,522 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4,587 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905988383"/>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905988383"/>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905988383"/>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w:t>
            </w:r>
            <w:r>
              <w:rPr>
                <w:rFonts w:eastAsia="Times New Roman"/>
                <w:color w:val="000000"/>
                <w:sz w:val="20"/>
                <w:szCs w:val="20"/>
              </w:rPr>
              <w:t>to 1.2x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2,644 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000000">
        <w:trPr>
          <w:divId w:val="1905988383"/>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5988383"/>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905988383"/>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1,307 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794 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2,445 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6,482 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175 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1,361 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318 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1.2x </w:t>
            </w:r>
            <w:r>
              <w:rPr>
                <w:rFonts w:eastAsia="Times New Roman"/>
                <w:color w:val="000000"/>
                <w:sz w:val="20"/>
                <w:szCs w:val="20"/>
              </w:rPr>
              <w:t>to 1.5x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425 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1,056 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2,484 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54 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CCEEFF"/>
            <w:tcMar>
              <w:top w:w="30" w:type="dxa"/>
              <w:left w:w="140"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r>
      <w:tr w:rsidR="005C524C">
        <w:trPr>
          <w:divId w:val="1905988383"/>
          <w:jc w:val="center"/>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2,514 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2,002 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1,271 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5,680 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14,095 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r>
    </w:tbl>
    <w:p w:rsidR="00000000" w:rsidRDefault="005C524C">
      <w:pPr>
        <w:ind w:hanging="270"/>
        <w:divId w:val="478227017"/>
        <w:rPr>
          <w:rFonts w:eastAsia="Times New Roman"/>
        </w:rPr>
      </w:pPr>
      <w:r>
        <w:rPr>
          <w:rFonts w:eastAsia="Times New Roman"/>
          <w:color w:val="000000"/>
          <w:sz w:val="18"/>
          <w:szCs w:val="18"/>
        </w:rPr>
        <w:t xml:space="preserve">______________ </w:t>
      </w:r>
    </w:p>
    <w:p w:rsidR="00000000" w:rsidRDefault="005C524C">
      <w:pPr>
        <w:ind w:hanging="270"/>
        <w:divId w:val="1169709054"/>
        <w:rPr>
          <w:rFonts w:eastAsia="Times New Roman"/>
        </w:rPr>
      </w:pPr>
      <w:r>
        <w:rPr>
          <w:rFonts w:eastAsia="Times New Roman"/>
          <w:color w:val="000000"/>
          <w:sz w:val="18"/>
          <w:szCs w:val="18"/>
        </w:rPr>
        <w:t>(1)The LTV ratio is derived from current loan balance div</w:t>
      </w:r>
      <w:r>
        <w:rPr>
          <w:rFonts w:eastAsia="Times New Roman"/>
          <w:color w:val="000000"/>
          <w:sz w:val="18"/>
          <w:szCs w:val="18"/>
        </w:rPr>
        <w:t>ided by the fair value of the property. The fair value of the underlying commercial properties is updated annually for each mortgage loan.</w:t>
      </w:r>
    </w:p>
    <w:p w:rsidR="00000000" w:rsidRDefault="005C524C">
      <w:pPr>
        <w:ind w:hanging="270"/>
        <w:divId w:val="1491411676"/>
        <w:rPr>
          <w:rFonts w:eastAsia="Times New Roman"/>
        </w:rPr>
      </w:pPr>
      <w:r>
        <w:rPr>
          <w:rFonts w:eastAsia="Times New Roman"/>
          <w:color w:val="000000"/>
          <w:sz w:val="18"/>
          <w:szCs w:val="18"/>
        </w:rPr>
        <w:t>(2)The DSC ratio is calculated using the most recently reported operating income results from property operations div</w:t>
      </w:r>
      <w:r>
        <w:rPr>
          <w:rFonts w:eastAsia="Times New Roman"/>
          <w:color w:val="000000"/>
          <w:sz w:val="18"/>
          <w:szCs w:val="18"/>
        </w:rPr>
        <w:t>ided by annual debt service.</w:t>
      </w:r>
    </w:p>
    <w:p w:rsidR="00000000" w:rsidRDefault="005C524C">
      <w:pPr>
        <w:divId w:val="1772817791"/>
        <w:rPr>
          <w:rFonts w:eastAsia="Times New Roman"/>
        </w:rPr>
      </w:pPr>
      <w:r>
        <w:rPr>
          <w:rFonts w:eastAsia="Times New Roman"/>
          <w:color w:val="000000"/>
          <w:sz w:val="20"/>
          <w:szCs w:val="20"/>
          <w:u w:val="single"/>
        </w:rPr>
        <w:t>Past-Due and Nonaccrual Mortgage Loan Status</w:t>
      </w:r>
    </w:p>
    <w:p w:rsidR="00000000" w:rsidRDefault="005C524C">
      <w:pPr>
        <w:divId w:val="1556768949"/>
        <w:rPr>
          <w:rFonts w:eastAsia="Times New Roman"/>
        </w:rPr>
      </w:pPr>
      <w:r>
        <w:rPr>
          <w:rFonts w:eastAsia="Times New Roman"/>
          <w:color w:val="000000"/>
          <w:sz w:val="20"/>
          <w:szCs w:val="20"/>
        </w:rPr>
        <w:t>The following table provides information relating to the aging analysis of past-due mortgage loans as of June 30, 2022 and December 31, 2021, respectively.</w:t>
      </w:r>
    </w:p>
    <w:p w:rsidR="00000000" w:rsidRDefault="005C524C">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8"/>
        <w:gridCol w:w="120"/>
        <w:gridCol w:w="250"/>
        <w:gridCol w:w="36"/>
        <w:gridCol w:w="36"/>
        <w:gridCol w:w="36"/>
        <w:gridCol w:w="36"/>
        <w:gridCol w:w="120"/>
        <w:gridCol w:w="250"/>
        <w:gridCol w:w="36"/>
        <w:gridCol w:w="36"/>
        <w:gridCol w:w="36"/>
        <w:gridCol w:w="36"/>
        <w:gridCol w:w="121"/>
        <w:gridCol w:w="328"/>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2635379"/>
        </w:trPr>
        <w:tc>
          <w:tcPr>
            <w:tcW w:w="50" w:type="pct"/>
            <w:vAlign w:val="center"/>
            <w:hideMark/>
          </w:tcPr>
          <w:p w:rsidR="00000000" w:rsidRDefault="005C524C">
            <w:pPr>
              <w:jc w:val="center"/>
              <w:rPr>
                <w:rFonts w:eastAsia="Times New Roman"/>
              </w:rPr>
            </w:pPr>
          </w:p>
        </w:tc>
        <w:tc>
          <w:tcPr>
            <w:tcW w:w="121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1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9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635379"/>
          <w:trHeight w:val="24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2635379"/>
          <w:trHeight w:val="24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r>
      <w:tr w:rsidR="00000000">
        <w:trPr>
          <w:divId w:val="2635379"/>
          <w:trHeight w:val="76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5C524C">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5C524C">
            <w:pPr>
              <w:spacing w:after="100"/>
              <w:rPr>
                <w:rFonts w:eastAsia="Times New Roman"/>
              </w:rPr>
            </w:pPr>
          </w:p>
        </w:tc>
        <w:tc>
          <w:tcPr>
            <w:tcW w:w="0" w:type="auto"/>
            <w:gridSpan w:val="3"/>
            <w:vMerge/>
            <w:tcBorders>
              <w:top w:val="single" w:sz="4" w:space="0" w:color="000000"/>
            </w:tcBorders>
            <w:vAlign w:val="center"/>
            <w:hideMark/>
          </w:tcPr>
          <w:p w:rsidR="00000000" w:rsidRDefault="005C524C">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vMerge/>
            <w:tcBorders>
              <w:bottom w:val="single" w:sz="8" w:space="0" w:color="000000"/>
            </w:tcBorders>
            <w:vAlign w:val="center"/>
            <w:hideMark/>
          </w:tcPr>
          <w:p w:rsidR="00000000" w:rsidRDefault="005C524C">
            <w:pPr>
              <w:spacing w:after="100"/>
              <w:rPr>
                <w:rFonts w:eastAsia="Times New Roman"/>
              </w:rPr>
            </w:pPr>
          </w:p>
        </w:tc>
      </w:tr>
      <w:tr w:rsidR="00000000">
        <w:trPr>
          <w:divId w:val="2635379"/>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2635379"/>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635379"/>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2635379"/>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2635379"/>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2635379"/>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14,499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635379"/>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70660804"/>
        <w:rPr>
          <w:rFonts w:eastAsia="Times New Roman"/>
        </w:rPr>
      </w:pPr>
    </w:p>
    <w:p w:rsidR="00000000" w:rsidRDefault="005C524C">
      <w:pPr>
        <w:jc w:val="center"/>
        <w:divId w:val="70660804"/>
        <w:rPr>
          <w:rFonts w:eastAsia="Times New Roman"/>
        </w:rPr>
      </w:pPr>
      <w:r>
        <w:rPr>
          <w:rFonts w:eastAsia="Times New Roman"/>
          <w:color w:val="000000"/>
          <w:sz w:val="20"/>
          <w:szCs w:val="20"/>
        </w:rPr>
        <w:t>25</w:t>
      </w:r>
    </w:p>
    <w:p w:rsidR="00000000" w:rsidRDefault="005C524C">
      <w:pPr>
        <w:rPr>
          <w:rFonts w:eastAsia="Times New Roman"/>
        </w:rPr>
      </w:pPr>
      <w:r>
        <w:rPr>
          <w:rFonts w:eastAsia="Times New Roman"/>
        </w:rPr>
        <w:pict>
          <v:rect id="_x0000_i1051" style="width:0;height:1.5pt" o:hralign="center" o:hrstd="t" o:hr="t" fillcolor="#a0a0a0" stroked="f"/>
        </w:pict>
      </w:r>
    </w:p>
    <w:p w:rsidR="00000000" w:rsidRDefault="005C524C">
      <w:pPr>
        <w:divId w:val="187041206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73473745"/>
        <w:rPr>
          <w:rFonts w:eastAsia="Times New Roman"/>
        </w:rPr>
      </w:pPr>
      <w:r>
        <w:rPr>
          <w:rFonts w:eastAsia="Times New Roman"/>
          <w:b/>
          <w:bCs/>
          <w:color w:val="000000"/>
          <w:sz w:val="20"/>
          <w:szCs w:val="20"/>
        </w:rPr>
        <w:t>EQUITABLE HOLDINGS, INC.</w:t>
      </w:r>
    </w:p>
    <w:p w:rsidR="00000000" w:rsidRDefault="005C524C">
      <w:pPr>
        <w:jc w:val="center"/>
        <w:divId w:val="7347374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734737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922"/>
        <w:gridCol w:w="37"/>
        <w:gridCol w:w="120"/>
        <w:gridCol w:w="263"/>
        <w:gridCol w:w="36"/>
        <w:gridCol w:w="36"/>
        <w:gridCol w:w="36"/>
        <w:gridCol w:w="36"/>
        <w:gridCol w:w="120"/>
        <w:gridCol w:w="250"/>
        <w:gridCol w:w="36"/>
        <w:gridCol w:w="36"/>
        <w:gridCol w:w="36"/>
        <w:gridCol w:w="36"/>
        <w:gridCol w:w="120"/>
        <w:gridCol w:w="250"/>
        <w:gridCol w:w="36"/>
        <w:gridCol w:w="36"/>
        <w:gridCol w:w="36"/>
        <w:gridCol w:w="36"/>
        <w:gridCol w:w="120"/>
        <w:gridCol w:w="250"/>
        <w:gridCol w:w="36"/>
        <w:gridCol w:w="36"/>
        <w:gridCol w:w="36"/>
        <w:gridCol w:w="36"/>
        <w:gridCol w:w="120"/>
        <w:gridCol w:w="600"/>
        <w:gridCol w:w="36"/>
        <w:gridCol w:w="36"/>
        <w:gridCol w:w="36"/>
        <w:gridCol w:w="36"/>
        <w:gridCol w:w="120"/>
        <w:gridCol w:w="600"/>
        <w:gridCol w:w="36"/>
        <w:gridCol w:w="36"/>
        <w:gridCol w:w="36"/>
        <w:gridCol w:w="36"/>
        <w:gridCol w:w="120"/>
        <w:gridCol w:w="250"/>
        <w:gridCol w:w="36"/>
        <w:gridCol w:w="36"/>
        <w:gridCol w:w="36"/>
        <w:gridCol w:w="36"/>
        <w:gridCol w:w="120"/>
        <w:gridCol w:w="600"/>
        <w:gridCol w:w="36"/>
        <w:gridCol w:w="36"/>
        <w:gridCol w:w="36"/>
        <w:gridCol w:w="36"/>
        <w:gridCol w:w="120"/>
        <w:gridCol w:w="280"/>
        <w:gridCol w:w="36"/>
        <w:gridCol w:w="36"/>
        <w:gridCol w:w="36"/>
        <w:gridCol w:w="36"/>
        <w:gridCol w:w="120"/>
        <w:gridCol w:w="426"/>
        <w:gridCol w:w="36"/>
      </w:tblGrid>
      <w:tr w:rsidR="00000000">
        <w:trPr>
          <w:divId w:val="1283030909"/>
        </w:trPr>
        <w:tc>
          <w:tcPr>
            <w:tcW w:w="50" w:type="pct"/>
            <w:vAlign w:val="center"/>
            <w:hideMark/>
          </w:tcPr>
          <w:p w:rsidR="00000000" w:rsidRDefault="005C524C">
            <w:pPr>
              <w:jc w:val="center"/>
              <w:rPr>
                <w:rFonts w:eastAsia="Times New Roman"/>
              </w:rPr>
            </w:pPr>
          </w:p>
        </w:tc>
        <w:tc>
          <w:tcPr>
            <w:tcW w:w="121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1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9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4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283030909"/>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3030909"/>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283030909"/>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11,451 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283030909"/>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283030909"/>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14,079 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270"/>
        <w:divId w:val="469446334"/>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5C524C">
      <w:pPr>
        <w:ind w:hanging="360"/>
        <w:divId w:val="978729639"/>
        <w:rPr>
          <w:rFonts w:eastAsia="Times New Roman"/>
        </w:rPr>
      </w:pPr>
      <w:r>
        <w:rPr>
          <w:rFonts w:eastAsia="Times New Roman"/>
          <w:color w:val="000000"/>
          <w:sz w:val="18"/>
          <w:szCs w:val="18"/>
        </w:rPr>
        <w:t xml:space="preserve">(1)Amounts presented at amortized cost basis. </w:t>
      </w:r>
    </w:p>
    <w:p w:rsidR="00000000" w:rsidRDefault="005C524C">
      <w:pPr>
        <w:divId w:val="782260857"/>
        <w:rPr>
          <w:rFonts w:eastAsia="Times New Roman"/>
        </w:rPr>
      </w:pPr>
      <w:r>
        <w:rPr>
          <w:rFonts w:eastAsia="Times New Roman"/>
          <w:color w:val="000000"/>
          <w:sz w:val="20"/>
          <w:szCs w:val="20"/>
        </w:rPr>
        <w:t>As of June 30, 2022 and December 31, 2021, the carrying values of problem mortgage loans that had been classified as non-accrual loans were $13 million and $14 million, respectively.</w:t>
      </w:r>
    </w:p>
    <w:p w:rsidR="00000000" w:rsidRDefault="005C524C">
      <w:pPr>
        <w:divId w:val="35087470"/>
        <w:rPr>
          <w:rFonts w:eastAsia="Times New Roman"/>
        </w:rPr>
      </w:pPr>
      <w:r>
        <w:rPr>
          <w:rFonts w:eastAsia="Times New Roman"/>
          <w:color w:val="000000"/>
          <w:sz w:val="20"/>
          <w:szCs w:val="20"/>
          <w:u w:val="single"/>
        </w:rPr>
        <w:t>Troubled Debt Restruct</w:t>
      </w:r>
      <w:r>
        <w:rPr>
          <w:rFonts w:eastAsia="Times New Roman"/>
          <w:color w:val="000000"/>
          <w:sz w:val="20"/>
          <w:szCs w:val="20"/>
          <w:u w:val="single"/>
        </w:rPr>
        <w:t xml:space="preserve">uring </w:t>
      </w:r>
    </w:p>
    <w:p w:rsidR="00000000" w:rsidRDefault="005C524C">
      <w:pPr>
        <w:divId w:val="2081634194"/>
        <w:rPr>
          <w:rFonts w:eastAsia="Times New Roman"/>
        </w:rPr>
      </w:pPr>
      <w:r>
        <w:rPr>
          <w:rFonts w:eastAsia="Times New Roman"/>
          <w:color w:val="000000"/>
          <w:sz w:val="20"/>
          <w:szCs w:val="20"/>
        </w:rPr>
        <w:t xml:space="preserve">During the three and six months ended June 30, 2022 and 2021, the Company identified an immaterial amount of TDRs. </w:t>
      </w:r>
    </w:p>
    <w:p w:rsidR="00000000" w:rsidRDefault="005C524C">
      <w:pPr>
        <w:divId w:val="125896091"/>
        <w:rPr>
          <w:rFonts w:eastAsia="Times New Roman"/>
        </w:rPr>
      </w:pPr>
      <w:r>
        <w:rPr>
          <w:rFonts w:eastAsia="Times New Roman"/>
          <w:color w:val="000000"/>
          <w:sz w:val="20"/>
          <w:szCs w:val="20"/>
          <w:u w:val="single"/>
        </w:rPr>
        <w:t>Equity Securities</w:t>
      </w:r>
    </w:p>
    <w:p w:rsidR="00000000" w:rsidRDefault="005C524C">
      <w:pPr>
        <w:divId w:val="321474385"/>
        <w:rPr>
          <w:rFonts w:eastAsia="Times New Roman"/>
        </w:rPr>
      </w:pPr>
      <w:r>
        <w:rPr>
          <w:rFonts w:eastAsia="Times New Roman"/>
          <w:color w:val="000000"/>
          <w:sz w:val="20"/>
          <w:szCs w:val="20"/>
        </w:rPr>
        <w:t xml:space="preserve">The table below presents a breakdown of unrealized and realized gains and (losses) on equity securities during the </w:t>
      </w:r>
      <w:r>
        <w:rPr>
          <w:rFonts w:eastAsia="Times New Roman"/>
          <w:color w:val="000000"/>
          <w:sz w:val="20"/>
          <w:szCs w:val="20"/>
        </w:rPr>
        <w:t>three and six months ended June 30, 2022 and 2021.</w:t>
      </w:r>
    </w:p>
    <w:p w:rsidR="00000000" w:rsidRDefault="005C524C">
      <w:pPr>
        <w:jc w:val="center"/>
        <w:rPr>
          <w:rFonts w:eastAsia="Times New Roman"/>
        </w:rPr>
      </w:pPr>
      <w:r>
        <w:rPr>
          <w:rFonts w:eastAsia="Times New Roman"/>
          <w:b/>
          <w:bCs/>
          <w:color w:val="000000"/>
          <w:sz w:val="20"/>
          <w:szCs w:val="20"/>
        </w:rPr>
        <w:t xml:space="preserve">Unrealized and Realized Gains (Losses) from Equity Securities </w:t>
      </w:r>
    </w:p>
    <w:tbl>
      <w:tblPr>
        <w:tblW w:w="5000" w:type="pct"/>
        <w:tblCellMar>
          <w:top w:w="15" w:type="dxa"/>
          <w:left w:w="15" w:type="dxa"/>
          <w:bottom w:w="15" w:type="dxa"/>
          <w:right w:w="15" w:type="dxa"/>
        </w:tblCellMar>
        <w:tblLook w:val="04A0" w:firstRow="1" w:lastRow="0" w:firstColumn="1" w:lastColumn="0" w:noHBand="0" w:noVBand="1"/>
      </w:tblPr>
      <w:tblGrid>
        <w:gridCol w:w="37"/>
        <w:gridCol w:w="4373"/>
        <w:gridCol w:w="36"/>
        <w:gridCol w:w="121"/>
        <w:gridCol w:w="820"/>
        <w:gridCol w:w="37"/>
        <w:gridCol w:w="120"/>
        <w:gridCol w:w="820"/>
        <w:gridCol w:w="36"/>
        <w:gridCol w:w="120"/>
        <w:gridCol w:w="748"/>
        <w:gridCol w:w="36"/>
        <w:gridCol w:w="120"/>
        <w:gridCol w:w="630"/>
        <w:gridCol w:w="36"/>
        <w:gridCol w:w="36"/>
        <w:gridCol w:w="36"/>
        <w:gridCol w:w="36"/>
        <w:gridCol w:w="36"/>
        <w:gridCol w:w="36"/>
        <w:gridCol w:w="36"/>
      </w:tblGrid>
      <w:tr w:rsidR="00000000">
        <w:trPr>
          <w:divId w:val="1396127157"/>
        </w:trPr>
        <w:tc>
          <w:tcPr>
            <w:tcW w:w="50" w:type="pct"/>
            <w:vAlign w:val="center"/>
            <w:hideMark/>
          </w:tcPr>
          <w:p w:rsidR="00000000" w:rsidRDefault="005C524C">
            <w:pPr>
              <w:jc w:val="center"/>
              <w:rPr>
                <w:rFonts w:eastAsia="Times New Roman"/>
              </w:rPr>
            </w:pPr>
          </w:p>
        </w:tc>
        <w:tc>
          <w:tcPr>
            <w:tcW w:w="27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6"/>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96127157"/>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85811963"/>
        <w:rPr>
          <w:rFonts w:eastAsia="Times New Roman"/>
        </w:rPr>
      </w:pPr>
      <w:r>
        <w:rPr>
          <w:rFonts w:eastAsia="Times New Roman"/>
          <w:color w:val="000000"/>
          <w:sz w:val="20"/>
          <w:szCs w:val="20"/>
          <w:u w:val="single"/>
        </w:rPr>
        <w:t>Trading Securities</w:t>
      </w:r>
    </w:p>
    <w:p w:rsidR="00000000" w:rsidRDefault="005C524C">
      <w:pPr>
        <w:divId w:val="1587808216"/>
        <w:rPr>
          <w:rFonts w:eastAsia="Times New Roman"/>
        </w:rPr>
      </w:pPr>
      <w:r>
        <w:rPr>
          <w:rFonts w:eastAsia="Times New Roman"/>
          <w:color w:val="000000"/>
          <w:sz w:val="20"/>
          <w:szCs w:val="20"/>
        </w:rPr>
        <w:t xml:space="preserve">As of June 30, 2022 and December 31, 2021, respectively, the fair value of the Company’s trading securities was $538 million and $631 </w:t>
      </w:r>
      <w:r>
        <w:rPr>
          <w:rFonts w:eastAsia="Times New Roman"/>
          <w:color w:val="000000"/>
          <w:sz w:val="20"/>
          <w:szCs w:val="20"/>
        </w:rPr>
        <w:t>million. As of June 30, 2022 and December 31, 2021, respectively, trading securities included the General Account’s investment in Separate Accounts had carrying values of $35 million and $45 million.</w:t>
      </w:r>
    </w:p>
    <w:p w:rsidR="00000000" w:rsidRDefault="005C524C">
      <w:pPr>
        <w:divId w:val="1851674832"/>
        <w:rPr>
          <w:rFonts w:eastAsia="Times New Roman"/>
        </w:rPr>
      </w:pPr>
      <w:r>
        <w:rPr>
          <w:rFonts w:eastAsia="Times New Roman"/>
          <w:color w:val="000000"/>
          <w:sz w:val="20"/>
          <w:szCs w:val="20"/>
        </w:rPr>
        <w:t>The table below shows a breakdown of net investment inco</w:t>
      </w:r>
      <w:r>
        <w:rPr>
          <w:rFonts w:eastAsia="Times New Roman"/>
          <w:color w:val="000000"/>
          <w:sz w:val="20"/>
          <w:szCs w:val="20"/>
        </w:rPr>
        <w:t>me (loss) from trading securities during the three and six months ended June 30, 2022 and 2021.</w:t>
      </w:r>
    </w:p>
    <w:p w:rsidR="00000000" w:rsidRDefault="005C524C">
      <w:pPr>
        <w:jc w:val="center"/>
        <w:rPr>
          <w:rFonts w:eastAsia="Times New Roman"/>
        </w:rPr>
      </w:pPr>
      <w:r>
        <w:rPr>
          <w:rFonts w:eastAsia="Times New Roman"/>
          <w:b/>
          <w:bCs/>
          <w:color w:val="000000"/>
          <w:sz w:val="20"/>
          <w:szCs w:val="20"/>
        </w:rPr>
        <w:t>Net Investment Income (Loss) from Trading Securities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4200"/>
        <w:gridCol w:w="36"/>
        <w:gridCol w:w="120"/>
        <w:gridCol w:w="743"/>
        <w:gridCol w:w="36"/>
        <w:gridCol w:w="36"/>
        <w:gridCol w:w="36"/>
        <w:gridCol w:w="36"/>
        <w:gridCol w:w="120"/>
        <w:gridCol w:w="685"/>
        <w:gridCol w:w="36"/>
        <w:gridCol w:w="36"/>
        <w:gridCol w:w="36"/>
        <w:gridCol w:w="36"/>
        <w:gridCol w:w="120"/>
        <w:gridCol w:w="707"/>
        <w:gridCol w:w="36"/>
        <w:gridCol w:w="36"/>
        <w:gridCol w:w="36"/>
        <w:gridCol w:w="36"/>
        <w:gridCol w:w="120"/>
        <w:gridCol w:w="734"/>
        <w:gridCol w:w="36"/>
        <w:gridCol w:w="36"/>
        <w:gridCol w:w="36"/>
        <w:gridCol w:w="36"/>
        <w:gridCol w:w="36"/>
        <w:gridCol w:w="36"/>
        <w:gridCol w:w="36"/>
      </w:tblGrid>
      <w:tr w:rsidR="00000000">
        <w:trPr>
          <w:divId w:val="982084468"/>
        </w:trPr>
        <w:tc>
          <w:tcPr>
            <w:tcW w:w="50" w:type="pct"/>
            <w:vAlign w:val="center"/>
            <w:hideMark/>
          </w:tcPr>
          <w:p w:rsidR="00000000" w:rsidRDefault="005C524C">
            <w:pPr>
              <w:jc w:val="center"/>
              <w:rPr>
                <w:rFonts w:eastAsia="Times New Roman"/>
              </w:rPr>
            </w:pPr>
          </w:p>
        </w:tc>
        <w:tc>
          <w:tcPr>
            <w:tcW w:w="261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(108)</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(176)</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(202)</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(246)</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Unrealized and realized gains (losses) on trading securities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and dividend income from trading securities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98208446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 from trading securities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2005008584"/>
        <w:rPr>
          <w:rFonts w:eastAsia="Times New Roman"/>
        </w:rPr>
      </w:pPr>
      <w:r>
        <w:rPr>
          <w:rFonts w:eastAsia="Times New Roman"/>
          <w:color w:val="000000"/>
          <w:sz w:val="20"/>
          <w:szCs w:val="20"/>
          <w:u w:val="single"/>
        </w:rPr>
        <w:t>Fixed maturities, at fair value using th</w:t>
      </w:r>
      <w:r>
        <w:rPr>
          <w:rFonts w:eastAsia="Times New Roman"/>
          <w:color w:val="000000"/>
          <w:sz w:val="20"/>
          <w:szCs w:val="20"/>
          <w:u w:val="single"/>
        </w:rPr>
        <w:t xml:space="preserve">e fair value option </w:t>
      </w:r>
    </w:p>
    <w:p w:rsidR="00000000" w:rsidRDefault="005C524C">
      <w:pPr>
        <w:jc w:val="center"/>
        <w:divId w:val="2053799044"/>
        <w:rPr>
          <w:rFonts w:eastAsia="Times New Roman"/>
        </w:rPr>
      </w:pPr>
    </w:p>
    <w:p w:rsidR="00000000" w:rsidRDefault="005C524C">
      <w:pPr>
        <w:jc w:val="center"/>
        <w:divId w:val="2053799044"/>
        <w:rPr>
          <w:rFonts w:eastAsia="Times New Roman"/>
        </w:rPr>
      </w:pPr>
      <w:r>
        <w:rPr>
          <w:rFonts w:eastAsia="Times New Roman"/>
          <w:color w:val="000000"/>
          <w:sz w:val="20"/>
          <w:szCs w:val="20"/>
        </w:rPr>
        <w:t>26</w:t>
      </w:r>
    </w:p>
    <w:p w:rsidR="00000000" w:rsidRDefault="005C524C">
      <w:pPr>
        <w:rPr>
          <w:rFonts w:eastAsia="Times New Roman"/>
        </w:rPr>
      </w:pPr>
      <w:r>
        <w:rPr>
          <w:rFonts w:eastAsia="Times New Roman"/>
        </w:rPr>
        <w:pict>
          <v:rect id="_x0000_i1052" style="width:0;height:1.5pt" o:hralign="center" o:hrstd="t" o:hr="t" fillcolor="#a0a0a0" stroked="f"/>
        </w:pict>
      </w:r>
    </w:p>
    <w:p w:rsidR="00000000" w:rsidRDefault="005C524C">
      <w:pPr>
        <w:divId w:val="939147862"/>
        <w:rPr>
          <w:rFonts w:eastAsia="Times New Roman"/>
        </w:rPr>
      </w:pPr>
    </w:p>
    <w:p w:rsidR="00000000" w:rsidRDefault="005C524C">
      <w:pPr>
        <w:divId w:val="514346879"/>
        <w:rPr>
          <w:rFonts w:eastAsia="Times New Roman"/>
        </w:rPr>
      </w:pPr>
      <w:r>
        <w:rPr>
          <w:rFonts w:eastAsia="Times New Roman"/>
          <w:color w:val="000000"/>
          <w:sz w:val="20"/>
          <w:szCs w:val="20"/>
        </w:rPr>
        <w:t>The table below shows a breakdown of net investment income (loss) from fixed maturities, at fair value using the fair value option during the three and six months ended June 30, 2022 and 2021.</w:t>
      </w:r>
    </w:p>
    <w:p w:rsidR="00000000" w:rsidRDefault="005C524C">
      <w:pPr>
        <w:divId w:val="1404176648"/>
        <w:rPr>
          <w:rFonts w:eastAsia="Times New Roman"/>
        </w:rPr>
      </w:pPr>
    </w:p>
    <w:p w:rsidR="00000000" w:rsidRDefault="005C524C">
      <w:pPr>
        <w:jc w:val="center"/>
        <w:rPr>
          <w:rFonts w:eastAsia="Times New Roman"/>
        </w:rPr>
      </w:pPr>
      <w:r>
        <w:rPr>
          <w:rFonts w:eastAsia="Times New Roman"/>
          <w:b/>
          <w:bCs/>
          <w:color w:val="000000"/>
          <w:sz w:val="20"/>
          <w:szCs w:val="20"/>
        </w:rPr>
        <w:t>Net Investment Income (Loss) from Fixed Maturities, at Fair Value using the Fair Value Option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4417"/>
        <w:gridCol w:w="36"/>
        <w:gridCol w:w="120"/>
        <w:gridCol w:w="632"/>
        <w:gridCol w:w="36"/>
        <w:gridCol w:w="36"/>
        <w:gridCol w:w="36"/>
        <w:gridCol w:w="36"/>
        <w:gridCol w:w="120"/>
        <w:gridCol w:w="960"/>
        <w:gridCol w:w="36"/>
        <w:gridCol w:w="36"/>
        <w:gridCol w:w="36"/>
        <w:gridCol w:w="36"/>
        <w:gridCol w:w="120"/>
        <w:gridCol w:w="632"/>
        <w:gridCol w:w="36"/>
        <w:gridCol w:w="36"/>
        <w:gridCol w:w="36"/>
        <w:gridCol w:w="36"/>
        <w:gridCol w:w="120"/>
        <w:gridCol w:w="644"/>
        <w:gridCol w:w="36"/>
      </w:tblGrid>
      <w:tr w:rsidR="00000000">
        <w:trPr>
          <w:divId w:val="224685892"/>
        </w:trPr>
        <w:tc>
          <w:tcPr>
            <w:tcW w:w="50" w:type="pct"/>
            <w:vAlign w:val="center"/>
            <w:hideMark/>
          </w:tcPr>
          <w:p w:rsidR="00000000" w:rsidRDefault="005C524C">
            <w:pPr>
              <w:jc w:val="center"/>
              <w:rPr>
                <w:rFonts w:eastAsia="Times New Roman"/>
              </w:rPr>
            </w:pPr>
          </w:p>
        </w:tc>
        <w:tc>
          <w:tcPr>
            <w:tcW w:w="27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2468589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22468589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2021</w:t>
            </w:r>
          </w:p>
        </w:tc>
      </w:tr>
      <w:tr w:rsidR="00000000">
        <w:trPr>
          <w:divId w:val="22468589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22468589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2468589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2468589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Unrealized and realized gains (losses) from fixed maturities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2468589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and dividend income from fixed maturities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2468589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 from fixed maturities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960039379"/>
        <w:rPr>
          <w:rFonts w:eastAsia="Times New Roman"/>
        </w:rPr>
      </w:pPr>
    </w:p>
    <w:p w:rsidR="00000000" w:rsidRDefault="005C524C">
      <w:pPr>
        <w:divId w:val="2142452063"/>
        <w:rPr>
          <w:rFonts w:eastAsia="Times New Roman"/>
        </w:rPr>
      </w:pPr>
      <w:r>
        <w:rPr>
          <w:rFonts w:eastAsia="Times New Roman"/>
          <w:b/>
          <w:bCs/>
          <w:color w:val="000000"/>
          <w:sz w:val="20"/>
          <w:szCs w:val="20"/>
        </w:rPr>
        <w:t>4)     DERIVATIVES</w:t>
      </w:r>
    </w:p>
    <w:p w:rsidR="00000000" w:rsidRDefault="005C524C">
      <w:pPr>
        <w:divId w:val="401408567"/>
        <w:rPr>
          <w:rFonts w:eastAsia="Times New Roman"/>
        </w:rPr>
      </w:pPr>
      <w:r>
        <w:rPr>
          <w:rFonts w:eastAsia="Times New Roman"/>
          <w:color w:val="000000"/>
          <w:sz w:val="20"/>
          <w:szCs w:val="20"/>
        </w:rPr>
        <w:t>The Company uses derivatives as part of its overall asset/liability risk management primarily to reduce exposures to equity marke</w:t>
      </w:r>
      <w:r>
        <w:rPr>
          <w:rFonts w:eastAsia="Times New Roman"/>
          <w:color w:val="000000"/>
          <w:sz w:val="20"/>
          <w:szCs w:val="20"/>
        </w:rPr>
        <w:t>t and interest rate risks. Derivative hedging strategies are designed to reduce these risks from an economic perspective and are all executed within the framework of a “Derivative Use Plan” approved by applicable states’ insurance law. Derivatives are gene</w:t>
      </w:r>
      <w:r>
        <w:rPr>
          <w:rFonts w:eastAsia="Times New Roman"/>
          <w:color w:val="000000"/>
          <w:sz w:val="20"/>
          <w:szCs w:val="20"/>
        </w:rPr>
        <w:t>rally not accounted for using hedge accounting, with the exception of TIPS and cash flow hedges, which are discussed further below. Operation of these hedging programs is based on models involving numerous estimates and assumptions, including, among others</w:t>
      </w:r>
      <w:r>
        <w:rPr>
          <w:rFonts w:eastAsia="Times New Roman"/>
          <w:color w:val="000000"/>
          <w:sz w:val="20"/>
          <w:szCs w:val="20"/>
        </w:rPr>
        <w:t>, mortality, lapse, surrender and withdrawal rates, election rates, fund performance, market volatility and interest rates. A wide range of derivative contracts are used in these hedging programs, including exchange traded equity, currency and interest rat</w:t>
      </w:r>
      <w:r>
        <w:rPr>
          <w:rFonts w:eastAsia="Times New Roman"/>
          <w:color w:val="000000"/>
          <w:sz w:val="20"/>
          <w:szCs w:val="20"/>
        </w:rPr>
        <w:t>e futures contracts, total return and/or other equity swaps, interest rate swap and floor contracts, bond and bond-index total return swaps, swaptions, variance swaps and equity options, credit and foreign exchange derivatives, as well as bond and repo tra</w:t>
      </w:r>
      <w:r>
        <w:rPr>
          <w:rFonts w:eastAsia="Times New Roman"/>
          <w:color w:val="000000"/>
          <w:sz w:val="20"/>
          <w:szCs w:val="20"/>
        </w:rPr>
        <w:t>nsactions to support the hedging. The derivative contracts are collectively managed in an effort to reduce the economic impact of unfavorable changes in guaranteed benefits’ exposures attributable to movements in capital markets. In addition, as part of it</w:t>
      </w:r>
      <w:r>
        <w:rPr>
          <w:rFonts w:eastAsia="Times New Roman"/>
          <w:color w:val="000000"/>
          <w:sz w:val="20"/>
          <w:szCs w:val="20"/>
        </w:rPr>
        <w:t>s hedging strategy, the Company targets an asset level for all variable annuity products at or above a CTE98 level under most economic scenarios (CTE is a statistical measure of tail risk which quantifies the total asset requirement to sustain a loss if an</w:t>
      </w:r>
      <w:r>
        <w:rPr>
          <w:rFonts w:eastAsia="Times New Roman"/>
          <w:color w:val="000000"/>
          <w:sz w:val="20"/>
          <w:szCs w:val="20"/>
        </w:rPr>
        <w:t xml:space="preserve"> event outside a given probability level has occurred. CTE98 denotes the financial resources a company would need to cover the average of the worst 2% of scenarios.) </w:t>
      </w:r>
    </w:p>
    <w:p w:rsidR="00000000" w:rsidRDefault="005C524C">
      <w:pPr>
        <w:divId w:val="48765594"/>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5C524C">
      <w:pPr>
        <w:divId w:val="208954581"/>
        <w:rPr>
          <w:rFonts w:eastAsia="Times New Roman"/>
        </w:rPr>
      </w:pPr>
      <w:r>
        <w:rPr>
          <w:rFonts w:eastAsia="Times New Roman"/>
          <w:color w:val="000000"/>
          <w:sz w:val="20"/>
          <w:szCs w:val="20"/>
        </w:rPr>
        <w:t>The</w:t>
      </w:r>
      <w:r>
        <w:rPr>
          <w:rFonts w:eastAsia="Times New Roman"/>
          <w:color w:val="000000"/>
          <w:sz w:val="20"/>
          <w:szCs w:val="20"/>
        </w:rPr>
        <w:t xml:space="preserve"> Company has issued and continues to offer variable annuity products with GMxB features. The risk associated with the GMDB feature is that under-performance of the financial markets could result in GMDB benefits, in the event of death, being higher than wh</w:t>
      </w:r>
      <w:r>
        <w:rPr>
          <w:rFonts w:eastAsia="Times New Roman"/>
          <w:color w:val="000000"/>
          <w:sz w:val="20"/>
          <w:szCs w:val="20"/>
        </w:rPr>
        <w:t>at accumulated policyholders’ account balances would support. The risk associated with the GMIB feature is that under-performance of the financial markets could result in the present value of GMIB, in the event of annuitization, being higher than what accu</w:t>
      </w:r>
      <w:r>
        <w:rPr>
          <w:rFonts w:eastAsia="Times New Roman"/>
          <w:color w:val="000000"/>
          <w:sz w:val="20"/>
          <w:szCs w:val="20"/>
        </w:rPr>
        <w:t>mulated policyholders’ account balances would support, taking into account the relationship between current annuity purchase rates and the GMIB guaranteed annuity purchase rates. The risk associated with products that have a GMxB derivative features liabil</w:t>
      </w:r>
      <w:r>
        <w:rPr>
          <w:rFonts w:eastAsia="Times New Roman"/>
          <w:color w:val="000000"/>
          <w:sz w:val="20"/>
          <w:szCs w:val="20"/>
        </w:rPr>
        <w:t xml:space="preserve">ity is that under-performance of the financial markets could result in the GMxB derivative features’ benefits being higher than what accumulated policyholders’ account balances would support. </w:t>
      </w:r>
    </w:p>
    <w:p w:rsidR="00000000" w:rsidRDefault="005C524C">
      <w:pPr>
        <w:divId w:val="1706178156"/>
        <w:rPr>
          <w:rFonts w:eastAsia="Times New Roman"/>
        </w:rPr>
      </w:pPr>
      <w:r>
        <w:rPr>
          <w:rFonts w:eastAsia="Times New Roman"/>
          <w:color w:val="000000"/>
          <w:sz w:val="20"/>
          <w:szCs w:val="20"/>
        </w:rPr>
        <w:t xml:space="preserve">For GMxB features, the Company retains certain risks including </w:t>
      </w:r>
      <w:r>
        <w:rPr>
          <w:rFonts w:eastAsia="Times New Roman"/>
          <w:color w:val="000000"/>
          <w:sz w:val="20"/>
          <w:szCs w:val="20"/>
        </w:rPr>
        <w:t xml:space="preserve">basis, credit spread and some volatility risk and risk associated with actual experience versus expected actuarial assumptions for mortality, lapse and surrender, withdrawal and policyholder election rates, among other things. The derivative contracts are </w:t>
      </w:r>
      <w:r>
        <w:rPr>
          <w:rFonts w:eastAsia="Times New Roman"/>
          <w:color w:val="000000"/>
          <w:sz w:val="20"/>
          <w:szCs w:val="20"/>
        </w:rPr>
        <w:t>managed to correlate with changes in the value of the GMxB features that result from financial markets movements. A portion of exposure to realized equity volatility is hedged using equity options and variance swaps and a portion of exposure to credit risk</w:t>
      </w:r>
      <w:r>
        <w:rPr>
          <w:rFonts w:eastAsia="Times New Roman"/>
          <w:color w:val="000000"/>
          <w:sz w:val="20"/>
          <w:szCs w:val="20"/>
        </w:rPr>
        <w:t xml:space="preserve"> is hedged using total return swaps on fixed income indices. Additionally, the Company is party to total return swaps for which the reference U.S. Treasury securities are contemporaneously purchased from the market and sold to the swap counterparty. As the</w:t>
      </w:r>
      <w:r>
        <w:rPr>
          <w:rFonts w:eastAsia="Times New Roman"/>
          <w:color w:val="000000"/>
          <w:sz w:val="20"/>
          <w:szCs w:val="20"/>
        </w:rPr>
        <w:t xml:space="preserve">se transactions result in a transfer of control of the U.S. Treasury securities to the swap counterparty, the Company derecognizes these securities with consequent gain or loss from the sale. The Company has </w:t>
      </w:r>
    </w:p>
    <w:p w:rsidR="00000000" w:rsidRDefault="005C524C">
      <w:pPr>
        <w:jc w:val="center"/>
        <w:divId w:val="1611085082"/>
        <w:rPr>
          <w:rFonts w:eastAsia="Times New Roman"/>
        </w:rPr>
      </w:pPr>
    </w:p>
    <w:p w:rsidR="00000000" w:rsidRDefault="005C524C">
      <w:pPr>
        <w:jc w:val="center"/>
        <w:divId w:val="1611085082"/>
        <w:rPr>
          <w:rFonts w:eastAsia="Times New Roman"/>
        </w:rPr>
      </w:pPr>
      <w:r>
        <w:rPr>
          <w:rFonts w:eastAsia="Times New Roman"/>
          <w:color w:val="000000"/>
          <w:sz w:val="20"/>
          <w:szCs w:val="20"/>
        </w:rPr>
        <w:t>27</w:t>
      </w:r>
    </w:p>
    <w:p w:rsidR="00000000" w:rsidRDefault="005C524C">
      <w:pPr>
        <w:rPr>
          <w:rFonts w:eastAsia="Times New Roman"/>
        </w:rPr>
      </w:pPr>
      <w:r>
        <w:rPr>
          <w:rFonts w:eastAsia="Times New Roman"/>
        </w:rPr>
        <w:pict>
          <v:rect id="_x0000_i1053" style="width:0;height:1.5pt" o:hralign="center" o:hrstd="t" o:hr="t" fillcolor="#a0a0a0" stroked="f"/>
        </w:pict>
      </w:r>
    </w:p>
    <w:p w:rsidR="00000000" w:rsidRDefault="005C524C">
      <w:pPr>
        <w:divId w:val="166462483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860122505"/>
        <w:rPr>
          <w:rFonts w:eastAsia="Times New Roman"/>
        </w:rPr>
      </w:pPr>
      <w:r>
        <w:rPr>
          <w:rFonts w:eastAsia="Times New Roman"/>
          <w:b/>
          <w:bCs/>
          <w:color w:val="000000"/>
          <w:sz w:val="20"/>
          <w:szCs w:val="20"/>
        </w:rPr>
        <w:t>EQUITABLE HOLDINGS, INC.</w:t>
      </w:r>
    </w:p>
    <w:p w:rsidR="00000000" w:rsidRDefault="005C524C">
      <w:pPr>
        <w:jc w:val="center"/>
        <w:divId w:val="86012250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860122505"/>
        <w:rPr>
          <w:rFonts w:eastAsia="Times New Roman"/>
        </w:rPr>
      </w:pPr>
    </w:p>
    <w:p w:rsidR="00000000" w:rsidRDefault="005C524C">
      <w:pPr>
        <w:divId w:val="984088604"/>
        <w:rPr>
          <w:rFonts w:eastAsia="Times New Roman"/>
        </w:rPr>
      </w:pPr>
      <w:r>
        <w:rPr>
          <w:rFonts w:eastAsia="Times New Roman"/>
          <w:color w:val="000000"/>
          <w:sz w:val="20"/>
          <w:szCs w:val="20"/>
        </w:rPr>
        <w:t>also purchased reinsurance contracts to mitigate the risks associated with GMDB features and the impact of potential market fluctuations on future policyholder elections of GMIB features contained in certain annuity contracts issued by the Company. The rei</w:t>
      </w:r>
      <w:r>
        <w:rPr>
          <w:rFonts w:eastAsia="Times New Roman"/>
          <w:color w:val="000000"/>
          <w:sz w:val="20"/>
          <w:szCs w:val="20"/>
        </w:rPr>
        <w:t>nsurance of the GMIB features is accounted for as a derivative. In addition, on June 1, 2021, we ceded legacy variable annuity policies sold by Equitable Financial between 2006-2008 (the “Block”), comprised of non-New York “Accumulator” policies containing</w:t>
      </w:r>
      <w:r>
        <w:rPr>
          <w:rFonts w:eastAsia="Times New Roman"/>
          <w:color w:val="000000"/>
          <w:sz w:val="20"/>
          <w:szCs w:val="20"/>
        </w:rPr>
        <w:t xml:space="preserve"> fixed rate GMIB and/or GMDB guarantees. As this contract provides full risk transfer and thus has the same risk attributes as the underlying direct contracts, the benefits of this treaty are accounted for in the same manner as the underlying gross reserve</w:t>
      </w:r>
      <w:r>
        <w:rPr>
          <w:rFonts w:eastAsia="Times New Roman"/>
          <w:color w:val="000000"/>
          <w:sz w:val="20"/>
          <w:szCs w:val="20"/>
        </w:rPr>
        <w:t>s and therefore the Amounts Due from Reinsurers related to the GMIB with NLG are accounted for as an embedded derivative.</w:t>
      </w:r>
    </w:p>
    <w:p w:rsidR="00000000" w:rsidRDefault="005C524C">
      <w:pPr>
        <w:divId w:val="1053312939"/>
        <w:rPr>
          <w:rFonts w:eastAsia="Times New Roman"/>
        </w:rPr>
      </w:pPr>
      <w:r>
        <w:rPr>
          <w:rFonts w:eastAsia="Times New Roman"/>
          <w:color w:val="000000"/>
          <w:sz w:val="20"/>
          <w:szCs w:val="20"/>
        </w:rPr>
        <w:t>The Company has in place an economic hedge program using interest rate swaps and U.S. Treasury futures to partially protect the overal</w:t>
      </w:r>
      <w:r>
        <w:rPr>
          <w:rFonts w:eastAsia="Times New Roman"/>
          <w:color w:val="000000"/>
          <w:sz w:val="20"/>
          <w:szCs w:val="20"/>
        </w:rPr>
        <w:t>l profitability of future variable annuity sales against declining interest rates.</w:t>
      </w:r>
    </w:p>
    <w:p w:rsidR="00000000" w:rsidRDefault="005C524C">
      <w:pPr>
        <w:divId w:val="2041662670"/>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rsidR="00000000" w:rsidRDefault="005C524C">
      <w:pPr>
        <w:divId w:val="748774951"/>
        <w:rPr>
          <w:rFonts w:eastAsia="Times New Roman"/>
        </w:rPr>
      </w:pPr>
      <w:r>
        <w:rPr>
          <w:rFonts w:eastAsia="Times New Roman"/>
          <w:color w:val="000000"/>
          <w:sz w:val="20"/>
          <w:szCs w:val="20"/>
        </w:rPr>
        <w:t>The Company hedges crediting rates in the SCS variable annuity, S</w:t>
      </w:r>
      <w:r>
        <w:rPr>
          <w:rFonts w:eastAsia="Times New Roman"/>
          <w:color w:val="000000"/>
          <w:sz w:val="20"/>
          <w:szCs w:val="20"/>
        </w:rPr>
        <w:t>IO in the EQUI-VEST variable annuity series, MSO in the variable life insurance products and IUL insurance products. These products permit the contract owner to participate in the performance of an index, ETF or commodity price movement up to a cap for a s</w:t>
      </w:r>
      <w:r>
        <w:rPr>
          <w:rFonts w:eastAsia="Times New Roman"/>
          <w:color w:val="000000"/>
          <w:sz w:val="20"/>
          <w:szCs w:val="20"/>
        </w:rPr>
        <w:t xml:space="preserve">et period of time. They also contain a protection feature, in which the Company will absorb, up to a certain percentage, the loss of value in an index, ETF or commodity price, which varies by product segment. </w:t>
      </w:r>
    </w:p>
    <w:p w:rsidR="00000000" w:rsidRDefault="005C524C">
      <w:pPr>
        <w:divId w:val="194781149"/>
        <w:rPr>
          <w:rFonts w:eastAsia="Times New Roman"/>
        </w:rPr>
      </w:pPr>
      <w:r>
        <w:rPr>
          <w:rFonts w:eastAsia="Times New Roman"/>
          <w:color w:val="000000"/>
          <w:sz w:val="20"/>
          <w:szCs w:val="20"/>
        </w:rPr>
        <w:t>In order to support the returns associated wit</w:t>
      </w:r>
      <w:r>
        <w:rPr>
          <w:rFonts w:eastAsia="Times New Roman"/>
          <w:color w:val="000000"/>
          <w:sz w:val="20"/>
          <w:szCs w:val="20"/>
        </w:rPr>
        <w:t>h these features, the Company enters into derivative contracts whose payouts, in combination with fixed income investments, emulate those of the index, ETF or commodity price, subject to caps and buffers, thereby substantially reducing any exposure to mark</w:t>
      </w:r>
      <w:r>
        <w:rPr>
          <w:rFonts w:eastAsia="Times New Roman"/>
          <w:color w:val="000000"/>
          <w:sz w:val="20"/>
          <w:szCs w:val="20"/>
        </w:rPr>
        <w:t>et-related earnings volatility.</w:t>
      </w:r>
    </w:p>
    <w:p w:rsidR="00000000" w:rsidRDefault="005C524C">
      <w:pPr>
        <w:divId w:val="2114474797"/>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5C524C">
      <w:pPr>
        <w:divId w:val="1952469679"/>
        <w:rPr>
          <w:rFonts w:eastAsia="Times New Roman"/>
        </w:rPr>
      </w:pPr>
      <w:r>
        <w:rPr>
          <w:rFonts w:eastAsia="Times New Roman"/>
          <w:color w:val="000000"/>
          <w:sz w:val="20"/>
          <w:szCs w:val="20"/>
        </w:rPr>
        <w:t>The Company’s General Account seed money investments in retail mutual funds expose us to marke</w:t>
      </w:r>
      <w:r>
        <w:rPr>
          <w:rFonts w:eastAsia="Times New Roman"/>
          <w:color w:val="000000"/>
          <w:sz w:val="20"/>
          <w:szCs w:val="20"/>
        </w:rPr>
        <w:t>t risk, including equity market risk which is partially hedged through equity-index futures contracts to minimize such risk.</w:t>
      </w:r>
    </w:p>
    <w:p w:rsidR="00000000" w:rsidRDefault="005C524C">
      <w:pPr>
        <w:divId w:val="856622534"/>
        <w:rPr>
          <w:rFonts w:eastAsia="Times New Roman"/>
        </w:rPr>
      </w:pPr>
      <w:r>
        <w:rPr>
          <w:rFonts w:eastAsia="Times New Roman"/>
          <w:color w:val="000000"/>
          <w:sz w:val="20"/>
          <w:szCs w:val="20"/>
          <w:u w:val="single"/>
        </w:rPr>
        <w:t xml:space="preserve">Derivatives Used for General Account Investment Portfolio </w:t>
      </w:r>
    </w:p>
    <w:p w:rsidR="00000000" w:rsidRDefault="005C524C">
      <w:pPr>
        <w:divId w:val="2098868387"/>
        <w:rPr>
          <w:rFonts w:eastAsia="Times New Roman"/>
        </w:rPr>
      </w:pPr>
      <w:r>
        <w:rPr>
          <w:rFonts w:eastAsia="Times New Roman"/>
          <w:color w:val="000000"/>
          <w:sz w:val="20"/>
          <w:szCs w:val="20"/>
        </w:rPr>
        <w:t>The Company maintains a strategy in its General Account investment portf</w:t>
      </w:r>
      <w:r>
        <w:rPr>
          <w:rFonts w:eastAsia="Times New Roman"/>
          <w:color w:val="000000"/>
          <w:sz w:val="20"/>
          <w:szCs w:val="20"/>
        </w:rPr>
        <w:t>olio to replicate the credit exposure of fixed maturity securities otherwise permissible for investment under its investment guidelines through the sale of CDS. Under the terms of these swaps, the Company receives quarterly fixed premiums that, together wi</w:t>
      </w:r>
      <w:r>
        <w:rPr>
          <w:rFonts w:eastAsia="Times New Roman"/>
          <w:color w:val="000000"/>
          <w:sz w:val="20"/>
          <w:szCs w:val="20"/>
        </w:rPr>
        <w:t xml:space="preserve">th any initial amount paid or received at trade inception, replicate the credit spread otherwise currently obtainable by purchasing the referenced entity’s bonds of similar maturity. These credit derivatives generally have remaining terms of five years or </w:t>
      </w:r>
      <w:r>
        <w:rPr>
          <w:rFonts w:eastAsia="Times New Roman"/>
          <w:color w:val="000000"/>
          <w:sz w:val="20"/>
          <w:szCs w:val="20"/>
        </w:rPr>
        <w:t xml:space="preserve">less and are recorded at fair value with changes in fair value, including the yield component that emerges from initial amounts paid or received, reported in net derivative gains (losses). </w:t>
      </w:r>
    </w:p>
    <w:p w:rsidR="00000000" w:rsidRDefault="005C524C">
      <w:pPr>
        <w:divId w:val="1847748461"/>
        <w:rPr>
          <w:rFonts w:eastAsia="Times New Roman"/>
        </w:rPr>
      </w:pPr>
      <w:r>
        <w:rPr>
          <w:rFonts w:eastAsia="Times New Roman"/>
          <w:color w:val="000000"/>
          <w:sz w:val="20"/>
          <w:szCs w:val="20"/>
        </w:rPr>
        <w:t xml:space="preserve">The Company manages its credit exposure taking into consideration </w:t>
      </w:r>
      <w:r>
        <w:rPr>
          <w:rFonts w:eastAsia="Times New Roman"/>
          <w:color w:val="000000"/>
          <w:sz w:val="20"/>
          <w:szCs w:val="20"/>
        </w:rPr>
        <w:t>both cash and derivatives based positions and selects the reference entities in its replicated credit exposures in a manner consistent with its selection of fixed maturities. In addition, the Company generally transacts the sale of CDS in single name refer</w:t>
      </w:r>
      <w:r>
        <w:rPr>
          <w:rFonts w:eastAsia="Times New Roman"/>
          <w:color w:val="000000"/>
          <w:sz w:val="20"/>
          <w:szCs w:val="20"/>
        </w:rPr>
        <w:t>ence entities of investment grade credit quality and with counterparties subject to collateral posting requirements. If there is an event of default by the reference entity or other such credit event as defined under the terms of the swap contract, the Com</w:t>
      </w:r>
      <w:r>
        <w:rPr>
          <w:rFonts w:eastAsia="Times New Roman"/>
          <w:color w:val="000000"/>
          <w:sz w:val="20"/>
          <w:szCs w:val="20"/>
        </w:rPr>
        <w:t>pany is obligated to perform under the credit derivative and, at its option, either pay the referenced amount of the contract less an auction-determined recovery amount or pay the referenced amount of the contract and receive in return the defaulted or sim</w:t>
      </w:r>
      <w:r>
        <w:rPr>
          <w:rFonts w:eastAsia="Times New Roman"/>
          <w:color w:val="000000"/>
          <w:sz w:val="20"/>
          <w:szCs w:val="20"/>
        </w:rPr>
        <w:t>ilar security of the reference entity for recovery by sale at the contract settlement auction. The Company purchased CDS to mitigate its exposure to a reference entity through cash positions. These positions do not replicate credit spreads.</w:t>
      </w:r>
    </w:p>
    <w:p w:rsidR="00000000" w:rsidRDefault="005C524C">
      <w:pPr>
        <w:divId w:val="1894195140"/>
        <w:rPr>
          <w:rFonts w:eastAsia="Times New Roman"/>
        </w:rPr>
      </w:pPr>
      <w:r>
        <w:rPr>
          <w:rFonts w:eastAsia="Times New Roman"/>
          <w:color w:val="000000"/>
          <w:sz w:val="20"/>
          <w:szCs w:val="20"/>
        </w:rPr>
        <w:t xml:space="preserve">To date, there </w:t>
      </w:r>
      <w:r>
        <w:rPr>
          <w:rFonts w:eastAsia="Times New Roman"/>
          <w:color w:val="000000"/>
          <w:sz w:val="20"/>
          <w:szCs w:val="20"/>
        </w:rPr>
        <w:t>have been no events of default or circumstances indicative of a deterioration in the credit quality of the named referenced entities to require or suggest that the Company will have to perform under the CDS that it sold. The maximum potential amount of fut</w:t>
      </w:r>
      <w:r>
        <w:rPr>
          <w:rFonts w:eastAsia="Times New Roman"/>
          <w:color w:val="000000"/>
          <w:sz w:val="20"/>
          <w:szCs w:val="20"/>
        </w:rPr>
        <w:t>ure payments the Company could be required to make under the credit derivatives sold is limited to the par value of the referenced securities which is the dollar or euro-equivalent of the derivative’s notional amount. The Standard North American CDS Contra</w:t>
      </w:r>
      <w:r>
        <w:rPr>
          <w:rFonts w:eastAsia="Times New Roman"/>
          <w:color w:val="000000"/>
          <w:sz w:val="20"/>
          <w:szCs w:val="20"/>
        </w:rPr>
        <w:t xml:space="preserve">ct or Standard European Corporate Contract under which the Company executes these CDS sales transactions does not contain recourse provisions for recovery of amounts paid under the credit derivative. </w:t>
      </w:r>
    </w:p>
    <w:p w:rsidR="00000000" w:rsidRDefault="005C524C">
      <w:pPr>
        <w:divId w:val="1032148826"/>
        <w:rPr>
          <w:rFonts w:eastAsia="Times New Roman"/>
        </w:rPr>
      </w:pPr>
      <w:r>
        <w:rPr>
          <w:rFonts w:eastAsia="Times New Roman"/>
          <w:color w:val="000000"/>
          <w:sz w:val="20"/>
          <w:szCs w:val="20"/>
        </w:rPr>
        <w:t xml:space="preserve">The Company purchased 30-year TIPS and other sovereign </w:t>
      </w:r>
      <w:r>
        <w:rPr>
          <w:rFonts w:eastAsia="Times New Roman"/>
          <w:color w:val="000000"/>
          <w:sz w:val="20"/>
          <w:szCs w:val="20"/>
        </w:rPr>
        <w:t xml:space="preserve">bonds, both inflation linked and non-inflation linked, as General Account investments and enters into asset or cross-currency basis swaps, to result in payment of the given </w:t>
      </w:r>
    </w:p>
    <w:p w:rsidR="00000000" w:rsidRDefault="005C524C">
      <w:pPr>
        <w:jc w:val="center"/>
        <w:divId w:val="903640448"/>
        <w:rPr>
          <w:rFonts w:eastAsia="Times New Roman"/>
        </w:rPr>
      </w:pPr>
    </w:p>
    <w:p w:rsidR="00000000" w:rsidRDefault="005C524C">
      <w:pPr>
        <w:jc w:val="center"/>
        <w:divId w:val="903640448"/>
        <w:rPr>
          <w:rFonts w:eastAsia="Times New Roman"/>
        </w:rPr>
      </w:pPr>
      <w:r>
        <w:rPr>
          <w:rFonts w:eastAsia="Times New Roman"/>
          <w:color w:val="000000"/>
          <w:sz w:val="20"/>
          <w:szCs w:val="20"/>
        </w:rPr>
        <w:t>28</w:t>
      </w:r>
    </w:p>
    <w:p w:rsidR="00000000" w:rsidRDefault="005C524C">
      <w:pPr>
        <w:rPr>
          <w:rFonts w:eastAsia="Times New Roman"/>
        </w:rPr>
      </w:pPr>
      <w:r>
        <w:rPr>
          <w:rFonts w:eastAsia="Times New Roman"/>
        </w:rPr>
        <w:pict>
          <v:rect id="_x0000_i1054" style="width:0;height:1.5pt" o:hralign="center" o:hrstd="t" o:hr="t" fillcolor="#a0a0a0" stroked="f"/>
        </w:pict>
      </w:r>
    </w:p>
    <w:p w:rsidR="00000000" w:rsidRDefault="005C524C">
      <w:pPr>
        <w:divId w:val="68828855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94852885"/>
        <w:rPr>
          <w:rFonts w:eastAsia="Times New Roman"/>
        </w:rPr>
      </w:pPr>
      <w:r>
        <w:rPr>
          <w:rFonts w:eastAsia="Times New Roman"/>
          <w:b/>
          <w:bCs/>
          <w:color w:val="000000"/>
          <w:sz w:val="20"/>
          <w:szCs w:val="20"/>
        </w:rPr>
        <w:t>EQUITABLE HOLDINGS, INC.</w:t>
      </w:r>
    </w:p>
    <w:p w:rsidR="00000000" w:rsidRDefault="005C524C">
      <w:pPr>
        <w:jc w:val="center"/>
        <w:divId w:val="19485288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94852885"/>
        <w:rPr>
          <w:rFonts w:eastAsia="Times New Roman"/>
        </w:rPr>
      </w:pPr>
    </w:p>
    <w:p w:rsidR="00000000" w:rsidRDefault="005C524C">
      <w:pPr>
        <w:divId w:val="558786228"/>
        <w:rPr>
          <w:rFonts w:eastAsia="Times New Roman"/>
        </w:rPr>
      </w:pPr>
      <w:r>
        <w:rPr>
          <w:rFonts w:eastAsia="Times New Roman"/>
          <w:color w:val="000000"/>
          <w:sz w:val="20"/>
          <w:szCs w:val="20"/>
        </w:rPr>
        <w:t xml:space="preserve">bond’s coupons and principal at maturity in the bond’s specified currency to the swap counterparty in return for fixed dollar </w:t>
      </w:r>
      <w:r>
        <w:rPr>
          <w:rFonts w:eastAsia="Times New Roman"/>
          <w:color w:val="000000"/>
          <w:sz w:val="20"/>
          <w:szCs w:val="20"/>
        </w:rPr>
        <w:t xml:space="preserve">amounts. These swaps, when considered in combination with the bonds, together result in a net position that is intended to replicate a dollar-denominated fixed-coupon cash bond with a yield higher than a term-equivalent U.S. Treasury bond. </w:t>
      </w:r>
    </w:p>
    <w:p w:rsidR="00000000" w:rsidRDefault="005C524C">
      <w:pPr>
        <w:divId w:val="819925855"/>
        <w:rPr>
          <w:rFonts w:eastAsia="Times New Roman"/>
        </w:rPr>
      </w:pPr>
      <w:r>
        <w:rPr>
          <w:rFonts w:eastAsia="Times New Roman"/>
          <w:color w:val="000000"/>
          <w:sz w:val="20"/>
          <w:szCs w:val="20"/>
          <w:u w:val="single"/>
        </w:rPr>
        <w:t>Derivatives Uti</w:t>
      </w:r>
      <w:r>
        <w:rPr>
          <w:rFonts w:eastAsia="Times New Roman"/>
          <w:color w:val="000000"/>
          <w:sz w:val="20"/>
          <w:szCs w:val="20"/>
          <w:u w:val="single"/>
        </w:rPr>
        <w:t>lized to Hedge Exposure to Foreign Currency Denominated Cash Flows</w:t>
      </w:r>
    </w:p>
    <w:p w:rsidR="00000000" w:rsidRDefault="005C524C">
      <w:pPr>
        <w:divId w:val="626545462"/>
        <w:rPr>
          <w:rFonts w:eastAsia="Times New Roman"/>
        </w:rPr>
      </w:pPr>
      <w:r>
        <w:rPr>
          <w:rFonts w:eastAsia="Times New Roman"/>
          <w:color w:val="000000"/>
          <w:sz w:val="20"/>
          <w:szCs w:val="20"/>
        </w:rPr>
        <w:t>The Company purchases private placement debt securities and issues funding agreements in the FABN program in currencies other than its functional U.S. dollar currency. The Company enters in</w:t>
      </w:r>
      <w:r>
        <w:rPr>
          <w:rFonts w:eastAsia="Times New Roman"/>
          <w:color w:val="000000"/>
          <w:sz w:val="20"/>
          <w:szCs w:val="20"/>
        </w:rPr>
        <w:t>to cross currency swaps with external counterparties to hedge the exposure of the foreign currency denominated cash flows of these instruments. The foreign currency received from or paid to the cross currency swap counterparty is exchanged for fixed U.S. d</w:t>
      </w:r>
      <w:r>
        <w:rPr>
          <w:rFonts w:eastAsia="Times New Roman"/>
          <w:color w:val="000000"/>
          <w:sz w:val="20"/>
          <w:szCs w:val="20"/>
        </w:rPr>
        <w:t>ollar amounts with improved net investment yields or net product costs over equivalent U.S. dollar denominated instruments issued at that time. The transactions are accounted for as cash flow hedges when they are designated in hedging relationships and qua</w:t>
      </w:r>
      <w:r>
        <w:rPr>
          <w:rFonts w:eastAsia="Times New Roman"/>
          <w:color w:val="000000"/>
          <w:sz w:val="20"/>
          <w:szCs w:val="20"/>
        </w:rPr>
        <w:t>lify for hedge accounting. The first cross currency swap hedges were designated and applied hedge accounting during the quarter ended June 30, 2021.</w:t>
      </w:r>
    </w:p>
    <w:p w:rsidR="00000000" w:rsidRDefault="005C524C">
      <w:pPr>
        <w:divId w:val="1646013006"/>
        <w:rPr>
          <w:rFonts w:eastAsia="Times New Roman"/>
        </w:rPr>
      </w:pPr>
      <w:r>
        <w:rPr>
          <w:rFonts w:eastAsia="Times New Roman"/>
          <w:color w:val="000000"/>
          <w:sz w:val="20"/>
          <w:szCs w:val="20"/>
        </w:rPr>
        <w:t>These cross currency swaps are for the period the foreign currency denominated private placement debt secur</w:t>
      </w:r>
      <w:r>
        <w:rPr>
          <w:rFonts w:eastAsia="Times New Roman"/>
          <w:color w:val="000000"/>
          <w:sz w:val="20"/>
          <w:szCs w:val="20"/>
        </w:rPr>
        <w:t>ities and funding agreement are outstanding, with the longest cross currency swap expiring in 2033. Since designation and qualification as cash flow hedges, cross currency swap interest accruals are recognized in Net investment income and in Interest credi</w:t>
      </w:r>
      <w:r>
        <w:rPr>
          <w:rFonts w:eastAsia="Times New Roman"/>
          <w:color w:val="000000"/>
          <w:sz w:val="20"/>
          <w:szCs w:val="20"/>
        </w:rPr>
        <w:t xml:space="preserve">ted to policyholders’ account balances. </w:t>
      </w:r>
    </w:p>
    <w:p w:rsidR="00000000" w:rsidRDefault="005C524C">
      <w:pPr>
        <w:divId w:val="285042068"/>
        <w:rPr>
          <w:rFonts w:eastAsia="Times New Roman"/>
        </w:rPr>
      </w:pPr>
      <w:r>
        <w:rPr>
          <w:rFonts w:eastAsia="Times New Roman"/>
          <w:color w:val="000000"/>
          <w:sz w:val="20"/>
          <w:szCs w:val="20"/>
        </w:rPr>
        <w:t>The tables below present quantitative disclosures about the Company’s derivative instruments designated in hedging relationships and derivative instruments which have not been designated in hedging relationships, in</w:t>
      </w:r>
      <w:r>
        <w:rPr>
          <w:rFonts w:eastAsia="Times New Roman"/>
          <w:color w:val="000000"/>
          <w:sz w:val="20"/>
          <w:szCs w:val="20"/>
        </w:rPr>
        <w:t>cluding those embedded in other contracts required to be accounted for as derivative instruments.</w:t>
      </w:r>
    </w:p>
    <w:p w:rsidR="00000000" w:rsidRDefault="005C524C">
      <w:pPr>
        <w:divId w:val="296879163"/>
        <w:rPr>
          <w:rFonts w:eastAsia="Times New Roman"/>
        </w:rPr>
      </w:pPr>
      <w:r>
        <w:rPr>
          <w:rFonts w:eastAsia="Times New Roman"/>
          <w:color w:val="000000"/>
          <w:sz w:val="20"/>
          <w:szCs w:val="20"/>
        </w:rPr>
        <w:t>The following table presents the gross notional amount and estimated fair value of the Company’s derivatives:</w:t>
      </w:r>
    </w:p>
    <w:p w:rsidR="00000000" w:rsidRDefault="005C524C">
      <w:pPr>
        <w:divId w:val="1578054616"/>
        <w:rPr>
          <w:rFonts w:eastAsia="Times New Roman"/>
        </w:rPr>
      </w:pPr>
    </w:p>
    <w:p w:rsidR="00000000" w:rsidRDefault="005C524C">
      <w:pPr>
        <w:jc w:val="center"/>
        <w:divId w:val="2091652595"/>
        <w:rPr>
          <w:rFonts w:eastAsia="Times New Roman"/>
        </w:rPr>
      </w:pPr>
    </w:p>
    <w:p w:rsidR="00000000" w:rsidRDefault="005C524C">
      <w:pPr>
        <w:jc w:val="center"/>
        <w:divId w:val="2091652595"/>
        <w:rPr>
          <w:rFonts w:eastAsia="Times New Roman"/>
        </w:rPr>
      </w:pPr>
      <w:r>
        <w:rPr>
          <w:rFonts w:eastAsia="Times New Roman"/>
          <w:color w:val="000000"/>
          <w:sz w:val="20"/>
          <w:szCs w:val="20"/>
        </w:rPr>
        <w:t>29</w:t>
      </w:r>
    </w:p>
    <w:p w:rsidR="00000000" w:rsidRDefault="005C524C">
      <w:pPr>
        <w:rPr>
          <w:rFonts w:eastAsia="Times New Roman"/>
        </w:rPr>
      </w:pPr>
      <w:r>
        <w:rPr>
          <w:rFonts w:eastAsia="Times New Roman"/>
        </w:rPr>
        <w:pict>
          <v:rect id="_x0000_i1055" style="width:0;height:1.5pt" o:hralign="center" o:hrstd="t" o:hr="t" fillcolor="#a0a0a0" stroked="f"/>
        </w:pict>
      </w:r>
    </w:p>
    <w:p w:rsidR="00000000" w:rsidRDefault="005C524C">
      <w:pPr>
        <w:divId w:val="127933797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867329321"/>
        <w:rPr>
          <w:rFonts w:eastAsia="Times New Roman"/>
        </w:rPr>
      </w:pPr>
      <w:r>
        <w:rPr>
          <w:rFonts w:eastAsia="Times New Roman"/>
          <w:b/>
          <w:bCs/>
          <w:color w:val="000000"/>
          <w:sz w:val="20"/>
          <w:szCs w:val="20"/>
        </w:rPr>
        <w:t>EQUITABLE HOLDINGS, INC.</w:t>
      </w:r>
    </w:p>
    <w:p w:rsidR="00000000" w:rsidRDefault="005C524C">
      <w:pPr>
        <w:jc w:val="center"/>
        <w:divId w:val="867329321"/>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867329321"/>
        <w:rPr>
          <w:rFonts w:eastAsia="Times New Roman"/>
        </w:rPr>
      </w:pPr>
    </w:p>
    <w:p w:rsidR="00000000" w:rsidRDefault="005C524C">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8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36"/>
      </w:tblGrid>
      <w:tr w:rsidR="00000000">
        <w:trPr>
          <w:divId w:val="1362784402"/>
        </w:trPr>
        <w:tc>
          <w:tcPr>
            <w:tcW w:w="50" w:type="pct"/>
            <w:vAlign w:val="center"/>
            <w:hideMark/>
          </w:tcPr>
          <w:p w:rsidR="00000000" w:rsidRDefault="005C524C">
            <w:pPr>
              <w:jc w:val="center"/>
              <w:rPr>
                <w:rFonts w:eastAsia="Times New Roman"/>
              </w:rPr>
            </w:pPr>
          </w:p>
        </w:tc>
        <w:tc>
          <w:tcPr>
            <w:tcW w:w="220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8"/>
                <w:szCs w:val="18"/>
              </w:rPr>
              <w:t>December 31, 2021</w:t>
            </w:r>
          </w:p>
        </w:tc>
        <w:tc>
          <w:tcPr>
            <w:tcW w:w="0" w:type="auto"/>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Fair Value</w:t>
            </w:r>
          </w:p>
        </w:tc>
        <w:tc>
          <w:tcPr>
            <w:tcW w:w="0" w:type="auto"/>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Derivative Liabilities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 Cash flow hedges: </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Interest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Futures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Swaps </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10,340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13,378 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48,489 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12,024 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9,824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6,160 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63,921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80,365 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Amounts due from reinsurers (5)</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6,773 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8,816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62784402"/>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66,182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16,729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82,241 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27,028 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948928415"/>
        <w:rPr>
          <w:rFonts w:eastAsia="Times New Roman"/>
        </w:rPr>
      </w:pPr>
      <w:r>
        <w:rPr>
          <w:rFonts w:eastAsia="Times New Roman"/>
          <w:color w:val="000000"/>
          <w:sz w:val="18"/>
          <w:szCs w:val="18"/>
        </w:rPr>
        <w:t>___________</w:t>
      </w:r>
    </w:p>
    <w:p w:rsidR="00000000" w:rsidRDefault="005C524C">
      <w:pPr>
        <w:ind w:hanging="360"/>
        <w:divId w:val="770592575"/>
        <w:rPr>
          <w:rFonts w:eastAsia="Times New Roman"/>
        </w:rPr>
      </w:pPr>
      <w:r>
        <w:rPr>
          <w:rFonts w:eastAsia="Times New Roman"/>
          <w:color w:val="000000"/>
          <w:sz w:val="18"/>
          <w:szCs w:val="18"/>
        </w:rPr>
        <w:t>(1)Reported in other invested assets in the consolidated balance sheets.</w:t>
      </w:r>
    </w:p>
    <w:p w:rsidR="00000000" w:rsidRDefault="005C524C">
      <w:pPr>
        <w:ind w:hanging="360"/>
        <w:divId w:val="1269237752"/>
        <w:rPr>
          <w:rFonts w:eastAsia="Times New Roman"/>
        </w:rPr>
      </w:pPr>
      <w:r>
        <w:rPr>
          <w:rFonts w:eastAsia="Times New Roman"/>
          <w:color w:val="000000"/>
          <w:sz w:val="18"/>
          <w:szCs w:val="18"/>
        </w:rPr>
        <w:t xml:space="preserve">(2)Reported in GMIB reinsurance contract asset in </w:t>
      </w:r>
      <w:r>
        <w:rPr>
          <w:rFonts w:eastAsia="Times New Roman"/>
          <w:color w:val="000000"/>
          <w:sz w:val="18"/>
          <w:szCs w:val="18"/>
        </w:rPr>
        <w:t>the consolidated balance sheets.</w:t>
      </w:r>
    </w:p>
    <w:p w:rsidR="00000000" w:rsidRDefault="005C524C">
      <w:pPr>
        <w:ind w:hanging="360"/>
        <w:divId w:val="1252665600"/>
        <w:rPr>
          <w:rFonts w:eastAsia="Times New Roman"/>
        </w:rPr>
      </w:pPr>
      <w:r>
        <w:rPr>
          <w:rFonts w:eastAsia="Times New Roman"/>
          <w:color w:val="000000"/>
          <w:sz w:val="18"/>
          <w:szCs w:val="18"/>
        </w:rPr>
        <w:t>(3)Reported in future policy benefits and other policyholders’ liabilities in the consolidated balance sheets.</w:t>
      </w:r>
    </w:p>
    <w:p w:rsidR="00000000" w:rsidRDefault="005C524C">
      <w:pPr>
        <w:ind w:hanging="360"/>
        <w:divId w:val="2020309740"/>
        <w:rPr>
          <w:rFonts w:eastAsia="Times New Roman"/>
        </w:rPr>
      </w:pPr>
      <w:r>
        <w:rPr>
          <w:rFonts w:eastAsia="Times New Roman"/>
          <w:color w:val="000000"/>
          <w:sz w:val="18"/>
          <w:szCs w:val="18"/>
        </w:rPr>
        <w:t>(4)Reported in policyholders’ account balances in the consolidated balance sheets.</w:t>
      </w:r>
    </w:p>
    <w:p w:rsidR="00000000" w:rsidRDefault="005C524C">
      <w:pPr>
        <w:ind w:hanging="360"/>
        <w:divId w:val="1253516186"/>
        <w:rPr>
          <w:rFonts w:eastAsia="Times New Roman"/>
        </w:rPr>
      </w:pPr>
      <w:r>
        <w:rPr>
          <w:rFonts w:eastAsia="Times New Roman"/>
          <w:color w:val="000000"/>
          <w:sz w:val="18"/>
          <w:szCs w:val="18"/>
        </w:rPr>
        <w:t xml:space="preserve">(5)Represents GMIB NLG ceded </w:t>
      </w:r>
      <w:r>
        <w:rPr>
          <w:rFonts w:eastAsia="Times New Roman"/>
          <w:color w:val="000000"/>
          <w:sz w:val="18"/>
          <w:szCs w:val="18"/>
        </w:rPr>
        <w:t>related to the Venerable Transaction.</w:t>
      </w:r>
    </w:p>
    <w:p w:rsidR="00000000" w:rsidRDefault="005C524C">
      <w:pPr>
        <w:divId w:val="1272588158"/>
        <w:rPr>
          <w:rFonts w:eastAsia="Times New Roman"/>
        </w:rPr>
      </w:pPr>
    </w:p>
    <w:p w:rsidR="00000000" w:rsidRDefault="005C524C">
      <w:pPr>
        <w:divId w:val="368074258"/>
        <w:rPr>
          <w:rFonts w:eastAsia="Times New Roman"/>
        </w:rPr>
      </w:pPr>
    </w:p>
    <w:p w:rsidR="00000000" w:rsidRDefault="005C524C">
      <w:pPr>
        <w:divId w:val="2031486299"/>
        <w:rPr>
          <w:rFonts w:eastAsia="Times New Roman"/>
        </w:rPr>
      </w:pPr>
      <w:r>
        <w:rPr>
          <w:rFonts w:eastAsia="Times New Roman"/>
          <w:color w:val="000000"/>
          <w:sz w:val="20"/>
          <w:szCs w:val="20"/>
        </w:rPr>
        <w:t>The following table presents the effects of derivative instruments on the consolidated statements of income and comprehensive income (loss).</w:t>
      </w:r>
    </w:p>
    <w:p w:rsidR="00000000" w:rsidRDefault="005C524C">
      <w:pPr>
        <w:jc w:val="center"/>
        <w:rPr>
          <w:rFonts w:eastAsia="Times New Roman"/>
        </w:rPr>
      </w:pPr>
    </w:p>
    <w:p w:rsidR="00000000" w:rsidRDefault="005C524C">
      <w:pPr>
        <w:jc w:val="center"/>
        <w:rPr>
          <w:rFonts w:eastAsia="Times New Roman"/>
        </w:rPr>
      </w:pPr>
      <w:r>
        <w:rPr>
          <w:rFonts w:eastAsia="Times New Roman"/>
          <w:b/>
          <w:bCs/>
          <w:color w:val="000000"/>
          <w:sz w:val="20"/>
          <w:szCs w:val="20"/>
        </w:rPr>
        <w:t>Derivative Instruments by Category</w:t>
      </w:r>
    </w:p>
    <w:p w:rsidR="00000000" w:rsidRDefault="005C524C">
      <w:pPr>
        <w:jc w:val="center"/>
        <w:divId w:val="1856378288"/>
        <w:rPr>
          <w:rFonts w:eastAsia="Times New Roman"/>
        </w:rPr>
      </w:pPr>
    </w:p>
    <w:p w:rsidR="00000000" w:rsidRDefault="005C524C">
      <w:pPr>
        <w:jc w:val="center"/>
        <w:divId w:val="1856378288"/>
        <w:rPr>
          <w:rFonts w:eastAsia="Times New Roman"/>
        </w:rPr>
      </w:pPr>
      <w:r>
        <w:rPr>
          <w:rFonts w:eastAsia="Times New Roman"/>
          <w:color w:val="000000"/>
          <w:sz w:val="20"/>
          <w:szCs w:val="20"/>
        </w:rPr>
        <w:t>30</w:t>
      </w:r>
    </w:p>
    <w:p w:rsidR="00000000" w:rsidRDefault="005C524C">
      <w:pPr>
        <w:rPr>
          <w:rFonts w:eastAsia="Times New Roman"/>
        </w:rPr>
      </w:pPr>
      <w:r>
        <w:rPr>
          <w:rFonts w:eastAsia="Times New Roman"/>
        </w:rPr>
        <w:pict>
          <v:rect id="_x0000_i1056" style="width:0;height:1.5pt" o:hralign="center" o:hrstd="t" o:hr="t" fillcolor="#a0a0a0" stroked="f"/>
        </w:pict>
      </w:r>
    </w:p>
    <w:p w:rsidR="00000000" w:rsidRDefault="005C524C">
      <w:pPr>
        <w:divId w:val="105408741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754550882"/>
        <w:rPr>
          <w:rFonts w:eastAsia="Times New Roman"/>
        </w:rPr>
      </w:pPr>
      <w:r>
        <w:rPr>
          <w:rFonts w:eastAsia="Times New Roman"/>
          <w:b/>
          <w:bCs/>
          <w:color w:val="000000"/>
          <w:sz w:val="20"/>
          <w:szCs w:val="20"/>
        </w:rPr>
        <w:t>EQUITABLE HOLDINGS, INC.</w:t>
      </w:r>
    </w:p>
    <w:p w:rsidR="00000000" w:rsidRDefault="005C524C">
      <w:pPr>
        <w:jc w:val="center"/>
        <w:divId w:val="175455088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754550882"/>
        <w:rPr>
          <w:rFonts w:eastAsia="Times New Roman"/>
        </w:rPr>
      </w:pPr>
    </w:p>
    <w:p w:rsidR="00000000" w:rsidRDefault="005C524C">
      <w:pPr>
        <w:jc w:val="center"/>
        <w:divId w:val="419718334"/>
        <w:rPr>
          <w:rFonts w:eastAsia="Times New Roman"/>
        </w:rPr>
      </w:pPr>
    </w:p>
    <w:p w:rsidR="00000000" w:rsidRDefault="005C524C">
      <w:pPr>
        <w:jc w:val="center"/>
        <w:divId w:val="419718334"/>
        <w:rPr>
          <w:rFonts w:eastAsia="Times New Roman"/>
        </w:rPr>
      </w:pPr>
      <w:r>
        <w:rPr>
          <w:rFonts w:eastAsia="Times New Roman"/>
          <w:color w:val="000000"/>
          <w:sz w:val="20"/>
          <w:szCs w:val="20"/>
        </w:rPr>
        <w:t>31</w:t>
      </w:r>
    </w:p>
    <w:p w:rsidR="00000000" w:rsidRDefault="005C524C">
      <w:pPr>
        <w:rPr>
          <w:rFonts w:eastAsia="Times New Roman"/>
        </w:rPr>
      </w:pPr>
      <w:r>
        <w:rPr>
          <w:rFonts w:eastAsia="Times New Roman"/>
        </w:rPr>
        <w:pict>
          <v:rect id="_x0000_i1057" style="width:0;height:1.5pt" o:hralign="center" o:hrstd="t" o:hr="t" fillcolor="#a0a0a0" stroked="f"/>
        </w:pict>
      </w:r>
    </w:p>
    <w:p w:rsidR="00000000" w:rsidRDefault="005C524C">
      <w:pPr>
        <w:divId w:val="81363908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52279078"/>
        <w:rPr>
          <w:rFonts w:eastAsia="Times New Roman"/>
        </w:rPr>
      </w:pPr>
      <w:r>
        <w:rPr>
          <w:rFonts w:eastAsia="Times New Roman"/>
          <w:b/>
          <w:bCs/>
          <w:color w:val="000000"/>
          <w:sz w:val="20"/>
          <w:szCs w:val="20"/>
        </w:rPr>
        <w:t>EQUITABLE HOLDINGS, INC.</w:t>
      </w:r>
    </w:p>
    <w:p w:rsidR="00000000" w:rsidRDefault="005C524C">
      <w:pPr>
        <w:jc w:val="center"/>
        <w:divId w:val="125227907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25227907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1237"/>
        <w:gridCol w:w="38"/>
        <w:gridCol w:w="121"/>
        <w:gridCol w:w="825"/>
        <w:gridCol w:w="36"/>
        <w:gridCol w:w="36"/>
        <w:gridCol w:w="36"/>
        <w:gridCol w:w="36"/>
        <w:gridCol w:w="121"/>
        <w:gridCol w:w="719"/>
        <w:gridCol w:w="36"/>
        <w:gridCol w:w="121"/>
        <w:gridCol w:w="865"/>
        <w:gridCol w:w="36"/>
        <w:gridCol w:w="36"/>
        <w:gridCol w:w="36"/>
        <w:gridCol w:w="36"/>
        <w:gridCol w:w="120"/>
        <w:gridCol w:w="350"/>
        <w:gridCol w:w="36"/>
        <w:gridCol w:w="36"/>
        <w:gridCol w:w="36"/>
        <w:gridCol w:w="36"/>
        <w:gridCol w:w="121"/>
        <w:gridCol w:w="825"/>
        <w:gridCol w:w="36"/>
        <w:gridCol w:w="36"/>
        <w:gridCol w:w="36"/>
        <w:gridCol w:w="36"/>
        <w:gridCol w:w="121"/>
        <w:gridCol w:w="716"/>
        <w:gridCol w:w="36"/>
        <w:gridCol w:w="121"/>
        <w:gridCol w:w="868"/>
        <w:gridCol w:w="36"/>
        <w:gridCol w:w="36"/>
        <w:gridCol w:w="36"/>
        <w:gridCol w:w="36"/>
        <w:gridCol w:w="120"/>
        <w:gridCol w:w="350"/>
        <w:gridCol w:w="36"/>
      </w:tblGrid>
      <w:tr w:rsidR="00000000">
        <w:trPr>
          <w:divId w:val="1281381413"/>
        </w:trPr>
        <w:tc>
          <w:tcPr>
            <w:tcW w:w="50" w:type="pct"/>
            <w:vAlign w:val="center"/>
            <w:hideMark/>
          </w:tcPr>
          <w:p w:rsidR="00000000" w:rsidRDefault="005C524C">
            <w:pPr>
              <w:jc w:val="center"/>
              <w:rPr>
                <w:rFonts w:eastAsia="Times New Roman"/>
              </w:rPr>
            </w:pPr>
          </w:p>
        </w:tc>
        <w:tc>
          <w:tcPr>
            <w:tcW w:w="10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Three Months Ended 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Six Months Ended June 30, 2022</w:t>
            </w:r>
          </w:p>
        </w:tc>
      </w:tr>
      <w:tr w:rsidR="00000000">
        <w:trPr>
          <w:divId w:val="1281381413"/>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281381413"/>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AOCI</w:t>
            </w:r>
          </w:p>
        </w:tc>
      </w:tr>
      <w:tr w:rsidR="00000000">
        <w:trPr>
          <w:divId w:val="1281381413"/>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5C524C">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(3,446)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(3,730)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(1,058)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Height w:val="30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(1,142)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28138141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embedded derivatives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81381413"/>
          <w:trHeight w:val="30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281381413"/>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firstLine="360"/>
        <w:divId w:val="577249925"/>
        <w:rPr>
          <w:rFonts w:eastAsia="Times New Roman"/>
        </w:rPr>
      </w:pPr>
    </w:p>
    <w:p w:rsidR="00000000" w:rsidRDefault="005C524C">
      <w:pPr>
        <w:ind w:firstLine="360"/>
        <w:divId w:val="1253585625"/>
        <w:rPr>
          <w:rFonts w:eastAsia="Times New Roman"/>
        </w:rPr>
      </w:pPr>
    </w:p>
    <w:p w:rsidR="00000000" w:rsidRDefault="005C524C">
      <w:pPr>
        <w:jc w:val="center"/>
        <w:divId w:val="1124155974"/>
        <w:rPr>
          <w:rFonts w:eastAsia="Times New Roman"/>
        </w:rPr>
      </w:pPr>
    </w:p>
    <w:p w:rsidR="00000000" w:rsidRDefault="005C524C">
      <w:pPr>
        <w:jc w:val="center"/>
        <w:divId w:val="1124155974"/>
        <w:rPr>
          <w:rFonts w:eastAsia="Times New Roman"/>
        </w:rPr>
      </w:pPr>
      <w:r>
        <w:rPr>
          <w:rFonts w:eastAsia="Times New Roman"/>
          <w:color w:val="000000"/>
          <w:sz w:val="20"/>
          <w:szCs w:val="20"/>
        </w:rPr>
        <w:t>32</w:t>
      </w:r>
    </w:p>
    <w:p w:rsidR="00000000" w:rsidRDefault="005C524C">
      <w:pPr>
        <w:rPr>
          <w:rFonts w:eastAsia="Times New Roman"/>
        </w:rPr>
      </w:pPr>
      <w:r>
        <w:rPr>
          <w:rFonts w:eastAsia="Times New Roman"/>
        </w:rPr>
        <w:pict>
          <v:rect id="_x0000_i1058" style="width:0;height:1.5pt" o:hralign="center" o:hrstd="t" o:hr="t" fillcolor="#a0a0a0" stroked="f"/>
        </w:pict>
      </w:r>
    </w:p>
    <w:p w:rsidR="00000000" w:rsidRDefault="005C524C">
      <w:pPr>
        <w:divId w:val="88711178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300768601"/>
        <w:rPr>
          <w:rFonts w:eastAsia="Times New Roman"/>
        </w:rPr>
      </w:pPr>
      <w:r>
        <w:rPr>
          <w:rFonts w:eastAsia="Times New Roman"/>
          <w:b/>
          <w:bCs/>
          <w:color w:val="000000"/>
          <w:sz w:val="20"/>
          <w:szCs w:val="20"/>
        </w:rPr>
        <w:t>EQUITABLE HOLDINGS, INC.</w:t>
      </w:r>
    </w:p>
    <w:p w:rsidR="00000000" w:rsidRDefault="005C524C">
      <w:pPr>
        <w:jc w:val="center"/>
        <w:divId w:val="1300768601"/>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300768601"/>
        <w:rPr>
          <w:rFonts w:eastAsia="Times New Roman"/>
        </w:rPr>
      </w:pPr>
    </w:p>
    <w:p w:rsidR="00000000" w:rsidRDefault="005C524C">
      <w:pPr>
        <w:ind w:firstLine="360"/>
        <w:divId w:val="34044417"/>
        <w:rPr>
          <w:rFonts w:eastAsia="Times New Roman"/>
        </w:rPr>
      </w:pPr>
    </w:p>
    <w:p w:rsidR="00000000" w:rsidRDefault="005C524C">
      <w:pPr>
        <w:ind w:firstLine="360"/>
        <w:divId w:val="7633036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1500"/>
        <w:gridCol w:w="37"/>
        <w:gridCol w:w="121"/>
        <w:gridCol w:w="793"/>
        <w:gridCol w:w="36"/>
        <w:gridCol w:w="36"/>
        <w:gridCol w:w="36"/>
        <w:gridCol w:w="36"/>
        <w:gridCol w:w="121"/>
        <w:gridCol w:w="650"/>
        <w:gridCol w:w="36"/>
        <w:gridCol w:w="121"/>
        <w:gridCol w:w="816"/>
        <w:gridCol w:w="36"/>
        <w:gridCol w:w="36"/>
        <w:gridCol w:w="36"/>
        <w:gridCol w:w="36"/>
        <w:gridCol w:w="121"/>
        <w:gridCol w:w="363"/>
        <w:gridCol w:w="36"/>
        <w:gridCol w:w="36"/>
        <w:gridCol w:w="36"/>
        <w:gridCol w:w="36"/>
        <w:gridCol w:w="121"/>
        <w:gridCol w:w="793"/>
        <w:gridCol w:w="36"/>
        <w:gridCol w:w="36"/>
        <w:gridCol w:w="36"/>
        <w:gridCol w:w="36"/>
        <w:gridCol w:w="121"/>
        <w:gridCol w:w="650"/>
        <w:gridCol w:w="36"/>
        <w:gridCol w:w="121"/>
        <w:gridCol w:w="816"/>
        <w:gridCol w:w="36"/>
        <w:gridCol w:w="36"/>
        <w:gridCol w:w="36"/>
        <w:gridCol w:w="36"/>
        <w:gridCol w:w="121"/>
        <w:gridCol w:w="363"/>
        <w:gridCol w:w="36"/>
      </w:tblGrid>
      <w:tr w:rsidR="00000000">
        <w:trPr>
          <w:divId w:val="1232814469"/>
        </w:trPr>
        <w:tc>
          <w:tcPr>
            <w:tcW w:w="50" w:type="pct"/>
            <w:vAlign w:val="center"/>
            <w:hideMark/>
          </w:tcPr>
          <w:p w:rsidR="00000000" w:rsidRDefault="005C524C">
            <w:pPr>
              <w:ind w:firstLine="360"/>
              <w:rPr>
                <w:rFonts w:eastAsia="Times New Roman"/>
              </w:rPr>
            </w:pPr>
          </w:p>
        </w:tc>
        <w:tc>
          <w:tcPr>
            <w:tcW w:w="131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5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Three Months Ended June 30, 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8"/>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Six Months Ended June 30, 2021</w:t>
            </w:r>
          </w:p>
        </w:tc>
      </w:tr>
      <w:tr w:rsidR="00000000">
        <w:trPr>
          <w:divId w:val="1232814469"/>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(in millions)</w:t>
            </w:r>
          </w:p>
        </w:tc>
      </w:tr>
      <w:tr w:rsidR="00000000">
        <w:trPr>
          <w:divId w:val="1232814469"/>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Net Derivatives Gain(Losses)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Net Investment Income</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Interest Credited To Policyholders Account Balances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6"/>
                <w:szCs w:val="16"/>
              </w:rPr>
              <w:t>AOCI</w:t>
            </w:r>
          </w:p>
        </w:tc>
      </w:tr>
      <w:tr w:rsidR="00000000">
        <w:trPr>
          <w:divId w:val="123281446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Derivatives: designated for hedge accounting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Currency/interest rate</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swaps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designated for hedge accounting</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(2,610)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2,346 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(2,442)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not designated for hedge accounting</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(3,953)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2,735 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(1,183)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(2,328)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123281446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embedded derivatives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(1,495)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232814469"/>
          <w:trHeight w:val="30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1232814469"/>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firstLine="360"/>
        <w:divId w:val="351608555"/>
        <w:rPr>
          <w:rFonts w:eastAsia="Times New Roman"/>
        </w:rPr>
      </w:pPr>
      <w:r>
        <w:rPr>
          <w:rFonts w:eastAsia="Times New Roman"/>
          <w:color w:val="000000"/>
          <w:sz w:val="20"/>
          <w:szCs w:val="20"/>
        </w:rPr>
        <w:t>______________</w:t>
      </w:r>
    </w:p>
    <w:p w:rsidR="00000000" w:rsidRDefault="005C524C">
      <w:pPr>
        <w:ind w:firstLine="360"/>
        <w:divId w:val="1011033946"/>
        <w:rPr>
          <w:rFonts w:eastAsia="Times New Roman"/>
        </w:rPr>
      </w:pPr>
      <w:r>
        <w:rPr>
          <w:rFonts w:eastAsia="Times New Roman"/>
          <w:color w:val="000000"/>
          <w:sz w:val="18"/>
          <w:szCs w:val="18"/>
        </w:rPr>
        <w:t xml:space="preserve">(1)Reported in </w:t>
      </w:r>
      <w:r>
        <w:rPr>
          <w:rFonts w:eastAsia="Times New Roman"/>
          <w:color w:val="000000"/>
          <w:sz w:val="18"/>
          <w:szCs w:val="18"/>
        </w:rPr>
        <w:t>net derivative gains (losses) in the consolidated statements of income (loss).</w:t>
      </w:r>
    </w:p>
    <w:p w:rsidR="00000000" w:rsidRDefault="005C524C">
      <w:pPr>
        <w:ind w:firstLine="360"/>
        <w:divId w:val="738017344"/>
        <w:rPr>
          <w:rFonts w:eastAsia="Times New Roman"/>
        </w:rPr>
      </w:pPr>
      <w:r>
        <w:rPr>
          <w:rFonts w:eastAsia="Times New Roman"/>
          <w:color w:val="000000"/>
          <w:sz w:val="18"/>
          <w:szCs w:val="18"/>
        </w:rPr>
        <w:t xml:space="preserve">(2)Excludes settlement fees of $45 million on CS Life reinsurance contract for the </w:t>
      </w:r>
      <w:r>
        <w:rPr>
          <w:rFonts w:eastAsia="Times New Roman"/>
          <w:color w:val="000000"/>
          <w:sz w:val="20"/>
          <w:szCs w:val="20"/>
        </w:rPr>
        <w:t>six months ended June 30, 2021</w:t>
      </w:r>
      <w:r>
        <w:rPr>
          <w:rFonts w:eastAsia="Times New Roman"/>
          <w:color w:val="000000"/>
          <w:sz w:val="18"/>
          <w:szCs w:val="18"/>
        </w:rPr>
        <w:t xml:space="preserve">. </w:t>
      </w:r>
    </w:p>
    <w:p w:rsidR="00000000" w:rsidRDefault="005C524C">
      <w:pPr>
        <w:jc w:val="center"/>
        <w:divId w:val="1669094323"/>
        <w:rPr>
          <w:rFonts w:eastAsia="Times New Roman"/>
        </w:rPr>
      </w:pPr>
    </w:p>
    <w:p w:rsidR="00000000" w:rsidRDefault="005C524C">
      <w:pPr>
        <w:jc w:val="center"/>
        <w:divId w:val="1669094323"/>
        <w:rPr>
          <w:rFonts w:eastAsia="Times New Roman"/>
        </w:rPr>
      </w:pPr>
      <w:r>
        <w:rPr>
          <w:rFonts w:eastAsia="Times New Roman"/>
          <w:color w:val="000000"/>
          <w:sz w:val="20"/>
          <w:szCs w:val="20"/>
        </w:rPr>
        <w:t>33</w:t>
      </w:r>
    </w:p>
    <w:p w:rsidR="00000000" w:rsidRDefault="005C524C">
      <w:pPr>
        <w:rPr>
          <w:rFonts w:eastAsia="Times New Roman"/>
        </w:rPr>
      </w:pPr>
      <w:r>
        <w:rPr>
          <w:rFonts w:eastAsia="Times New Roman"/>
        </w:rPr>
        <w:pict>
          <v:rect id="_x0000_i1059" style="width:0;height:1.5pt" o:hralign="center" o:hrstd="t" o:hr="t" fillcolor="#a0a0a0" stroked="f"/>
        </w:pict>
      </w:r>
    </w:p>
    <w:p w:rsidR="00000000" w:rsidRDefault="005C524C">
      <w:pPr>
        <w:divId w:val="1190609137"/>
        <w:rPr>
          <w:rFonts w:eastAsia="Times New Roman"/>
        </w:rPr>
      </w:pPr>
    </w:p>
    <w:p w:rsidR="00000000" w:rsidRDefault="005C524C">
      <w:pPr>
        <w:divId w:val="1364208667"/>
        <w:rPr>
          <w:rFonts w:eastAsia="Times New Roman"/>
        </w:rPr>
      </w:pPr>
      <w:r>
        <w:rPr>
          <w:rFonts w:eastAsia="Times New Roman"/>
          <w:color w:val="000000"/>
          <w:sz w:val="20"/>
          <w:szCs w:val="20"/>
          <w:u w:val="single"/>
        </w:rPr>
        <w:t>The table that follow below present a roll-forward of cash flow hedges recognized in AOCI.</w:t>
      </w:r>
    </w:p>
    <w:p w:rsidR="00000000" w:rsidRDefault="005C524C">
      <w:pPr>
        <w:jc w:val="center"/>
        <w:rPr>
          <w:rFonts w:eastAsia="Times New Roman"/>
        </w:rPr>
      </w:pPr>
      <w:r>
        <w:rPr>
          <w:rFonts w:eastAsia="Times New Roman"/>
          <w:b/>
          <w:bCs/>
          <w:color w:val="000000"/>
          <w:sz w:val="20"/>
          <w:szCs w:val="20"/>
        </w:rPr>
        <w:t>Roll-forward of Cash flow hedges in AOCI</w:t>
      </w:r>
    </w:p>
    <w:p w:rsidR="00000000" w:rsidRDefault="005C524C">
      <w:pPr>
        <w:ind w:firstLine="360"/>
        <w:divId w:val="6682869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195"/>
        <w:gridCol w:w="37"/>
        <w:gridCol w:w="120"/>
        <w:gridCol w:w="694"/>
        <w:gridCol w:w="36"/>
        <w:gridCol w:w="36"/>
        <w:gridCol w:w="36"/>
        <w:gridCol w:w="36"/>
        <w:gridCol w:w="120"/>
        <w:gridCol w:w="694"/>
        <w:gridCol w:w="36"/>
        <w:gridCol w:w="36"/>
        <w:gridCol w:w="36"/>
        <w:gridCol w:w="36"/>
        <w:gridCol w:w="120"/>
        <w:gridCol w:w="717"/>
        <w:gridCol w:w="36"/>
        <w:gridCol w:w="36"/>
        <w:gridCol w:w="36"/>
        <w:gridCol w:w="36"/>
        <w:gridCol w:w="120"/>
        <w:gridCol w:w="767"/>
        <w:gridCol w:w="36"/>
        <w:gridCol w:w="36"/>
        <w:gridCol w:w="36"/>
        <w:gridCol w:w="36"/>
        <w:gridCol w:w="36"/>
        <w:gridCol w:w="36"/>
        <w:gridCol w:w="36"/>
      </w:tblGrid>
      <w:tr w:rsidR="00000000">
        <w:trPr>
          <w:divId w:val="1333414033"/>
        </w:trPr>
        <w:tc>
          <w:tcPr>
            <w:tcW w:w="50" w:type="pct"/>
            <w:vAlign w:val="center"/>
            <w:hideMark/>
          </w:tcPr>
          <w:p w:rsidR="00000000" w:rsidRDefault="005C524C">
            <w:pPr>
              <w:ind w:firstLine="360"/>
              <w:rPr>
                <w:rFonts w:eastAsia="Times New Roman"/>
              </w:rPr>
            </w:pPr>
          </w:p>
        </w:tc>
        <w:tc>
          <w:tcPr>
            <w:tcW w:w="26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 xml:space="preserve">Balance, beginning of period </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 recorded in AOCI</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amount recorded in AOCI</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 reclassified from AOCI to income</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Currency 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amount reclassified from AOCI to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3341403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2075005835"/>
        <w:rPr>
          <w:rFonts w:eastAsia="Times New Roman"/>
        </w:rPr>
      </w:pPr>
      <w:r>
        <w:rPr>
          <w:rFonts w:eastAsia="Times New Roman"/>
          <w:color w:val="000000"/>
          <w:sz w:val="18"/>
          <w:szCs w:val="18"/>
        </w:rPr>
        <w:t>_______________</w:t>
      </w:r>
    </w:p>
    <w:p w:rsidR="00000000" w:rsidRDefault="005C524C">
      <w:pPr>
        <w:ind w:hanging="360"/>
        <w:divId w:val="1430925126"/>
        <w:rPr>
          <w:rFonts w:eastAsia="Times New Roman"/>
        </w:rPr>
      </w:pPr>
      <w:r>
        <w:rPr>
          <w:rFonts w:eastAsia="Times New Roman"/>
          <w:color w:val="000000"/>
          <w:sz w:val="18"/>
          <w:szCs w:val="18"/>
        </w:rPr>
        <w:t>(1) The Company does not estimate the amount of the deferred losses in AOCI at three and six months ended June 30, 2022 and 2021 which will be released and reclassified into Net income (loss) over the next 12 months as the amounts cannot be reasonably esti</w:t>
      </w:r>
      <w:r>
        <w:rPr>
          <w:rFonts w:eastAsia="Times New Roman"/>
          <w:color w:val="000000"/>
          <w:sz w:val="18"/>
          <w:szCs w:val="18"/>
        </w:rPr>
        <w:t>mated.</w:t>
      </w:r>
    </w:p>
    <w:p w:rsidR="00000000" w:rsidRDefault="005C524C">
      <w:pPr>
        <w:divId w:val="799152521"/>
        <w:rPr>
          <w:rFonts w:eastAsia="Times New Roman"/>
        </w:rPr>
      </w:pPr>
      <w:r>
        <w:rPr>
          <w:rFonts w:eastAsia="Times New Roman"/>
          <w:color w:val="000000"/>
          <w:sz w:val="20"/>
          <w:szCs w:val="20"/>
          <w:u w:val="single"/>
        </w:rPr>
        <w:t>Equity-Based and Treasury Futures Contracts Margin</w:t>
      </w:r>
    </w:p>
    <w:p w:rsidR="00000000" w:rsidRDefault="005C524C">
      <w:pPr>
        <w:divId w:val="924724563"/>
        <w:rPr>
          <w:rFonts w:eastAsia="Times New Roman"/>
        </w:rPr>
      </w:pPr>
      <w:r>
        <w:rPr>
          <w:rFonts w:eastAsia="Times New Roman"/>
          <w:color w:val="000000"/>
          <w:sz w:val="20"/>
          <w:szCs w:val="20"/>
        </w:rPr>
        <w:t>All outstanding equity-based and treasury futures contracts as of June 30, 2022 and December 31, 2021 are exchange-traded and net settled daily in cash. As of June 30, 2022 and December 31, 2021, re</w:t>
      </w:r>
      <w:r>
        <w:rPr>
          <w:rFonts w:eastAsia="Times New Roman"/>
          <w:color w:val="000000"/>
          <w:sz w:val="20"/>
          <w:szCs w:val="20"/>
        </w:rPr>
        <w:t>spectively, the Company had open exchange-traded futures positions on: (i) the S&amp;P 500, Nasdaq, Russell 2000 and Emerging Market indices, having initial margin requirements of $207 million and $109 million, (ii) the 2-year, 5-year and 10-year U.S. Treasury</w:t>
      </w:r>
      <w:r>
        <w:rPr>
          <w:rFonts w:eastAsia="Times New Roman"/>
          <w:color w:val="000000"/>
          <w:sz w:val="20"/>
          <w:szCs w:val="20"/>
        </w:rPr>
        <w:t xml:space="preserve"> Notes on U.S. Treasury bonds and ultra-long bonds, having initial margin requirements of $172 million and $200 million, and (iii) the Euro Stoxx, FTSE 100, Topix, ASX 200 and EAFE indices as well as corresponding currency futures on the Euro/U.S. dollar, </w:t>
      </w:r>
      <w:r>
        <w:rPr>
          <w:rFonts w:eastAsia="Times New Roman"/>
          <w:color w:val="000000"/>
          <w:sz w:val="20"/>
          <w:szCs w:val="20"/>
        </w:rPr>
        <w:t>Pound/U.S. dollar, Australian dollar/U.S. dollar, and Yen/U.S. dollar, having initial margin requirements of $15 million and $16 million.</w:t>
      </w:r>
    </w:p>
    <w:p w:rsidR="00000000" w:rsidRDefault="005C524C">
      <w:pPr>
        <w:divId w:val="1485046629"/>
        <w:rPr>
          <w:rFonts w:eastAsia="Times New Roman"/>
        </w:rPr>
      </w:pPr>
      <w:r>
        <w:rPr>
          <w:rFonts w:eastAsia="Times New Roman"/>
          <w:color w:val="000000"/>
          <w:sz w:val="20"/>
          <w:szCs w:val="20"/>
          <w:u w:val="single"/>
        </w:rPr>
        <w:t>Collateral Arrangements</w:t>
      </w:r>
    </w:p>
    <w:p w:rsidR="00000000" w:rsidRDefault="005C524C">
      <w:pPr>
        <w:divId w:val="922107434"/>
        <w:rPr>
          <w:rFonts w:eastAsia="Times New Roman"/>
        </w:rPr>
      </w:pPr>
      <w:r>
        <w:rPr>
          <w:rFonts w:eastAsia="Times New Roman"/>
          <w:color w:val="000000"/>
          <w:sz w:val="20"/>
          <w:szCs w:val="20"/>
        </w:rPr>
        <w:t>The Company generally has executed a CSA under the ISDA Master Agreement it maintains with eac</w:t>
      </w:r>
      <w:r>
        <w:rPr>
          <w:rFonts w:eastAsia="Times New Roman"/>
          <w:color w:val="000000"/>
          <w:sz w:val="20"/>
          <w:szCs w:val="20"/>
        </w:rPr>
        <w:t>h of its OTC derivative counterparties that requires both posting and accepting collateral either in the form of cash or high-quality securities, such as U.S. Treasury securities, U.S. government and government agency securities and investment grade corpor</w:t>
      </w:r>
      <w:r>
        <w:rPr>
          <w:rFonts w:eastAsia="Times New Roman"/>
          <w:color w:val="000000"/>
          <w:sz w:val="20"/>
          <w:szCs w:val="20"/>
        </w:rPr>
        <w:t>ate bonds. The Company nets the fair value of all derivative financial instruments with counterparties for which an ISDA Master Agreement and related CSA have been executed. As of June 30, 2022 and December 31, 2021, respectively, the Company held $3.7 bil</w:t>
      </w:r>
      <w:r>
        <w:rPr>
          <w:rFonts w:eastAsia="Times New Roman"/>
          <w:color w:val="000000"/>
          <w:sz w:val="20"/>
          <w:szCs w:val="20"/>
        </w:rPr>
        <w:t>lion and $6.2 billion in cash and securities collateral delivered by trade counterparties, representing the fair value of the related derivative agreements. The unrestricted cash collateral is reported in other invested assets. The Company posted collatera</w:t>
      </w:r>
      <w:r>
        <w:rPr>
          <w:rFonts w:eastAsia="Times New Roman"/>
          <w:color w:val="000000"/>
          <w:sz w:val="20"/>
          <w:szCs w:val="20"/>
        </w:rPr>
        <w:t>l of $138 million and $178 million as of June 30, 2022 and December 31, 2021, respectively, in the normal operation of its collateral arrangements. The Company is exposed to losses in the event of non-performance by counterparties to financial derivative t</w:t>
      </w:r>
      <w:r>
        <w:rPr>
          <w:rFonts w:eastAsia="Times New Roman"/>
          <w:color w:val="000000"/>
          <w:sz w:val="20"/>
          <w:szCs w:val="20"/>
        </w:rPr>
        <w:t xml:space="preserve">ransactions with a positive fair value. The Company manages credit risk by: (i) entering into derivative transactions with highly rated major international financial institutions and other creditworthy counterparties governed by master netting agreements, </w:t>
      </w:r>
      <w:r>
        <w:rPr>
          <w:rFonts w:eastAsia="Times New Roman"/>
          <w:color w:val="000000"/>
          <w:sz w:val="20"/>
          <w:szCs w:val="20"/>
        </w:rPr>
        <w:t>as applicable; (ii) trading through central clearing and OTC parties; (iii) obtaining collateral, such as cash and securities, when appropriate; and (iv) setting limits on single party credit exposures which are subject to periodic management review.</w:t>
      </w:r>
    </w:p>
    <w:p w:rsidR="00000000" w:rsidRDefault="005C524C">
      <w:pPr>
        <w:divId w:val="1696692690"/>
        <w:rPr>
          <w:rFonts w:eastAsia="Times New Roman"/>
        </w:rPr>
      </w:pPr>
      <w:r>
        <w:rPr>
          <w:rFonts w:eastAsia="Times New Roman"/>
          <w:color w:val="000000"/>
          <w:sz w:val="20"/>
          <w:szCs w:val="20"/>
        </w:rPr>
        <w:t>Substantially all of the Company’s derivative agreements have zero thresholds which require daily full collateralization by the party in a liability position. In addition, certain of the Company’s derivative agreements contain credit-risk related contingen</w:t>
      </w:r>
      <w:r>
        <w:rPr>
          <w:rFonts w:eastAsia="Times New Roman"/>
          <w:color w:val="000000"/>
          <w:sz w:val="20"/>
          <w:szCs w:val="20"/>
        </w:rPr>
        <w:t>t features; if the credit rating of one of the parties to the derivative agreement is to fall below a certain level, the party with positive fair value could request termination at the then fair value or demand immediate full collateralization from the par</w:t>
      </w:r>
      <w:r>
        <w:rPr>
          <w:rFonts w:eastAsia="Times New Roman"/>
          <w:color w:val="000000"/>
          <w:sz w:val="20"/>
          <w:szCs w:val="20"/>
        </w:rPr>
        <w:t>ty whose credit rating fell and is in a net liability position.</w:t>
      </w:r>
    </w:p>
    <w:p w:rsidR="00000000" w:rsidRDefault="005C524C">
      <w:pPr>
        <w:jc w:val="center"/>
        <w:divId w:val="173805729"/>
        <w:rPr>
          <w:rFonts w:eastAsia="Times New Roman"/>
        </w:rPr>
      </w:pPr>
    </w:p>
    <w:p w:rsidR="00000000" w:rsidRDefault="005C524C">
      <w:pPr>
        <w:jc w:val="center"/>
        <w:divId w:val="173805729"/>
        <w:rPr>
          <w:rFonts w:eastAsia="Times New Roman"/>
        </w:rPr>
      </w:pPr>
      <w:r>
        <w:rPr>
          <w:rFonts w:eastAsia="Times New Roman"/>
          <w:color w:val="000000"/>
          <w:sz w:val="20"/>
          <w:szCs w:val="20"/>
        </w:rPr>
        <w:t>34</w:t>
      </w:r>
    </w:p>
    <w:p w:rsidR="00000000" w:rsidRDefault="005C524C">
      <w:pPr>
        <w:rPr>
          <w:rFonts w:eastAsia="Times New Roman"/>
        </w:rPr>
      </w:pPr>
      <w:r>
        <w:rPr>
          <w:rFonts w:eastAsia="Times New Roman"/>
        </w:rPr>
        <w:pict>
          <v:rect id="_x0000_i1060" style="width:0;height:1.5pt" o:hralign="center" o:hrstd="t" o:hr="t" fillcolor="#a0a0a0" stroked="f"/>
        </w:pict>
      </w:r>
    </w:p>
    <w:p w:rsidR="00000000" w:rsidRDefault="005C524C">
      <w:pPr>
        <w:divId w:val="7563583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023213943"/>
        <w:rPr>
          <w:rFonts w:eastAsia="Times New Roman"/>
        </w:rPr>
      </w:pPr>
      <w:r>
        <w:rPr>
          <w:rFonts w:eastAsia="Times New Roman"/>
          <w:b/>
          <w:bCs/>
          <w:color w:val="000000"/>
          <w:sz w:val="20"/>
          <w:szCs w:val="20"/>
        </w:rPr>
        <w:t>EQUITABLE HOLDINGS, INC.</w:t>
      </w:r>
    </w:p>
    <w:p w:rsidR="00000000" w:rsidRDefault="005C524C">
      <w:pPr>
        <w:jc w:val="center"/>
        <w:divId w:val="1023213943"/>
        <w:rPr>
          <w:rFonts w:eastAsia="Times New Roman"/>
        </w:rPr>
      </w:pPr>
      <w:r>
        <w:rPr>
          <w:rFonts w:eastAsia="Times New Roman"/>
          <w:b/>
          <w:bCs/>
          <w:color w:val="000000"/>
          <w:sz w:val="20"/>
          <w:szCs w:val="20"/>
        </w:rPr>
        <w:t>Notes to Consolidated Financial Statements (Unau</w:t>
      </w:r>
      <w:r>
        <w:rPr>
          <w:rFonts w:eastAsia="Times New Roman"/>
          <w:b/>
          <w:bCs/>
          <w:color w:val="000000"/>
          <w:sz w:val="20"/>
          <w:szCs w:val="20"/>
        </w:rPr>
        <w:t>dited), Continued</w:t>
      </w:r>
    </w:p>
    <w:p w:rsidR="00000000" w:rsidRDefault="005C524C">
      <w:pPr>
        <w:jc w:val="center"/>
        <w:divId w:val="1023213943"/>
        <w:rPr>
          <w:rFonts w:eastAsia="Times New Roman"/>
        </w:rPr>
      </w:pPr>
    </w:p>
    <w:p w:rsidR="00000000" w:rsidRDefault="005C524C">
      <w:pPr>
        <w:divId w:val="1195384054"/>
        <w:rPr>
          <w:rFonts w:eastAsia="Times New Roman"/>
        </w:rPr>
      </w:pPr>
      <w:r>
        <w:rPr>
          <w:rFonts w:eastAsia="Times New Roman"/>
          <w:color w:val="000000"/>
          <w:sz w:val="20"/>
          <w:szCs w:val="20"/>
        </w:rPr>
        <w:t>As of June 30, 2022 and December 31, 2021, there were no net liability derivative positions with counterparties with credit risk-related contingent features whose credit rating has fallen. All derivatives have been appropriately collate</w:t>
      </w:r>
      <w:r>
        <w:rPr>
          <w:rFonts w:eastAsia="Times New Roman"/>
          <w:color w:val="000000"/>
          <w:sz w:val="20"/>
          <w:szCs w:val="20"/>
        </w:rPr>
        <w:t>ralized by the Company or the counterparty in accordance with the terms of the derivative agreements.</w:t>
      </w:r>
    </w:p>
    <w:p w:rsidR="00000000" w:rsidRDefault="005C524C">
      <w:pPr>
        <w:divId w:val="530654988"/>
        <w:rPr>
          <w:rFonts w:eastAsia="Times New Roman"/>
        </w:rPr>
      </w:pPr>
      <w:r>
        <w:rPr>
          <w:rFonts w:eastAsia="Times New Roman"/>
          <w:color w:val="000000"/>
          <w:sz w:val="20"/>
          <w:szCs w:val="20"/>
        </w:rPr>
        <w:t>The following tables presents information about the Company’s offsetting of financial assets and liabilities and derivative instruments as of June 30, 202</w:t>
      </w:r>
      <w:r>
        <w:rPr>
          <w:rFonts w:eastAsia="Times New Roman"/>
          <w:color w:val="000000"/>
          <w:sz w:val="20"/>
          <w:szCs w:val="20"/>
        </w:rPr>
        <w:t>2 and December 31, 2021:</w:t>
      </w:r>
    </w:p>
    <w:p w:rsidR="00000000" w:rsidRDefault="005C524C">
      <w:pPr>
        <w:divId w:val="460466944"/>
        <w:rPr>
          <w:rFonts w:eastAsia="Times New Roman"/>
        </w:rPr>
      </w:pPr>
    </w:p>
    <w:p w:rsidR="00000000" w:rsidRDefault="005C524C">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5C524C">
      <w:pPr>
        <w:jc w:val="center"/>
        <w:rPr>
          <w:rFonts w:eastAsia="Times New Roman"/>
        </w:rPr>
      </w:pPr>
      <w:r>
        <w:rPr>
          <w:rFonts w:eastAsia="Times New Roman"/>
          <w:b/>
          <w:bCs/>
          <w:color w:val="000000"/>
          <w:sz w:val="20"/>
          <w:szCs w:val="20"/>
        </w:rPr>
        <w:t xml:space="preserve">As of June 30, 2022 </w:t>
      </w:r>
    </w:p>
    <w:p w:rsidR="00000000" w:rsidRDefault="005C524C">
      <w:pPr>
        <w:divId w:val="68566828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207451460"/>
        </w:trPr>
        <w:tc>
          <w:tcPr>
            <w:tcW w:w="50" w:type="pct"/>
            <w:vAlign w:val="center"/>
            <w:hideMark/>
          </w:tcPr>
          <w:p w:rsidR="00000000" w:rsidRDefault="005C524C">
            <w:pPr>
              <w:rPr>
                <w:rFonts w:eastAsia="Times New Roman"/>
              </w:rPr>
            </w:pPr>
          </w:p>
        </w:tc>
        <w:tc>
          <w:tcPr>
            <w:tcW w:w="166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0745146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w:t>
            </w:r>
            <w:r>
              <w:rPr>
                <w:rFonts w:eastAsia="Times New Roman"/>
                <w:b/>
                <w:bCs/>
                <w:color w:val="000000"/>
                <w:sz w:val="16"/>
                <w:szCs w:val="16"/>
              </w:rPr>
              <w:t>Amount Presented in the Balance Sheets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Amount</w:t>
            </w:r>
          </w:p>
        </w:tc>
      </w:tr>
      <w:tr w:rsidR="00000000">
        <w:trPr>
          <w:divId w:val="20745146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20745146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0745146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745146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7451460"/>
        </w:trPr>
        <w:tc>
          <w:tcPr>
            <w:tcW w:w="0" w:type="auto"/>
            <w:gridSpan w:val="3"/>
            <w:shd w:val="clear" w:color="auto" w:fill="CCEE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8,985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7451460"/>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0745146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0745146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745146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07451460"/>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11,691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6,825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4,866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4,866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1486169514"/>
        <w:rPr>
          <w:rFonts w:eastAsia="Times New Roman"/>
        </w:rPr>
      </w:pPr>
      <w:r>
        <w:rPr>
          <w:rFonts w:eastAsia="Times New Roman"/>
          <w:color w:val="000000"/>
          <w:sz w:val="18"/>
          <w:szCs w:val="18"/>
        </w:rPr>
        <w:t>______________</w:t>
      </w:r>
    </w:p>
    <w:p w:rsidR="00000000" w:rsidRDefault="005C524C">
      <w:pPr>
        <w:ind w:hanging="360"/>
        <w:divId w:val="89784381"/>
        <w:rPr>
          <w:rFonts w:eastAsia="Times New Roman"/>
        </w:rPr>
      </w:pPr>
      <w:r>
        <w:rPr>
          <w:rFonts w:eastAsia="Times New Roman"/>
          <w:color w:val="000000"/>
          <w:sz w:val="18"/>
          <w:szCs w:val="18"/>
        </w:rPr>
        <w:t>(1)Excludes Investment Management and Research segment’s derivative assets of consolidated VIEs/VOEs.</w:t>
      </w:r>
    </w:p>
    <w:p w:rsidR="00000000" w:rsidRDefault="005C524C">
      <w:pPr>
        <w:ind w:hanging="360"/>
        <w:divId w:val="495729499"/>
        <w:rPr>
          <w:rFonts w:eastAsia="Times New Roman"/>
        </w:rPr>
      </w:pPr>
      <w:r>
        <w:rPr>
          <w:rFonts w:eastAsia="Times New Roman"/>
          <w:color w:val="000000"/>
          <w:sz w:val="18"/>
          <w:szCs w:val="18"/>
        </w:rPr>
        <w:t>(2)Excludes Investment Management and Research segment’s derivative liabili</w:t>
      </w:r>
      <w:r>
        <w:rPr>
          <w:rFonts w:eastAsia="Times New Roman"/>
          <w:color w:val="000000"/>
          <w:sz w:val="18"/>
          <w:szCs w:val="18"/>
        </w:rPr>
        <w:t>ties of consolidated VIEs/VOEs.</w:t>
      </w:r>
    </w:p>
    <w:p w:rsidR="00000000" w:rsidRDefault="005C524C">
      <w:pPr>
        <w:ind w:hanging="360"/>
        <w:divId w:val="972830159"/>
        <w:rPr>
          <w:rFonts w:eastAsia="Times New Roman"/>
        </w:rPr>
      </w:pPr>
      <w:r>
        <w:rPr>
          <w:rFonts w:eastAsia="Times New Roman"/>
          <w:color w:val="000000"/>
          <w:sz w:val="18"/>
          <w:szCs w:val="18"/>
        </w:rPr>
        <w:t xml:space="preserve">(3)Financial instruments sent (held). </w:t>
      </w:r>
    </w:p>
    <w:p w:rsidR="00000000" w:rsidRDefault="005C524C">
      <w:pPr>
        <w:jc w:val="center"/>
        <w:rPr>
          <w:rFonts w:eastAsia="Times New Roman"/>
        </w:rPr>
      </w:pPr>
      <w:r>
        <w:rPr>
          <w:rFonts w:eastAsia="Times New Roman"/>
          <w:color w:val="000000"/>
          <w:sz w:val="20"/>
          <w:szCs w:val="20"/>
        </w:rPr>
        <w:t>As of December 31, 2021</w:t>
      </w:r>
    </w:p>
    <w:p w:rsidR="00000000" w:rsidRDefault="005C524C">
      <w:pPr>
        <w:divId w:val="183625932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trPr>
          <w:jc w:val="center"/>
        </w:trPr>
        <w:tc>
          <w:tcPr>
            <w:tcW w:w="50" w:type="pct"/>
            <w:vAlign w:val="center"/>
            <w:hideMark/>
          </w:tcPr>
          <w:p w:rsidR="00000000" w:rsidRDefault="005C524C">
            <w:pPr>
              <w:rPr>
                <w:rFonts w:eastAsia="Times New Roman"/>
              </w:rPr>
            </w:pPr>
          </w:p>
        </w:tc>
        <w:tc>
          <w:tcPr>
            <w:tcW w:w="164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12,358 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10,756 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1,602 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(961)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14,347 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10,770 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10,756 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14,689 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bl>
    <w:p w:rsidR="00000000" w:rsidRDefault="005C524C">
      <w:pPr>
        <w:ind w:hanging="360"/>
        <w:divId w:val="142889822"/>
        <w:rPr>
          <w:rFonts w:eastAsia="Times New Roman"/>
        </w:rPr>
      </w:pPr>
      <w:r>
        <w:rPr>
          <w:rFonts w:eastAsia="Times New Roman"/>
          <w:color w:val="000000"/>
          <w:sz w:val="18"/>
          <w:szCs w:val="18"/>
        </w:rPr>
        <w:t>______________</w:t>
      </w:r>
    </w:p>
    <w:p w:rsidR="00000000" w:rsidRDefault="005C524C">
      <w:pPr>
        <w:ind w:hanging="360"/>
        <w:divId w:val="1753047682"/>
        <w:rPr>
          <w:rFonts w:eastAsia="Times New Roman"/>
        </w:rPr>
      </w:pPr>
      <w:r>
        <w:rPr>
          <w:rFonts w:eastAsia="Times New Roman"/>
          <w:color w:val="000000"/>
          <w:sz w:val="18"/>
          <w:szCs w:val="18"/>
        </w:rPr>
        <w:t>(1)Excludes Investment Management and Research segment’s derivative assets of consolidated VIEs/VOEs.</w:t>
      </w:r>
    </w:p>
    <w:p w:rsidR="00000000" w:rsidRDefault="005C524C">
      <w:pPr>
        <w:ind w:hanging="360"/>
        <w:divId w:val="826628892"/>
        <w:rPr>
          <w:rFonts w:eastAsia="Times New Roman"/>
        </w:rPr>
      </w:pPr>
      <w:r>
        <w:rPr>
          <w:rFonts w:eastAsia="Times New Roman"/>
          <w:color w:val="000000"/>
          <w:sz w:val="18"/>
          <w:szCs w:val="18"/>
        </w:rPr>
        <w:t>(2)Excludes Investment Management and Rese</w:t>
      </w:r>
      <w:r>
        <w:rPr>
          <w:rFonts w:eastAsia="Times New Roman"/>
          <w:color w:val="000000"/>
          <w:sz w:val="18"/>
          <w:szCs w:val="18"/>
        </w:rPr>
        <w:t>arch segment’s derivative liabilities of consolidated VIEs/VOEs.</w:t>
      </w:r>
    </w:p>
    <w:p w:rsidR="00000000" w:rsidRDefault="005C524C">
      <w:pPr>
        <w:ind w:hanging="360"/>
        <w:divId w:val="1917595917"/>
        <w:rPr>
          <w:rFonts w:eastAsia="Times New Roman"/>
        </w:rPr>
      </w:pPr>
      <w:r>
        <w:rPr>
          <w:rFonts w:eastAsia="Times New Roman"/>
          <w:color w:val="000000"/>
          <w:sz w:val="18"/>
          <w:szCs w:val="18"/>
        </w:rPr>
        <w:t>(3)Financial instruments sent (held).</w:t>
      </w:r>
    </w:p>
    <w:p w:rsidR="00000000" w:rsidRDefault="005C524C">
      <w:pPr>
        <w:divId w:val="1607427596"/>
        <w:rPr>
          <w:rFonts w:eastAsia="Times New Roman"/>
        </w:rPr>
      </w:pPr>
      <w:r>
        <w:rPr>
          <w:rFonts w:eastAsia="Times New Roman"/>
          <w:b/>
          <w:bCs/>
          <w:color w:val="000000"/>
          <w:sz w:val="20"/>
          <w:szCs w:val="20"/>
        </w:rPr>
        <w:t>5)    CLOSED BLOCK</w:t>
      </w:r>
    </w:p>
    <w:p w:rsidR="00000000" w:rsidRDefault="005C524C">
      <w:pPr>
        <w:divId w:val="1840846353"/>
        <w:rPr>
          <w:rFonts w:eastAsia="Times New Roman"/>
        </w:rPr>
      </w:pPr>
      <w:r>
        <w:rPr>
          <w:rFonts w:eastAsia="Times New Roman"/>
          <w:color w:val="000000"/>
          <w:sz w:val="20"/>
          <w:szCs w:val="20"/>
        </w:rPr>
        <w:t>As a result of demutualization, the Company’s Closed Block was established in 1992 for the benefit of certain individual participating</w:t>
      </w:r>
      <w:r>
        <w:rPr>
          <w:rFonts w:eastAsia="Times New Roman"/>
          <w:color w:val="000000"/>
          <w:sz w:val="20"/>
          <w:szCs w:val="20"/>
        </w:rPr>
        <w:t xml:space="preserve"> policies that were in force on that date. Assets, liabilities and earnings of the Closed Block are specifically identified to support its participating policyholders.</w:t>
      </w:r>
    </w:p>
    <w:p w:rsidR="00000000" w:rsidRDefault="005C524C">
      <w:pPr>
        <w:divId w:val="164830050"/>
        <w:rPr>
          <w:rFonts w:eastAsia="Times New Roman"/>
        </w:rPr>
      </w:pPr>
      <w:r>
        <w:rPr>
          <w:rFonts w:eastAsia="Times New Roman"/>
          <w:color w:val="000000"/>
          <w:sz w:val="20"/>
          <w:szCs w:val="20"/>
        </w:rPr>
        <w:t xml:space="preserve">Assets allocated to the Closed Block inure solely to the benefit of the Closed Block policyholders and will not revert to the benefit of the Company. No reallocation, transfer, borrowing or lending of assets can be made between the Closed </w:t>
      </w:r>
    </w:p>
    <w:p w:rsidR="00000000" w:rsidRDefault="005C524C">
      <w:pPr>
        <w:jc w:val="center"/>
        <w:divId w:val="224226167"/>
        <w:rPr>
          <w:rFonts w:eastAsia="Times New Roman"/>
        </w:rPr>
      </w:pPr>
    </w:p>
    <w:p w:rsidR="00000000" w:rsidRDefault="005C524C">
      <w:pPr>
        <w:jc w:val="center"/>
        <w:divId w:val="224226167"/>
        <w:rPr>
          <w:rFonts w:eastAsia="Times New Roman"/>
        </w:rPr>
      </w:pPr>
      <w:r>
        <w:rPr>
          <w:rFonts w:eastAsia="Times New Roman"/>
          <w:color w:val="000000"/>
          <w:sz w:val="20"/>
          <w:szCs w:val="20"/>
        </w:rPr>
        <w:t>35</w:t>
      </w:r>
    </w:p>
    <w:p w:rsidR="00000000" w:rsidRDefault="005C524C">
      <w:pPr>
        <w:rPr>
          <w:rFonts w:eastAsia="Times New Roman"/>
        </w:rPr>
      </w:pPr>
      <w:r>
        <w:rPr>
          <w:rFonts w:eastAsia="Times New Roman"/>
        </w:rPr>
        <w:pict>
          <v:rect id="_x0000_i1061" style="width:0;height:1.5pt" o:hralign="center" o:hrstd="t" o:hr="t" fillcolor="#a0a0a0" stroked="f"/>
        </w:pict>
      </w:r>
    </w:p>
    <w:p w:rsidR="00000000" w:rsidRDefault="005C524C">
      <w:pPr>
        <w:divId w:val="190783358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740204228"/>
        <w:rPr>
          <w:rFonts w:eastAsia="Times New Roman"/>
        </w:rPr>
      </w:pPr>
      <w:r>
        <w:rPr>
          <w:rFonts w:eastAsia="Times New Roman"/>
          <w:b/>
          <w:bCs/>
          <w:color w:val="000000"/>
          <w:sz w:val="20"/>
          <w:szCs w:val="20"/>
        </w:rPr>
        <w:t>EQUITABLE HOLDINGS, INC.</w:t>
      </w:r>
    </w:p>
    <w:p w:rsidR="00000000" w:rsidRDefault="005C524C">
      <w:pPr>
        <w:jc w:val="center"/>
        <w:divId w:val="174020422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740204228"/>
        <w:rPr>
          <w:rFonts w:eastAsia="Times New Roman"/>
        </w:rPr>
      </w:pPr>
    </w:p>
    <w:p w:rsidR="00000000" w:rsidRDefault="005C524C">
      <w:pPr>
        <w:divId w:val="1617175969"/>
        <w:rPr>
          <w:rFonts w:eastAsia="Times New Roman"/>
        </w:rPr>
      </w:pPr>
      <w:r>
        <w:rPr>
          <w:rFonts w:eastAsia="Times New Roman"/>
          <w:color w:val="000000"/>
          <w:sz w:val="20"/>
          <w:szCs w:val="20"/>
        </w:rPr>
        <w:t>Block and other portions of the Company’s General Account, any of its Separate Accounts or any affiliate of the Company without the approval of the New York State Department of Financial Services (the “NYDFS”). Closed Block assets and liabilities are carri</w:t>
      </w:r>
      <w:r>
        <w:rPr>
          <w:rFonts w:eastAsia="Times New Roman"/>
          <w:color w:val="000000"/>
          <w:sz w:val="20"/>
          <w:szCs w:val="20"/>
        </w:rPr>
        <w:t>ed on the same basis as similar assets and liabilities held in the General Account. For more information on the Closed Block, see Note 6 to the Company’s consolidated financial statements included in the Annual Report on Form 10-K for the year ended Decemb</w:t>
      </w:r>
      <w:r>
        <w:rPr>
          <w:rFonts w:eastAsia="Times New Roman"/>
          <w:color w:val="000000"/>
          <w:sz w:val="20"/>
          <w:szCs w:val="20"/>
        </w:rPr>
        <w:t>er 31, 2021.</w:t>
      </w:r>
    </w:p>
    <w:p w:rsidR="00000000" w:rsidRDefault="005C524C">
      <w:pPr>
        <w:divId w:val="733164312"/>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7"/>
        <w:gridCol w:w="37"/>
        <w:gridCol w:w="120"/>
        <w:gridCol w:w="886"/>
        <w:gridCol w:w="36"/>
        <w:gridCol w:w="36"/>
        <w:gridCol w:w="36"/>
        <w:gridCol w:w="36"/>
        <w:gridCol w:w="121"/>
        <w:gridCol w:w="935"/>
        <w:gridCol w:w="36"/>
      </w:tblGrid>
      <w:tr w:rsidR="00000000">
        <w:trPr>
          <w:divId w:val="646282452"/>
        </w:trPr>
        <w:tc>
          <w:tcPr>
            <w:tcW w:w="50" w:type="pct"/>
            <w:vAlign w:val="center"/>
            <w:hideMark/>
          </w:tcPr>
          <w:p w:rsidR="00000000" w:rsidRDefault="005C524C">
            <w:pPr>
              <w:rPr>
                <w:rFonts w:eastAsia="Times New Roman"/>
              </w:rPr>
            </w:pPr>
          </w:p>
        </w:tc>
        <w:tc>
          <w:tcPr>
            <w:tcW w:w="362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divId w:val="64628245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64628245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5,872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1141382201"/>
              <w:rPr>
                <w:rFonts w:eastAsia="Times New Roman"/>
              </w:rPr>
            </w:pPr>
            <w:r>
              <w:rPr>
                <w:rFonts w:eastAsia="Times New Roman"/>
                <w:color w:val="000000"/>
                <w:sz w:val="20"/>
                <w:szCs w:val="20"/>
              </w:rPr>
              <w:t>Fixed maturities AFS, at fair value (amortized cost of $3,189 and $3,185) (allowance for credit losses of $0 and $0)</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433553462"/>
              <w:rPr>
                <w:rFonts w:eastAsia="Times New Roman"/>
              </w:rPr>
            </w:pPr>
            <w:r>
              <w:rPr>
                <w:rFonts w:eastAsia="Times New Roman"/>
                <w:color w:val="000000"/>
                <w:sz w:val="20"/>
                <w:szCs w:val="20"/>
              </w:rPr>
              <w:t>Mortgage loans on real estate (net of allowance for credit losses of $3 and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1,771 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4628245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649362198"/>
              <w:rPr>
                <w:rFonts w:eastAsia="Times New Roman"/>
              </w:rPr>
            </w:pPr>
            <w:r>
              <w:rPr>
                <w:rFonts w:eastAsia="Times New Roman"/>
                <w:color w:val="000000"/>
                <w:sz w:val="20"/>
                <w:szCs w:val="20"/>
              </w:rPr>
              <w:t>Net unrealized investment gains (losses), net of policyholders’ dividend obligation: $0 and $0; and net of income tax: $28 and $(43)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4628245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1857883355"/>
        <w:rPr>
          <w:rFonts w:eastAsia="Times New Roman"/>
        </w:rPr>
      </w:pPr>
    </w:p>
    <w:p w:rsidR="00000000" w:rsidRDefault="005C524C">
      <w:pPr>
        <w:divId w:val="691298976"/>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203"/>
        <w:gridCol w:w="39"/>
        <w:gridCol w:w="120"/>
        <w:gridCol w:w="683"/>
        <w:gridCol w:w="36"/>
        <w:gridCol w:w="36"/>
        <w:gridCol w:w="36"/>
        <w:gridCol w:w="36"/>
        <w:gridCol w:w="120"/>
        <w:gridCol w:w="683"/>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890969226"/>
        </w:trPr>
        <w:tc>
          <w:tcPr>
            <w:tcW w:w="50" w:type="pct"/>
            <w:vAlign w:val="center"/>
            <w:hideMark/>
          </w:tcPr>
          <w:p w:rsidR="00000000" w:rsidRDefault="005C524C">
            <w:pPr>
              <w:rPr>
                <w:rFonts w:eastAsia="Times New Roman"/>
              </w:rPr>
            </w:pPr>
          </w:p>
        </w:tc>
        <w:tc>
          <w:tcPr>
            <w:tcW w:w="26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Premiums and other income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Policyholders’ benefits and dividends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8909692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Net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2085448530"/>
        <w:rPr>
          <w:rFonts w:eastAsia="Times New Roman"/>
        </w:rPr>
      </w:pPr>
    </w:p>
    <w:p w:rsidR="00000000" w:rsidRDefault="005C524C">
      <w:pPr>
        <w:jc w:val="center"/>
        <w:divId w:val="1042632111"/>
        <w:rPr>
          <w:rFonts w:eastAsia="Times New Roman"/>
        </w:rPr>
      </w:pPr>
    </w:p>
    <w:p w:rsidR="00000000" w:rsidRDefault="005C524C">
      <w:pPr>
        <w:jc w:val="center"/>
        <w:divId w:val="1042632111"/>
        <w:rPr>
          <w:rFonts w:eastAsia="Times New Roman"/>
        </w:rPr>
      </w:pPr>
      <w:r>
        <w:rPr>
          <w:rFonts w:eastAsia="Times New Roman"/>
          <w:color w:val="000000"/>
          <w:sz w:val="20"/>
          <w:szCs w:val="20"/>
        </w:rPr>
        <w:t>36</w:t>
      </w:r>
    </w:p>
    <w:p w:rsidR="00000000" w:rsidRDefault="005C524C">
      <w:pPr>
        <w:rPr>
          <w:rFonts w:eastAsia="Times New Roman"/>
        </w:rPr>
      </w:pPr>
      <w:r>
        <w:rPr>
          <w:rFonts w:eastAsia="Times New Roman"/>
        </w:rPr>
        <w:pict>
          <v:rect id="_x0000_i1062" style="width:0;height:1.5pt" o:hralign="center" o:hrstd="t" o:hr="t" fillcolor="#a0a0a0" stroked="f"/>
        </w:pict>
      </w:r>
    </w:p>
    <w:p w:rsidR="00000000" w:rsidRDefault="005C524C">
      <w:pPr>
        <w:divId w:val="120717767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458838667"/>
        <w:rPr>
          <w:rFonts w:eastAsia="Times New Roman"/>
        </w:rPr>
      </w:pPr>
      <w:r>
        <w:rPr>
          <w:rFonts w:eastAsia="Times New Roman"/>
          <w:b/>
          <w:bCs/>
          <w:color w:val="000000"/>
          <w:sz w:val="20"/>
          <w:szCs w:val="20"/>
        </w:rPr>
        <w:t>EQUITABLE HOLDINGS, INC.</w:t>
      </w:r>
    </w:p>
    <w:p w:rsidR="00000000" w:rsidRDefault="005C524C">
      <w:pPr>
        <w:jc w:val="center"/>
        <w:divId w:val="145883866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458838667"/>
        <w:rPr>
          <w:rFonts w:eastAsia="Times New Roman"/>
        </w:rPr>
      </w:pPr>
    </w:p>
    <w:p w:rsidR="00000000" w:rsidRDefault="005C524C">
      <w:pPr>
        <w:divId w:val="2121878635"/>
        <w:rPr>
          <w:rFonts w:eastAsia="Times New Roman"/>
        </w:rPr>
      </w:pPr>
      <w:r>
        <w:rPr>
          <w:rFonts w:eastAsia="Times New Roman"/>
          <w:color w:val="000000"/>
          <w:sz w:val="20"/>
          <w:szCs w:val="20"/>
        </w:rPr>
        <w:t>A reconciliation of the Company’s policyholder dividend obligation follows:</w:t>
      </w:r>
    </w:p>
    <w:p w:rsidR="00000000" w:rsidRDefault="005C524C">
      <w:pPr>
        <w:divId w:val="140590805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985"/>
        <w:gridCol w:w="36"/>
        <w:gridCol w:w="120"/>
        <w:gridCol w:w="837"/>
        <w:gridCol w:w="36"/>
        <w:gridCol w:w="36"/>
        <w:gridCol w:w="36"/>
        <w:gridCol w:w="36"/>
        <w:gridCol w:w="120"/>
        <w:gridCol w:w="837"/>
        <w:gridCol w:w="36"/>
        <w:gridCol w:w="36"/>
        <w:gridCol w:w="36"/>
        <w:gridCol w:w="36"/>
        <w:gridCol w:w="120"/>
        <w:gridCol w:w="778"/>
        <w:gridCol w:w="36"/>
        <w:gridCol w:w="36"/>
        <w:gridCol w:w="36"/>
        <w:gridCol w:w="36"/>
        <w:gridCol w:w="120"/>
        <w:gridCol w:w="632"/>
        <w:gridCol w:w="36"/>
        <w:gridCol w:w="36"/>
        <w:gridCol w:w="36"/>
        <w:gridCol w:w="36"/>
        <w:gridCol w:w="36"/>
        <w:gridCol w:w="36"/>
        <w:gridCol w:w="36"/>
      </w:tblGrid>
      <w:tr w:rsidR="00000000">
        <w:trPr>
          <w:jc w:val="center"/>
        </w:trPr>
        <w:tc>
          <w:tcPr>
            <w:tcW w:w="50" w:type="pct"/>
            <w:vAlign w:val="center"/>
            <w:hideMark/>
          </w:tcPr>
          <w:p w:rsidR="00000000" w:rsidRDefault="005C524C">
            <w:pPr>
              <w:rPr>
                <w:rFonts w:eastAsia="Times New Roman"/>
              </w:rPr>
            </w:pPr>
          </w:p>
        </w:tc>
        <w:tc>
          <w:tcPr>
            <w:tcW w:w="251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ascii="Calibri" w:eastAsia="Times New Roman" w:hAnsi="Calibri" w:cs="Calibri"/>
                <w:color w:val="000000"/>
                <w:sz w:val="18"/>
                <w:szCs w:val="18"/>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ascii="Calibri" w:eastAsia="Times New Roman" w:hAnsi="Calibri" w:cs="Calibri"/>
                <w:color w:val="000000"/>
                <w:sz w:val="18"/>
                <w:szCs w:val="18"/>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201602420"/>
        <w:rPr>
          <w:rFonts w:eastAsia="Times New Roman"/>
        </w:rPr>
      </w:pPr>
    </w:p>
    <w:p w:rsidR="00000000" w:rsidRDefault="005C524C">
      <w:pPr>
        <w:divId w:val="1227955062"/>
        <w:rPr>
          <w:rFonts w:eastAsia="Times New Roman"/>
        </w:rPr>
      </w:pPr>
      <w:r>
        <w:rPr>
          <w:rFonts w:eastAsia="Times New Roman"/>
          <w:b/>
          <w:bCs/>
          <w:color w:val="000000"/>
          <w:sz w:val="20"/>
          <w:szCs w:val="20"/>
        </w:rPr>
        <w:t xml:space="preserve">6)    INSURANCE LIABILITIES </w:t>
      </w:r>
    </w:p>
    <w:p w:rsidR="00000000" w:rsidRDefault="005C524C">
      <w:pPr>
        <w:divId w:val="2071881184"/>
        <w:rPr>
          <w:rFonts w:eastAsia="Times New Roman"/>
        </w:rPr>
      </w:pPr>
      <w:r>
        <w:rPr>
          <w:rFonts w:eastAsia="Times New Roman"/>
          <w:color w:val="000000"/>
          <w:sz w:val="20"/>
          <w:szCs w:val="20"/>
          <w:u w:val="single"/>
        </w:rPr>
        <w:t>Variable Annuity Contracts – GMDB, GMIB, GIB and GWBL and Other Features</w:t>
      </w:r>
    </w:p>
    <w:p w:rsidR="00000000" w:rsidRDefault="005C524C">
      <w:pPr>
        <w:divId w:val="1759673806"/>
        <w:rPr>
          <w:rFonts w:eastAsia="Times New Roman"/>
        </w:rPr>
      </w:pPr>
      <w:r>
        <w:rPr>
          <w:rFonts w:eastAsia="Times New Roman"/>
          <w:color w:val="000000"/>
          <w:sz w:val="20"/>
          <w:szCs w:val="20"/>
        </w:rPr>
        <w:t>The Company has certain variable annuity contra</w:t>
      </w:r>
      <w:r>
        <w:rPr>
          <w:rFonts w:eastAsia="Times New Roman"/>
          <w:color w:val="000000"/>
          <w:sz w:val="20"/>
          <w:szCs w:val="20"/>
        </w:rPr>
        <w:t>cts with GMDB, GMIB, GIB and GWBL and other features in-force that guarantee one of the following:</w:t>
      </w:r>
    </w:p>
    <w:p w:rsidR="00000000" w:rsidRDefault="005C524C">
      <w:pPr>
        <w:ind w:hanging="360"/>
        <w:jc w:val="both"/>
        <w:divId w:val="2006324408"/>
        <w:rPr>
          <w:rFonts w:eastAsia="Times New Roman"/>
        </w:rPr>
      </w:pPr>
      <w:r>
        <w:rPr>
          <w:rFonts w:eastAsia="Times New Roman"/>
          <w:color w:val="000000"/>
          <w:sz w:val="20"/>
          <w:szCs w:val="20"/>
        </w:rPr>
        <w:t>•</w:t>
      </w:r>
      <w:r>
        <w:rPr>
          <w:rFonts w:eastAsia="Times New Roman"/>
          <w:color w:val="000000"/>
          <w:sz w:val="20"/>
          <w:szCs w:val="20"/>
        </w:rPr>
        <w:t>Return of Premium: the benefit is the greater of current account value or premiums paid (adjusted for withdrawals);</w:t>
      </w:r>
    </w:p>
    <w:p w:rsidR="00000000" w:rsidRDefault="005C524C">
      <w:pPr>
        <w:ind w:hanging="360"/>
        <w:jc w:val="both"/>
        <w:divId w:val="1426000416"/>
        <w:rPr>
          <w:rFonts w:eastAsia="Times New Roman"/>
        </w:rPr>
      </w:pPr>
      <w:r>
        <w:rPr>
          <w:rFonts w:eastAsia="Times New Roman"/>
          <w:color w:val="000000"/>
          <w:sz w:val="20"/>
          <w:szCs w:val="20"/>
        </w:rPr>
        <w:t>•Ratchet: the benefit is the greatest of current account value, premiums paid (adjusted for withdrawals), or the highest account value on an</w:t>
      </w:r>
      <w:r>
        <w:rPr>
          <w:rFonts w:eastAsia="Times New Roman"/>
          <w:color w:val="000000"/>
          <w:sz w:val="20"/>
          <w:szCs w:val="20"/>
        </w:rPr>
        <w:t>y anniversary up to contractually specified ages (adjusted for withdrawals);</w:t>
      </w:r>
    </w:p>
    <w:p w:rsidR="00000000" w:rsidRDefault="005C524C">
      <w:pPr>
        <w:ind w:hanging="360"/>
        <w:jc w:val="both"/>
        <w:divId w:val="92167172"/>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specified age</w:t>
      </w:r>
      <w:r>
        <w:rPr>
          <w:rFonts w:eastAsia="Times New Roman"/>
          <w:color w:val="000000"/>
          <w:sz w:val="20"/>
          <w:szCs w:val="20"/>
        </w:rPr>
        <w:t>s;</w:t>
      </w:r>
    </w:p>
    <w:p w:rsidR="00000000" w:rsidRDefault="005C524C">
      <w:pPr>
        <w:ind w:hanging="360"/>
        <w:jc w:val="both"/>
        <w:divId w:val="648634299"/>
        <w:rPr>
          <w:rFonts w:eastAsia="Times New Roman"/>
        </w:rPr>
      </w:pPr>
      <w:r>
        <w:rPr>
          <w:rFonts w:eastAsia="Times New Roman"/>
          <w:color w:val="000000"/>
          <w:sz w:val="20"/>
          <w:szCs w:val="20"/>
        </w:rPr>
        <w:t>•Combo: the benefit is the greater of the ratchet benefit or the roll-up benefit, which may include either a five year or an annual reset; or</w:t>
      </w:r>
    </w:p>
    <w:p w:rsidR="00000000" w:rsidRDefault="005C524C">
      <w:pPr>
        <w:ind w:hanging="360"/>
        <w:divId w:val="672411955"/>
        <w:rPr>
          <w:rFonts w:eastAsia="Times New Roman"/>
        </w:rPr>
      </w:pPr>
      <w:r>
        <w:rPr>
          <w:rFonts w:eastAsia="Times New Roman"/>
          <w:color w:val="000000"/>
          <w:sz w:val="20"/>
          <w:szCs w:val="20"/>
        </w:rPr>
        <w:t xml:space="preserve">•Withdrawal: the withdrawal is guaranteed up to a maximum amount per year for life. </w:t>
      </w:r>
    </w:p>
    <w:p w:rsidR="00000000" w:rsidRDefault="005C524C">
      <w:pPr>
        <w:jc w:val="both"/>
        <w:divId w:val="275454761"/>
        <w:rPr>
          <w:rFonts w:eastAsia="Times New Roman"/>
        </w:rPr>
      </w:pPr>
      <w:r>
        <w:rPr>
          <w:rFonts w:eastAsia="Times New Roman"/>
          <w:b/>
          <w:bCs/>
          <w:i/>
          <w:iCs/>
          <w:color w:val="000000"/>
          <w:sz w:val="20"/>
          <w:szCs w:val="20"/>
        </w:rPr>
        <w:t>Liabilities for Variable A</w:t>
      </w:r>
      <w:r>
        <w:rPr>
          <w:rFonts w:eastAsia="Times New Roman"/>
          <w:b/>
          <w:bCs/>
          <w:i/>
          <w:iCs/>
          <w:color w:val="000000"/>
          <w:sz w:val="20"/>
          <w:szCs w:val="20"/>
        </w:rPr>
        <w:t>nnuity Contracts with GMDB and GMIB Features without NLG Rider Feature</w:t>
      </w:r>
    </w:p>
    <w:p w:rsidR="00000000" w:rsidRDefault="005C524C">
      <w:pPr>
        <w:divId w:val="214778169"/>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direct contrac</w:t>
      </w:r>
      <w:r>
        <w:rPr>
          <w:rFonts w:eastAsia="Times New Roman"/>
          <w:color w:val="000000"/>
          <w:sz w:val="20"/>
          <w:szCs w:val="20"/>
        </w:rPr>
        <w:t>ts (before reinsurance ceded) and assumed contracts are reflected in the consolidated balance sheets in future policy benefits and other policyholders’ liabilities. The amounts for the ceded contracts are reflected in the consolidated balance sheets in amo</w:t>
      </w:r>
      <w:r>
        <w:rPr>
          <w:rFonts w:eastAsia="Times New Roman"/>
          <w:color w:val="000000"/>
          <w:sz w:val="20"/>
          <w:szCs w:val="20"/>
        </w:rPr>
        <w:t>unts due from reinsurers. The amounts for the ceded GMIB that are reflected in the consolidated balance sheets in GMIB reinsurance contract asset are at fair value.</w:t>
      </w:r>
    </w:p>
    <w:p w:rsidR="00000000" w:rsidRDefault="005C524C">
      <w:pPr>
        <w:divId w:val="1047879946"/>
        <w:rPr>
          <w:rFonts w:eastAsia="Times New Roman"/>
        </w:rPr>
      </w:pPr>
    </w:p>
    <w:p w:rsidR="00000000" w:rsidRDefault="005C524C">
      <w:pPr>
        <w:jc w:val="center"/>
        <w:rPr>
          <w:rFonts w:eastAsia="Times New Roman"/>
        </w:rPr>
      </w:pPr>
      <w:r>
        <w:rPr>
          <w:rFonts w:eastAsia="Times New Roman"/>
          <w:b/>
          <w:bCs/>
          <w:color w:val="000000"/>
          <w:sz w:val="20"/>
          <w:szCs w:val="20"/>
        </w:rPr>
        <w:t>Change in Liability for Variable Annuity Contracts with GMDB and GMIB Features and No NLG</w:t>
      </w:r>
      <w:r>
        <w:rPr>
          <w:rFonts w:eastAsia="Times New Roman"/>
          <w:b/>
          <w:bCs/>
          <w:color w:val="000000"/>
          <w:sz w:val="20"/>
          <w:szCs w:val="20"/>
        </w:rPr>
        <w:t xml:space="preserve"> Feature</w:t>
      </w:r>
    </w:p>
    <w:p w:rsidR="00000000" w:rsidRDefault="005C524C">
      <w:pPr>
        <w:jc w:val="center"/>
        <w:rPr>
          <w:rFonts w:eastAsia="Times New Roman"/>
        </w:rPr>
      </w:pPr>
      <w:r>
        <w:rPr>
          <w:rFonts w:eastAsia="Times New Roman"/>
          <w:b/>
          <w:bCs/>
          <w:color w:val="000000"/>
          <w:sz w:val="20"/>
          <w:szCs w:val="20"/>
        </w:rPr>
        <w:t>Three and Six Months Ended June 30, 2022 and 2021</w:t>
      </w:r>
    </w:p>
    <w:p w:rsidR="00000000" w:rsidRDefault="005C524C">
      <w:pPr>
        <w:jc w:val="center"/>
        <w:divId w:val="1913389544"/>
        <w:rPr>
          <w:rFonts w:eastAsia="Times New Roman"/>
        </w:rPr>
      </w:pPr>
    </w:p>
    <w:p w:rsidR="00000000" w:rsidRDefault="005C524C">
      <w:pPr>
        <w:jc w:val="center"/>
        <w:divId w:val="1913389544"/>
        <w:rPr>
          <w:rFonts w:eastAsia="Times New Roman"/>
        </w:rPr>
      </w:pPr>
      <w:r>
        <w:rPr>
          <w:rFonts w:eastAsia="Times New Roman"/>
          <w:color w:val="000000"/>
          <w:sz w:val="20"/>
          <w:szCs w:val="20"/>
        </w:rPr>
        <w:t>37</w:t>
      </w:r>
    </w:p>
    <w:p w:rsidR="00000000" w:rsidRDefault="005C524C">
      <w:pPr>
        <w:rPr>
          <w:rFonts w:eastAsia="Times New Roman"/>
        </w:rPr>
      </w:pPr>
      <w:r>
        <w:rPr>
          <w:rFonts w:eastAsia="Times New Roman"/>
        </w:rPr>
        <w:pict>
          <v:rect id="_x0000_i1063" style="width:0;height:1.5pt" o:hralign="center" o:hrstd="t" o:hr="t" fillcolor="#a0a0a0" stroked="f"/>
        </w:pict>
      </w:r>
    </w:p>
    <w:p w:rsidR="00000000" w:rsidRDefault="005C524C">
      <w:pPr>
        <w:divId w:val="7420366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635982939"/>
        <w:rPr>
          <w:rFonts w:eastAsia="Times New Roman"/>
        </w:rPr>
      </w:pPr>
      <w:r>
        <w:rPr>
          <w:rFonts w:eastAsia="Times New Roman"/>
          <w:b/>
          <w:bCs/>
          <w:color w:val="000000"/>
          <w:sz w:val="20"/>
          <w:szCs w:val="20"/>
        </w:rPr>
        <w:t>EQUITABLE HOLDINGS, INC.</w:t>
      </w:r>
    </w:p>
    <w:p w:rsidR="00000000" w:rsidRDefault="005C524C">
      <w:pPr>
        <w:jc w:val="center"/>
        <w:divId w:val="1635982939"/>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635982939"/>
        <w:rPr>
          <w:rFonts w:eastAsia="Times New Roman"/>
        </w:rPr>
      </w:pPr>
    </w:p>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5C524C">
            <w:pPr>
              <w:jc w:val="center"/>
              <w:rPr>
                <w:rFonts w:eastAsia="Times New Roman"/>
              </w:rPr>
            </w:pPr>
          </w:p>
        </w:tc>
        <w:tc>
          <w:tcPr>
            <w:tcW w:w="21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April 1, 2022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(2,253)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(3,750)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(2,276)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6,165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(3,707)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April 1, 2021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5,086 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5,966 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(1,907)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(2,262)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(4,168)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5C524C">
            <w:pPr>
              <w:jc w:val="center"/>
              <w:rPr>
                <w:rFonts w:eastAsia="Times New Roman"/>
              </w:rPr>
            </w:pPr>
          </w:p>
        </w:tc>
        <w:tc>
          <w:tcPr>
            <w:tcW w:w="21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Assumed</w:t>
            </w:r>
            <w:r>
              <w:rPr>
                <w:rFonts w:eastAsia="Times New Roman"/>
                <w:b/>
                <w:bCs/>
                <w:color w:val="000000"/>
                <w:sz w:val="16"/>
                <w:szCs w:val="16"/>
              </w:rPr>
              <w:br/>
              <w:t>(1)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January 1, 2022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(2,216)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(3,968)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(2,276)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5,097 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(2,488)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Impact of the Venerable Transaction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w:t>
            </w:r>
            <w:r>
              <w:rPr>
                <w:rFonts w:eastAsia="Times New Roman"/>
                <w:color w:val="000000"/>
                <w:sz w:val="20"/>
                <w:szCs w:val="20"/>
              </w:rPr>
              <w:t>2,141)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(2,262)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(4,168)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24868479"/>
        <w:rPr>
          <w:rFonts w:eastAsia="Times New Roman"/>
        </w:rPr>
      </w:pPr>
      <w:r>
        <w:rPr>
          <w:rFonts w:eastAsia="Times New Roman"/>
          <w:b/>
          <w:bCs/>
          <w:color w:val="000000"/>
          <w:sz w:val="16"/>
          <w:szCs w:val="16"/>
        </w:rPr>
        <w:t>______________</w:t>
      </w:r>
    </w:p>
    <w:p w:rsidR="00000000" w:rsidRDefault="005C524C">
      <w:pPr>
        <w:ind w:hanging="360"/>
        <w:divId w:val="467550899"/>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5C524C">
      <w:pPr>
        <w:ind w:hanging="360"/>
        <w:divId w:val="1961758084"/>
        <w:rPr>
          <w:rFonts w:eastAsia="Times New Roman"/>
        </w:rPr>
      </w:pPr>
      <w:r>
        <w:rPr>
          <w:rFonts w:eastAsia="Times New Roman"/>
          <w:color w:val="000000"/>
          <w:sz w:val="18"/>
          <w:szCs w:val="18"/>
        </w:rPr>
        <w:t>(2)Includes the impact as of June 1, 2021 on the ceded reserves to</w:t>
      </w:r>
      <w:r>
        <w:rPr>
          <w:rFonts w:eastAsia="Times New Roman"/>
          <w:color w:val="000000"/>
          <w:sz w:val="18"/>
          <w:szCs w:val="18"/>
        </w:rPr>
        <w:t xml:space="preserve"> Venerable. See Note 1 of the Notes to these Consolidated Financial Statements for details of the Venerable Transaction.</w:t>
      </w:r>
    </w:p>
    <w:p w:rsidR="00000000" w:rsidRDefault="005C524C">
      <w:pPr>
        <w:jc w:val="both"/>
        <w:divId w:val="529953668"/>
        <w:rPr>
          <w:rFonts w:eastAsia="Times New Roman"/>
        </w:rPr>
      </w:pPr>
      <w:r>
        <w:rPr>
          <w:rFonts w:eastAsia="Times New Roman"/>
          <w:b/>
          <w:bCs/>
          <w:i/>
          <w:iCs/>
          <w:color w:val="000000"/>
          <w:sz w:val="20"/>
          <w:szCs w:val="20"/>
        </w:rPr>
        <w:t>Liabilities for Embedded and Freestanding Insurance Related Derivatives</w:t>
      </w:r>
    </w:p>
    <w:p w:rsidR="00000000" w:rsidRDefault="005C524C">
      <w:pPr>
        <w:divId w:val="647825598"/>
        <w:rPr>
          <w:rFonts w:eastAsia="Times New Roman"/>
        </w:rPr>
      </w:pPr>
      <w:r>
        <w:rPr>
          <w:rFonts w:eastAsia="Times New Roman"/>
          <w:color w:val="000000"/>
          <w:sz w:val="20"/>
          <w:szCs w:val="20"/>
        </w:rPr>
        <w:t>The liability for the GMxB derivative features, the liability f</w:t>
      </w:r>
      <w:r>
        <w:rPr>
          <w:rFonts w:eastAsia="Times New Roman"/>
          <w:color w:val="000000"/>
          <w:sz w:val="20"/>
          <w:szCs w:val="20"/>
        </w:rPr>
        <w:t>or SCS, SIO, MSO and IUL indexed features and the asset and liability for the GMIB reinsurance contracts and amounts due from reinsurers related to GMIB NLG product features (GMIB NLG Reinsurance) are considered embedded or freestanding insurance derivativ</w:t>
      </w:r>
      <w:r>
        <w:rPr>
          <w:rFonts w:eastAsia="Times New Roman"/>
          <w:color w:val="000000"/>
          <w:sz w:val="20"/>
          <w:szCs w:val="20"/>
        </w:rPr>
        <w:t>es and are reported at fair value. For the fair value of the assets and liabilities associated with these embedded or freestanding insurance derivatives, see Note 7 of the Notes to these Consolidated Financial Statements.</w:t>
      </w:r>
    </w:p>
    <w:p w:rsidR="00000000" w:rsidRDefault="005C524C">
      <w:pPr>
        <w:jc w:val="both"/>
        <w:divId w:val="1867788991"/>
        <w:rPr>
          <w:rFonts w:eastAsia="Times New Roman"/>
        </w:rPr>
      </w:pPr>
      <w:r>
        <w:rPr>
          <w:rFonts w:eastAsia="Times New Roman"/>
          <w:b/>
          <w:bCs/>
          <w:i/>
          <w:iCs/>
          <w:color w:val="000000"/>
          <w:sz w:val="20"/>
          <w:szCs w:val="20"/>
        </w:rPr>
        <w:t>Account Values and Net Amount at R</w:t>
      </w:r>
      <w:r>
        <w:rPr>
          <w:rFonts w:eastAsia="Times New Roman"/>
          <w:b/>
          <w:bCs/>
          <w:i/>
          <w:iCs/>
          <w:color w:val="000000"/>
          <w:sz w:val="20"/>
          <w:szCs w:val="20"/>
        </w:rPr>
        <w:t>isk</w:t>
      </w:r>
    </w:p>
    <w:p w:rsidR="00000000" w:rsidRDefault="005C524C">
      <w:pPr>
        <w:divId w:val="1416628473"/>
        <w:rPr>
          <w:rFonts w:eastAsia="Times New Roman"/>
        </w:rPr>
      </w:pPr>
      <w:r>
        <w:rPr>
          <w:rFonts w:eastAsia="Times New Roman"/>
          <w:color w:val="000000"/>
          <w:sz w:val="20"/>
          <w:szCs w:val="20"/>
        </w:rPr>
        <w:t>Account Values and NAR for direct variable annuity contracts in force with GMDB and GMIB features as of June 30, 2022 are presented in the following tables by guarantee type. For contracts with the GMDB feature, the NAR in the event of death is the amo</w:t>
      </w:r>
      <w:r>
        <w:rPr>
          <w:rFonts w:eastAsia="Times New Roman"/>
          <w:color w:val="000000"/>
          <w:sz w:val="20"/>
          <w:szCs w:val="20"/>
        </w:rPr>
        <w:t>unt by which the GMDB feature exceeds the related Account Values. For contracts with the GMIB feature, the NAR in the event of annuitization is the amount by which the present value of the GMIB benefits exceed the related Account Values, taking into accoun</w:t>
      </w:r>
      <w:r>
        <w:rPr>
          <w:rFonts w:eastAsia="Times New Roman"/>
          <w:color w:val="000000"/>
          <w:sz w:val="20"/>
          <w:szCs w:val="20"/>
        </w:rPr>
        <w:t>t the relationship between current annuity purchase rates and the GMIB guaranteed annuity purchase rates. Since variable annuity contracts with GMDB features may also offer GMIB guarantees in the same contract, the GMDB and GMIB amounts listed are not mutu</w:t>
      </w:r>
      <w:r>
        <w:rPr>
          <w:rFonts w:eastAsia="Times New Roman"/>
          <w:color w:val="000000"/>
          <w:sz w:val="20"/>
          <w:szCs w:val="20"/>
        </w:rPr>
        <w:t>ally exclusive.</w:t>
      </w:r>
    </w:p>
    <w:p w:rsidR="00000000" w:rsidRDefault="005C524C">
      <w:pPr>
        <w:jc w:val="center"/>
        <w:rPr>
          <w:rFonts w:eastAsia="Times New Roman"/>
        </w:rPr>
      </w:pPr>
      <w:r>
        <w:rPr>
          <w:rFonts w:eastAsia="Times New Roman"/>
          <w:b/>
          <w:bCs/>
          <w:color w:val="000000"/>
          <w:sz w:val="20"/>
          <w:szCs w:val="20"/>
        </w:rPr>
        <w:t>Direct Variable Annuity Contracts with GMDB and GMIB Features</w:t>
      </w:r>
    </w:p>
    <w:p w:rsidR="00000000" w:rsidRDefault="005C524C">
      <w:pPr>
        <w:jc w:val="center"/>
        <w:rPr>
          <w:rFonts w:eastAsia="Times New Roman"/>
        </w:rPr>
      </w:pPr>
      <w:r>
        <w:rPr>
          <w:rFonts w:eastAsia="Times New Roman"/>
          <w:b/>
          <w:bCs/>
          <w:color w:val="000000"/>
          <w:sz w:val="20"/>
          <w:szCs w:val="20"/>
        </w:rPr>
        <w:t>as of June 30, 2022</w:t>
      </w:r>
    </w:p>
    <w:p w:rsidR="00000000" w:rsidRDefault="005C524C">
      <w:pPr>
        <w:jc w:val="center"/>
        <w:divId w:val="1107848843"/>
        <w:rPr>
          <w:rFonts w:eastAsia="Times New Roman"/>
        </w:rPr>
      </w:pPr>
    </w:p>
    <w:p w:rsidR="00000000" w:rsidRDefault="005C524C">
      <w:pPr>
        <w:jc w:val="center"/>
        <w:divId w:val="1107848843"/>
        <w:rPr>
          <w:rFonts w:eastAsia="Times New Roman"/>
        </w:rPr>
      </w:pPr>
      <w:r>
        <w:rPr>
          <w:rFonts w:eastAsia="Times New Roman"/>
          <w:color w:val="000000"/>
          <w:sz w:val="20"/>
          <w:szCs w:val="20"/>
        </w:rPr>
        <w:t>38</w:t>
      </w:r>
    </w:p>
    <w:p w:rsidR="00000000" w:rsidRDefault="005C524C">
      <w:pPr>
        <w:rPr>
          <w:rFonts w:eastAsia="Times New Roman"/>
        </w:rPr>
      </w:pPr>
      <w:r>
        <w:rPr>
          <w:rFonts w:eastAsia="Times New Roman"/>
        </w:rPr>
        <w:pict>
          <v:rect id="_x0000_i1064" style="width:0;height:1.5pt" o:hralign="center" o:hrstd="t" o:hr="t" fillcolor="#a0a0a0" stroked="f"/>
        </w:pict>
      </w:r>
    </w:p>
    <w:p w:rsidR="00000000" w:rsidRDefault="005C524C">
      <w:pPr>
        <w:divId w:val="86136035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57467505"/>
        <w:rPr>
          <w:rFonts w:eastAsia="Times New Roman"/>
        </w:rPr>
      </w:pPr>
      <w:r>
        <w:rPr>
          <w:rFonts w:eastAsia="Times New Roman"/>
          <w:b/>
          <w:bCs/>
          <w:color w:val="000000"/>
          <w:sz w:val="20"/>
          <w:szCs w:val="20"/>
        </w:rPr>
        <w:t>EQUITABLE HOLDINGS, INC.</w:t>
      </w:r>
    </w:p>
    <w:p w:rsidR="00000000" w:rsidRDefault="005C524C">
      <w:pPr>
        <w:jc w:val="center"/>
        <w:divId w:val="657467505"/>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5746750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155"/>
        <w:gridCol w:w="37"/>
        <w:gridCol w:w="120"/>
        <w:gridCol w:w="683"/>
        <w:gridCol w:w="221"/>
        <w:gridCol w:w="36"/>
        <w:gridCol w:w="36"/>
        <w:gridCol w:w="36"/>
        <w:gridCol w:w="120"/>
        <w:gridCol w:w="500"/>
        <w:gridCol w:w="220"/>
        <w:gridCol w:w="36"/>
        <w:gridCol w:w="36"/>
        <w:gridCol w:w="36"/>
        <w:gridCol w:w="120"/>
        <w:gridCol w:w="583"/>
        <w:gridCol w:w="222"/>
        <w:gridCol w:w="36"/>
        <w:gridCol w:w="36"/>
        <w:gridCol w:w="36"/>
        <w:gridCol w:w="121"/>
        <w:gridCol w:w="479"/>
        <w:gridCol w:w="220"/>
        <w:gridCol w:w="36"/>
        <w:gridCol w:w="36"/>
        <w:gridCol w:w="36"/>
        <w:gridCol w:w="121"/>
        <w:gridCol w:w="683"/>
        <w:gridCol w:w="220"/>
      </w:tblGrid>
      <w:tr w:rsidR="00000000">
        <w:trPr>
          <w:divId w:val="1701588621"/>
          <w:jc w:val="center"/>
        </w:trPr>
        <w:tc>
          <w:tcPr>
            <w:tcW w:w="50" w:type="pct"/>
            <w:vAlign w:val="center"/>
            <w:hideMark/>
          </w:tcPr>
          <w:p w:rsidR="00000000" w:rsidRDefault="005C524C">
            <w:pPr>
              <w:jc w:val="center"/>
              <w:rPr>
                <w:rFonts w:eastAsia="Times New Roman"/>
              </w:rPr>
            </w:pPr>
          </w:p>
        </w:tc>
        <w:tc>
          <w:tcPr>
            <w:tcW w:w="232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Guarantee Type</w:t>
            </w:r>
          </w:p>
        </w:tc>
      </w:tr>
      <w:tr w:rsidR="00000000">
        <w:trPr>
          <w:divId w:val="1701588621"/>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1701588621"/>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 except age and interest rate)</w:t>
            </w:r>
          </w:p>
        </w:tc>
      </w:tr>
      <w:tr w:rsidR="00000000">
        <w:trPr>
          <w:divId w:val="170158862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16,501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90</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49</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16,793</w:t>
            </w:r>
          </w:p>
        </w:tc>
      </w:tr>
      <w:tr w:rsidR="00000000">
        <w:trPr>
          <w:divId w:val="1701588621"/>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w:t>
            </w:r>
          </w:p>
        </w:tc>
        <w:tc>
          <w:tcPr>
            <w:tcW w:w="0" w:type="auto"/>
            <w:gridSpan w:val="3"/>
            <w:shd w:val="clear" w:color="auto" w:fill="FFFF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47,469</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7,745</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2,577</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26,538</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84,329</w:t>
            </w:r>
          </w:p>
        </w:tc>
      </w:tr>
      <w:tr w:rsidR="00000000">
        <w:trPr>
          <w:divId w:val="1701588621"/>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63,970</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7,835</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2,626</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26,691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101,122</w:t>
            </w:r>
          </w:p>
        </w:tc>
      </w:tr>
      <w:tr w:rsidR="00000000">
        <w:trPr>
          <w:divId w:val="170158862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1,848</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22,522</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26,514</w:t>
            </w: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1,286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1,337</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12,051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15,385</w:t>
            </w:r>
          </w:p>
        </w:tc>
      </w:tr>
      <w:tr w:rsidR="00000000">
        <w:trPr>
          <w:divId w:val="170158862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- 6.5%</w:t>
            </w:r>
          </w:p>
        </w:tc>
      </w:tr>
      <w:tr w:rsidR="00000000">
        <w:trPr>
          <w:divId w:val="170158862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199</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w:t>
            </w:r>
          </w:p>
        </w:tc>
      </w:tr>
      <w:tr w:rsidR="00000000">
        <w:trPr>
          <w:divId w:val="1701588621"/>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21,461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27,973</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49,434</w:t>
            </w:r>
          </w:p>
        </w:tc>
      </w:tr>
      <w:tr w:rsidR="00000000">
        <w:trPr>
          <w:divId w:val="1701588621"/>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21,476</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28,172</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49,648</w:t>
            </w:r>
          </w:p>
        </w:tc>
      </w:tr>
      <w:tr w:rsidR="00000000">
        <w:trPr>
          <w:divId w:val="170158862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652</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9,749</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10,401</w:t>
            </w: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209</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4,023</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C524C">
            <w:pPr>
              <w:spacing w:after="100"/>
              <w:jc w:val="right"/>
              <w:rPr>
                <w:rFonts w:eastAsia="Times New Roman"/>
              </w:rPr>
            </w:pPr>
            <w:r>
              <w:rPr>
                <w:rFonts w:eastAsia="Times New Roman"/>
                <w:b/>
                <w:bCs/>
                <w:color w:val="000000"/>
                <w:sz w:val="20"/>
                <w:szCs w:val="20"/>
              </w:rPr>
              <w:t>4,232</w:t>
            </w:r>
          </w:p>
        </w:tc>
      </w:tr>
      <w:tr w:rsidR="00000000">
        <w:trPr>
          <w:divId w:val="170158862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015886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015886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3% - 6.5%</w:t>
            </w:r>
          </w:p>
        </w:tc>
      </w:tr>
    </w:tbl>
    <w:p w:rsidR="00000000" w:rsidRDefault="005C524C">
      <w:pPr>
        <w:jc w:val="center"/>
        <w:rPr>
          <w:rFonts w:eastAsia="Times New Roman"/>
        </w:rPr>
      </w:pPr>
    </w:p>
    <w:p w:rsidR="00000000" w:rsidRDefault="005C524C">
      <w:pPr>
        <w:divId w:val="2060206831"/>
        <w:rPr>
          <w:rFonts w:eastAsia="Times New Roman"/>
        </w:rPr>
      </w:pPr>
      <w:r>
        <w:rPr>
          <w:rFonts w:eastAsia="Times New Roman"/>
          <w:color w:val="000000"/>
          <w:sz w:val="20"/>
          <w:szCs w:val="20"/>
        </w:rPr>
        <w:t xml:space="preserve">For more information about the reinsurance programs of the Company’s GMDB and GMIB exposure, see “Reinsurance” </w:t>
      </w:r>
      <w:r>
        <w:rPr>
          <w:rFonts w:eastAsia="Times New Roman"/>
          <w:color w:val="000000"/>
          <w:sz w:val="20"/>
          <w:szCs w:val="20"/>
        </w:rPr>
        <w:t>in Note 11 of the Notes to the Consolidated Financial Statements 2021 Form 10-K.</w:t>
      </w:r>
    </w:p>
    <w:p w:rsidR="00000000" w:rsidRDefault="005C524C">
      <w:pPr>
        <w:divId w:val="1430396184"/>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rsidR="00000000" w:rsidRDefault="005C524C">
      <w:pPr>
        <w:divId w:val="1019232290"/>
        <w:rPr>
          <w:rFonts w:eastAsia="Times New Roman"/>
        </w:rPr>
      </w:pPr>
      <w:r>
        <w:rPr>
          <w:rFonts w:eastAsia="Times New Roman"/>
          <w:color w:val="000000"/>
          <w:sz w:val="20"/>
          <w:szCs w:val="20"/>
        </w:rPr>
        <w:t>The total Account Values of variable annuity contracts with GMDB and GMIB features include amounts allocated to the guaranteed interest o</w:t>
      </w:r>
      <w:r>
        <w:rPr>
          <w:rFonts w:eastAsia="Times New Roman"/>
          <w:color w:val="000000"/>
          <w:sz w:val="20"/>
          <w:szCs w:val="20"/>
        </w:rPr>
        <w:t xml:space="preserve">ption, which is part of the General Account and variable investment options that invest through Separate Accounts in variable insurance trusts. The following table presents the aggregate fair value of assets, by major investment category, held by Separate </w:t>
      </w:r>
      <w:r>
        <w:rPr>
          <w:rFonts w:eastAsia="Times New Roman"/>
          <w:color w:val="000000"/>
          <w:sz w:val="20"/>
          <w:szCs w:val="20"/>
        </w:rPr>
        <w:t>Accounts that support variable annuity contracts with GMDB and GMIB features. The investment performance of the assets impacts the related Account Values and, consequently, the NAR associated with the GMDB and GMIB benefits and guarantees. Because the Comp</w:t>
      </w:r>
      <w:r>
        <w:rPr>
          <w:rFonts w:eastAsia="Times New Roman"/>
          <w:color w:val="000000"/>
          <w:sz w:val="20"/>
          <w:szCs w:val="20"/>
        </w:rPr>
        <w:t>any’s variable annuity contracts offer both GMDB and GMIB features, GMDB and GMIB amounts are not mutually exclusive.</w:t>
      </w:r>
    </w:p>
    <w:p w:rsidR="00000000" w:rsidRDefault="005C524C">
      <w:pPr>
        <w:jc w:val="center"/>
        <w:divId w:val="1854413070"/>
        <w:rPr>
          <w:rFonts w:eastAsia="Times New Roman"/>
        </w:rPr>
      </w:pPr>
    </w:p>
    <w:p w:rsidR="00000000" w:rsidRDefault="005C524C">
      <w:pPr>
        <w:jc w:val="center"/>
        <w:divId w:val="1854413070"/>
        <w:rPr>
          <w:rFonts w:eastAsia="Times New Roman"/>
        </w:rPr>
      </w:pPr>
      <w:r>
        <w:rPr>
          <w:rFonts w:eastAsia="Times New Roman"/>
          <w:color w:val="000000"/>
          <w:sz w:val="20"/>
          <w:szCs w:val="20"/>
        </w:rPr>
        <w:t>39</w:t>
      </w:r>
    </w:p>
    <w:p w:rsidR="00000000" w:rsidRDefault="005C524C">
      <w:pPr>
        <w:rPr>
          <w:rFonts w:eastAsia="Times New Roman"/>
        </w:rPr>
      </w:pPr>
      <w:r>
        <w:rPr>
          <w:rFonts w:eastAsia="Times New Roman"/>
        </w:rPr>
        <w:pict>
          <v:rect id="_x0000_i1065" style="width:0;height:1.5pt" o:hralign="center" o:hrstd="t" o:hr="t" fillcolor="#a0a0a0" stroked="f"/>
        </w:pict>
      </w:r>
    </w:p>
    <w:p w:rsidR="00000000" w:rsidRDefault="005C524C">
      <w:pPr>
        <w:divId w:val="182669885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350256206"/>
        <w:rPr>
          <w:rFonts w:eastAsia="Times New Roman"/>
        </w:rPr>
      </w:pPr>
      <w:r>
        <w:rPr>
          <w:rFonts w:eastAsia="Times New Roman"/>
          <w:b/>
          <w:bCs/>
          <w:color w:val="000000"/>
          <w:sz w:val="20"/>
          <w:szCs w:val="20"/>
        </w:rPr>
        <w:t>EQUITABLE HOLDINGS, INC.</w:t>
      </w:r>
    </w:p>
    <w:p w:rsidR="00000000" w:rsidRDefault="005C524C">
      <w:pPr>
        <w:jc w:val="center"/>
        <w:divId w:val="35025620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350256206"/>
        <w:rPr>
          <w:rFonts w:eastAsia="Times New Roman"/>
        </w:rPr>
      </w:pPr>
    </w:p>
    <w:p w:rsidR="00000000" w:rsidRDefault="005C524C">
      <w:pPr>
        <w:jc w:val="center"/>
        <w:rPr>
          <w:rFonts w:eastAsia="Times New Roman"/>
        </w:rPr>
      </w:pPr>
      <w:r>
        <w:rPr>
          <w:rFonts w:eastAsia="Times New Roman"/>
          <w:b/>
          <w:bCs/>
          <w:color w:val="000000"/>
          <w:sz w:val="20"/>
          <w:szCs w:val="20"/>
        </w:rPr>
        <w:t>Investment in Variable Insurance Trust Mutual Funds</w:t>
      </w:r>
    </w:p>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153837703"/>
          <w:jc w:val="center"/>
        </w:trPr>
        <w:tc>
          <w:tcPr>
            <w:tcW w:w="50" w:type="pct"/>
            <w:vAlign w:val="center"/>
            <w:hideMark/>
          </w:tcPr>
          <w:p w:rsidR="00000000" w:rsidRDefault="005C524C">
            <w:pPr>
              <w:jc w:val="center"/>
              <w:rPr>
                <w:rFonts w:eastAsia="Times New Roman"/>
              </w:rPr>
            </w:pPr>
          </w:p>
        </w:tc>
        <w:tc>
          <w:tcPr>
            <w:tcW w:w="26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53837703"/>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3837703"/>
          <w:jc w:val="center"/>
        </w:trPr>
        <w:tc>
          <w:tcPr>
            <w:tcW w:w="0" w:type="auto"/>
            <w:gridSpan w:val="3"/>
            <w:tcMar>
              <w:top w:w="30" w:type="dxa"/>
              <w:left w:w="20" w:type="dxa"/>
              <w:bottom w:w="30" w:type="dxa"/>
              <w:right w:w="20" w:type="dxa"/>
            </w:tcMar>
            <w:vAlign w:val="bottom"/>
            <w:hideMark/>
          </w:tcPr>
          <w:p w:rsidR="00000000" w:rsidRDefault="005C524C">
            <w:pPr>
              <w:spacing w:after="100"/>
              <w:divId w:val="1842811288"/>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divId w:val="153837703"/>
          <w:jc w:val="center"/>
        </w:trPr>
        <w:tc>
          <w:tcPr>
            <w:tcW w:w="0" w:type="auto"/>
            <w:gridSpan w:val="3"/>
            <w:tcMar>
              <w:top w:w="30" w:type="dxa"/>
              <w:left w:w="20" w:type="dxa"/>
              <w:bottom w:w="30" w:type="dxa"/>
              <w:right w:w="20" w:type="dxa"/>
            </w:tcMar>
            <w:vAlign w:val="bottom"/>
            <w:hideMark/>
          </w:tcPr>
          <w:p w:rsidR="00000000" w:rsidRDefault="005C524C">
            <w:pPr>
              <w:spacing w:after="100"/>
              <w:divId w:val="1861619733"/>
              <w:rPr>
                <w:rFonts w:eastAsia="Times New Roman"/>
              </w:rPr>
            </w:pPr>
            <w:r>
              <w:rPr>
                <w:rFonts w:eastAsia="Times New Roman"/>
                <w:b/>
                <w:bCs/>
                <w:color w:val="000000"/>
                <w:sz w:val="16"/>
                <w:szCs w:val="16"/>
              </w:rPr>
              <w:t>Mutual Fund Type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GMIB</w:t>
            </w:r>
          </w:p>
        </w:tc>
      </w:tr>
      <w:tr w:rsidR="00000000">
        <w:trPr>
          <w:divId w:val="153837703"/>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5383770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52,771 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383770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5,391 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2,507 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3837703"/>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32,396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48,390 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40,491 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3837703"/>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3837703"/>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84,329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49,434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107,577 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63,276 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1182819384"/>
        <w:rPr>
          <w:rFonts w:eastAsia="Times New Roman"/>
        </w:rPr>
      </w:pPr>
      <w:r>
        <w:rPr>
          <w:rFonts w:eastAsia="Times New Roman"/>
          <w:color w:val="000000"/>
          <w:sz w:val="20"/>
          <w:szCs w:val="20"/>
          <w:u w:val="single"/>
        </w:rPr>
        <w:t>Hedging Programs for GMDB, GMIB, GIB and Other Features</w:t>
      </w:r>
    </w:p>
    <w:p w:rsidR="00000000" w:rsidRDefault="005C524C">
      <w:pPr>
        <w:divId w:val="1590773369"/>
        <w:rPr>
          <w:rFonts w:eastAsia="Times New Roman"/>
        </w:rPr>
      </w:pPr>
      <w:r>
        <w:rPr>
          <w:rFonts w:eastAsia="Times New Roman"/>
          <w:color w:val="000000"/>
          <w:sz w:val="20"/>
          <w:szCs w:val="20"/>
        </w:rPr>
        <w:t>The Company has a program intended to hedge certain risks associated first with the GMDB feature and with the GMIB feature of the Accumulator series of variable annuity products. The program has also been extended to cover other guaranteed benefits as they</w:t>
      </w:r>
      <w:r>
        <w:rPr>
          <w:rFonts w:eastAsia="Times New Roman"/>
          <w:color w:val="000000"/>
          <w:sz w:val="20"/>
          <w:szCs w:val="20"/>
        </w:rPr>
        <w:t xml:space="preserve"> have been made available. This program utilizes derivative contracts, such as exchange-traded equity, currency and interest rate futures contracts, total return and/or equity swaps, interest rate swap and floor contracts, swaptions, variance swaps as well</w:t>
      </w:r>
      <w:r>
        <w:rPr>
          <w:rFonts w:eastAsia="Times New Roman"/>
          <w:color w:val="000000"/>
          <w:sz w:val="20"/>
          <w:szCs w:val="20"/>
        </w:rPr>
        <w:t xml:space="preserve"> as equity options, that collectively are managed in an effort to reduce the economic impact of unfavorable changes in guaranteed benefits’ exposures attributable to movements in the capital markets. At the present time, this program hedges certain economi</w:t>
      </w:r>
      <w:r>
        <w:rPr>
          <w:rFonts w:eastAsia="Times New Roman"/>
          <w:color w:val="000000"/>
          <w:sz w:val="20"/>
          <w:szCs w:val="20"/>
        </w:rPr>
        <w:t xml:space="preserve">c risks on products sold from 2001 forward, to the extent such risks are not externally reinsured. </w:t>
      </w:r>
    </w:p>
    <w:p w:rsidR="00000000" w:rsidRDefault="005C524C">
      <w:pPr>
        <w:divId w:val="792820242"/>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w:t>
      </w:r>
      <w:r>
        <w:rPr>
          <w:rFonts w:eastAsia="Times New Roman"/>
          <w:color w:val="000000"/>
          <w:sz w:val="20"/>
          <w:szCs w:val="20"/>
        </w:rPr>
        <w:t>nt period changes in fair value, are recognized in net derivative gains (losses) in the period in which they occur, and may contribute to income (loss) volatility.</w:t>
      </w:r>
    </w:p>
    <w:p w:rsidR="00000000" w:rsidRDefault="005C524C">
      <w:pPr>
        <w:divId w:val="647629191"/>
        <w:rPr>
          <w:rFonts w:eastAsia="Times New Roman"/>
        </w:rPr>
      </w:pPr>
      <w:r>
        <w:rPr>
          <w:rFonts w:eastAsia="Times New Roman"/>
          <w:color w:val="000000"/>
          <w:sz w:val="20"/>
          <w:szCs w:val="20"/>
          <w:u w:val="single"/>
        </w:rPr>
        <w:t>Variable and Interest-Sensitive Life Insurance Policies – NLG</w:t>
      </w:r>
    </w:p>
    <w:p w:rsidR="00000000" w:rsidRDefault="005C524C">
      <w:pPr>
        <w:divId w:val="462964783"/>
        <w:rPr>
          <w:rFonts w:eastAsia="Times New Roman"/>
        </w:rPr>
      </w:pPr>
      <w:r>
        <w:rPr>
          <w:rFonts w:eastAsia="Times New Roman"/>
          <w:color w:val="000000"/>
          <w:sz w:val="20"/>
          <w:szCs w:val="20"/>
        </w:rPr>
        <w:t>The NLG feature contained in v</w:t>
      </w:r>
      <w:r>
        <w:rPr>
          <w:rFonts w:eastAsia="Times New Roman"/>
          <w:color w:val="000000"/>
          <w:sz w:val="20"/>
          <w:szCs w:val="20"/>
        </w:rPr>
        <w:t>ariable and interest-sensitive life insurance policies keeps them in force in situations where the policy value is not sufficient to cover monthly charges then due. The NLG remains in effect so long as the policy meets a contractually specified premium fun</w:t>
      </w:r>
      <w:r>
        <w:rPr>
          <w:rFonts w:eastAsia="Times New Roman"/>
          <w:color w:val="000000"/>
          <w:sz w:val="20"/>
          <w:szCs w:val="20"/>
        </w:rPr>
        <w:t>ding test and certain other requirements.</w:t>
      </w:r>
    </w:p>
    <w:p w:rsidR="00000000" w:rsidRDefault="005C524C">
      <w:pPr>
        <w:divId w:val="1490558783"/>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42"/>
        <w:gridCol w:w="37"/>
        <w:gridCol w:w="120"/>
        <w:gridCol w:w="858"/>
        <w:gridCol w:w="36"/>
        <w:gridCol w:w="36"/>
        <w:gridCol w:w="36"/>
        <w:gridCol w:w="36"/>
        <w:gridCol w:w="120"/>
        <w:gridCol w:w="858"/>
        <w:gridCol w:w="36"/>
        <w:gridCol w:w="36"/>
        <w:gridCol w:w="36"/>
        <w:gridCol w:w="36"/>
        <w:gridCol w:w="120"/>
        <w:gridCol w:w="758"/>
        <w:gridCol w:w="36"/>
        <w:gridCol w:w="36"/>
        <w:gridCol w:w="36"/>
        <w:gridCol w:w="36"/>
        <w:gridCol w:w="120"/>
        <w:gridCol w:w="651"/>
        <w:gridCol w:w="36"/>
        <w:gridCol w:w="36"/>
        <w:gridCol w:w="36"/>
        <w:gridCol w:w="36"/>
        <w:gridCol w:w="36"/>
        <w:gridCol w:w="36"/>
        <w:gridCol w:w="36"/>
      </w:tblGrid>
      <w:tr w:rsidR="00000000">
        <w:trPr>
          <w:divId w:val="1521696657"/>
          <w:jc w:val="center"/>
        </w:trPr>
        <w:tc>
          <w:tcPr>
            <w:tcW w:w="50" w:type="pct"/>
            <w:vAlign w:val="center"/>
            <w:hideMark/>
          </w:tcPr>
          <w:p w:rsidR="00000000" w:rsidRDefault="005C524C">
            <w:pPr>
              <w:rPr>
                <w:rFonts w:eastAsia="Times New Roman"/>
              </w:rPr>
            </w:pPr>
          </w:p>
        </w:tc>
        <w:tc>
          <w:tcPr>
            <w:tcW w:w="24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Direct Liability (1)</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changes in reserves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1696657"/>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balance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676149911"/>
        <w:rPr>
          <w:rFonts w:eastAsia="Times New Roman"/>
        </w:rPr>
      </w:pPr>
      <w:r>
        <w:rPr>
          <w:rFonts w:eastAsia="Times New Roman"/>
          <w:color w:val="000000"/>
          <w:sz w:val="18"/>
          <w:szCs w:val="18"/>
        </w:rPr>
        <w:t>_____________</w:t>
      </w:r>
    </w:p>
    <w:p w:rsidR="00000000" w:rsidRDefault="005C524C">
      <w:pPr>
        <w:ind w:hanging="360"/>
        <w:divId w:val="1106116620"/>
        <w:rPr>
          <w:rFonts w:eastAsia="Times New Roman"/>
        </w:rPr>
      </w:pPr>
      <w:r>
        <w:rPr>
          <w:rFonts w:eastAsia="Times New Roman"/>
          <w:color w:val="000000"/>
          <w:sz w:val="18"/>
          <w:szCs w:val="18"/>
        </w:rPr>
        <w:t>(1)There were no amounts of reinsurance ceded in any period presented.</w:t>
      </w:r>
    </w:p>
    <w:p w:rsidR="00000000" w:rsidRDefault="005C524C">
      <w:pPr>
        <w:ind w:firstLine="720"/>
        <w:divId w:val="1613053362"/>
        <w:rPr>
          <w:rFonts w:eastAsia="Times New Roman"/>
        </w:rPr>
      </w:pPr>
      <w:r>
        <w:rPr>
          <w:rFonts w:eastAsia="Times New Roman"/>
          <w:b/>
          <w:bCs/>
          <w:color w:val="000000"/>
          <w:sz w:val="20"/>
          <w:szCs w:val="20"/>
        </w:rPr>
        <w:t>7)    </w:t>
      </w:r>
      <w:r>
        <w:rPr>
          <w:rFonts w:eastAsia="Times New Roman"/>
          <w:b/>
          <w:bCs/>
          <w:color w:val="000000"/>
          <w:sz w:val="20"/>
          <w:szCs w:val="20"/>
        </w:rPr>
        <w:t xml:space="preserve">FAIR VALUE DISCLOSURES </w:t>
      </w:r>
    </w:p>
    <w:p w:rsidR="00000000" w:rsidRDefault="005C524C">
      <w:pPr>
        <w:divId w:val="1797991157"/>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w:t>
      </w:r>
      <w:r>
        <w:rPr>
          <w:rFonts w:eastAsia="Times New Roman"/>
          <w:color w:val="000000"/>
          <w:sz w:val="20"/>
          <w:szCs w:val="20"/>
        </w:rPr>
        <w:t>sed to measure fair value:</w:t>
      </w:r>
    </w:p>
    <w:p w:rsidR="00000000" w:rsidRDefault="005C524C">
      <w:pPr>
        <w:ind w:hanging="360"/>
        <w:jc w:val="both"/>
        <w:divId w:val="371157809"/>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w:t>
      </w:r>
      <w:r>
        <w:rPr>
          <w:rFonts w:eastAsia="Times New Roman"/>
          <w:color w:val="000000"/>
          <w:sz w:val="20"/>
          <w:szCs w:val="20"/>
        </w:rPr>
        <w:t xml:space="preserve"> an ongoing basis.</w:t>
      </w:r>
    </w:p>
    <w:p w:rsidR="00000000" w:rsidRDefault="005C524C">
      <w:pPr>
        <w:jc w:val="center"/>
        <w:divId w:val="1722095226"/>
        <w:rPr>
          <w:rFonts w:eastAsia="Times New Roman"/>
        </w:rPr>
      </w:pPr>
    </w:p>
    <w:p w:rsidR="00000000" w:rsidRDefault="005C524C">
      <w:pPr>
        <w:jc w:val="center"/>
        <w:divId w:val="1722095226"/>
        <w:rPr>
          <w:rFonts w:eastAsia="Times New Roman"/>
        </w:rPr>
      </w:pPr>
      <w:r>
        <w:rPr>
          <w:rFonts w:eastAsia="Times New Roman"/>
          <w:color w:val="000000"/>
          <w:sz w:val="20"/>
          <w:szCs w:val="20"/>
        </w:rPr>
        <w:t>40</w:t>
      </w:r>
    </w:p>
    <w:p w:rsidR="00000000" w:rsidRDefault="005C524C">
      <w:pPr>
        <w:rPr>
          <w:rFonts w:eastAsia="Times New Roman"/>
        </w:rPr>
      </w:pPr>
      <w:r>
        <w:rPr>
          <w:rFonts w:eastAsia="Times New Roman"/>
        </w:rPr>
        <w:pict>
          <v:rect id="_x0000_i1066" style="width:0;height:1.5pt" o:hralign="center" o:hrstd="t" o:hr="t" fillcolor="#a0a0a0" stroked="f"/>
        </w:pict>
      </w:r>
    </w:p>
    <w:p w:rsidR="00000000" w:rsidRDefault="005C524C">
      <w:pPr>
        <w:divId w:val="67869710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08045333"/>
        <w:rPr>
          <w:rFonts w:eastAsia="Times New Roman"/>
        </w:rPr>
      </w:pPr>
      <w:r>
        <w:rPr>
          <w:rFonts w:eastAsia="Times New Roman"/>
          <w:b/>
          <w:bCs/>
          <w:color w:val="000000"/>
          <w:sz w:val="20"/>
          <w:szCs w:val="20"/>
        </w:rPr>
        <w:t>EQUITABLE HOLDINGS, INC.</w:t>
      </w:r>
    </w:p>
    <w:p w:rsidR="00000000" w:rsidRDefault="005C524C">
      <w:pPr>
        <w:jc w:val="center"/>
        <w:divId w:val="608045333"/>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08045333"/>
        <w:rPr>
          <w:rFonts w:eastAsia="Times New Roman"/>
        </w:rPr>
      </w:pPr>
    </w:p>
    <w:p w:rsidR="00000000" w:rsidRDefault="005C524C">
      <w:pPr>
        <w:ind w:hanging="360"/>
        <w:jc w:val="both"/>
        <w:divId w:val="87969971"/>
        <w:rPr>
          <w:rFonts w:eastAsia="Times New Roman"/>
        </w:rPr>
      </w:pPr>
      <w:r>
        <w:rPr>
          <w:rFonts w:eastAsia="Times New Roman"/>
          <w:color w:val="000000"/>
          <w:sz w:val="20"/>
          <w:szCs w:val="20"/>
        </w:rPr>
        <w:t xml:space="preserve">Level 2    Observable inputs other than Level 1 prices, such as quoted prices for similar instruments, quoted prices in markets that are not active, and inputs to model-derived valuations </w:t>
      </w:r>
      <w:r>
        <w:rPr>
          <w:rFonts w:eastAsia="Times New Roman"/>
          <w:color w:val="000000"/>
          <w:sz w:val="20"/>
          <w:szCs w:val="20"/>
        </w:rPr>
        <w:t>that are directly observable or can be corroborated by observable market data.</w:t>
      </w:r>
    </w:p>
    <w:p w:rsidR="00000000" w:rsidRDefault="005C524C">
      <w:pPr>
        <w:ind w:hanging="360"/>
        <w:jc w:val="both"/>
        <w:divId w:val="369233712"/>
        <w:rPr>
          <w:rFonts w:eastAsia="Times New Roman"/>
        </w:rPr>
      </w:pPr>
      <w:r>
        <w:rPr>
          <w:rFonts w:eastAsia="Times New Roman"/>
          <w:color w:val="000000"/>
          <w:sz w:val="20"/>
          <w:szCs w:val="20"/>
        </w:rPr>
        <w:t>Level 3    Unobservable inputs supported by little or no market activity and often requiring significant management judgment or estimation, such as an entity’s own assumptions a</w:t>
      </w:r>
      <w:r>
        <w:rPr>
          <w:rFonts w:eastAsia="Times New Roman"/>
          <w:color w:val="000000"/>
          <w:sz w:val="20"/>
          <w:szCs w:val="20"/>
        </w:rPr>
        <w:t>bout the cash flows or other significant components of value that market participants would use in pricing the asset or liability.</w:t>
      </w:r>
    </w:p>
    <w:p w:rsidR="00000000" w:rsidRDefault="005C524C">
      <w:pPr>
        <w:divId w:val="1018433261"/>
        <w:rPr>
          <w:rFonts w:eastAsia="Times New Roman"/>
        </w:rPr>
      </w:pPr>
      <w:r>
        <w:rPr>
          <w:rFonts w:eastAsia="Times New Roman"/>
          <w:color w:val="000000"/>
          <w:sz w:val="20"/>
          <w:szCs w:val="20"/>
        </w:rPr>
        <w:t>The Company uses unadjusted quoted market prices to measure fair value for those instruments that are actively traded in fina</w:t>
      </w:r>
      <w:r>
        <w:rPr>
          <w:rFonts w:eastAsia="Times New Roman"/>
          <w:color w:val="000000"/>
          <w:sz w:val="20"/>
          <w:szCs w:val="20"/>
        </w:rPr>
        <w:t xml:space="preserve">ncial markets. In cases where quoted market prices are not available, fair values are measured using present value or other valuation techniques. The fair value determinations are made at a specific point in time, based on available market information and </w:t>
      </w:r>
      <w:r>
        <w:rPr>
          <w:rFonts w:eastAsia="Times New Roman"/>
          <w:color w:val="000000"/>
          <w:sz w:val="20"/>
          <w:szCs w:val="20"/>
        </w:rPr>
        <w:t>judgments about the financial instrument, including estimates of the timing and amount of expected future cash flows and the credit standing of counterparties. Such adjustments do not reflect any premium or discount that could result from offering for sale</w:t>
      </w:r>
      <w:r>
        <w:rPr>
          <w:rFonts w:eastAsia="Times New Roman"/>
          <w:color w:val="000000"/>
          <w:sz w:val="20"/>
          <w:szCs w:val="20"/>
        </w:rPr>
        <w:t xml:space="preserve"> at one time the Company’s entire holdings of a particular financial instrument, nor do they consider the tax impact of the realization of unrealized gains or losses. In many cases, the fair value cannot be substantiated by direct comparison to independent</w:t>
      </w:r>
      <w:r>
        <w:rPr>
          <w:rFonts w:eastAsia="Times New Roman"/>
          <w:color w:val="000000"/>
          <w:sz w:val="20"/>
          <w:szCs w:val="20"/>
        </w:rPr>
        <w:t xml:space="preserve"> markets, nor can the disclosed value be realized in immediate settlement of the instrument.</w:t>
      </w:r>
    </w:p>
    <w:p w:rsidR="00000000" w:rsidRDefault="005C524C">
      <w:pPr>
        <w:divId w:val="589968248"/>
        <w:rPr>
          <w:rFonts w:eastAsia="Times New Roman"/>
        </w:rPr>
      </w:pPr>
      <w:r>
        <w:rPr>
          <w:rFonts w:eastAsia="Times New Roman"/>
          <w:color w:val="000000"/>
          <w:sz w:val="20"/>
          <w:szCs w:val="20"/>
        </w:rPr>
        <w:t>Management is responsible for the determination of the value of investments carried at fair value and the supporting methodologies and assumptions. Under the terms</w:t>
      </w:r>
      <w:r>
        <w:rPr>
          <w:rFonts w:eastAsia="Times New Roman"/>
          <w:color w:val="000000"/>
          <w:sz w:val="20"/>
          <w:szCs w:val="20"/>
        </w:rPr>
        <w:t xml:space="preserve"> of various service agreements, the Company often utilizes independent valuation service providers to gather, analyze, and interpret market information and derive fair values based upon relevant methodologies and assumptions for individual securities. Thes</w:t>
      </w:r>
      <w:r>
        <w:rPr>
          <w:rFonts w:eastAsia="Times New Roman"/>
          <w:color w:val="000000"/>
          <w:sz w:val="20"/>
          <w:szCs w:val="20"/>
        </w:rPr>
        <w:t>e independent valuation service providers typically obtain data about market transactions and other key valuation model inputs from multiple sources and, through the use of widely accepted valuation models, provide a single fair value measurement for indiv</w:t>
      </w:r>
      <w:r>
        <w:rPr>
          <w:rFonts w:eastAsia="Times New Roman"/>
          <w:color w:val="000000"/>
          <w:sz w:val="20"/>
          <w:szCs w:val="20"/>
        </w:rPr>
        <w:t>idual securities for which a fair value has been requested. As further described below with respect to specific asset classes, these inputs include, but are not limited to, market prices for recent trades and transactions in comparable securities, benchmar</w:t>
      </w:r>
      <w:r>
        <w:rPr>
          <w:rFonts w:eastAsia="Times New Roman"/>
          <w:color w:val="000000"/>
          <w:sz w:val="20"/>
          <w:szCs w:val="20"/>
        </w:rPr>
        <w:t>k yields, interest rate yield curves, credit spreads, quoted prices for similar securities, and other market-observable information, as applicable. Specific attributes of the security being valued also are considered, including its term, interest rate, cre</w:t>
      </w:r>
      <w:r>
        <w:rPr>
          <w:rFonts w:eastAsia="Times New Roman"/>
          <w:color w:val="000000"/>
          <w:sz w:val="20"/>
          <w:szCs w:val="20"/>
        </w:rPr>
        <w:t xml:space="preserve">dit rating, industry sector, and when applicable, collateral quality and other security- or issuer-specific information. When insufficient market observable information is available upon which to measure fair value, the Company either will request brokers </w:t>
      </w:r>
      <w:r>
        <w:rPr>
          <w:rFonts w:eastAsia="Times New Roman"/>
          <w:color w:val="000000"/>
          <w:sz w:val="20"/>
          <w:szCs w:val="20"/>
        </w:rPr>
        <w:t>knowledgeable about these securities to provide a non-binding quote or will employ internal valuation models. Fair values received from independent valuation service providers and brokers and those internally modeled or otherwise estimated are assessed for</w:t>
      </w:r>
      <w:r>
        <w:rPr>
          <w:rFonts w:eastAsia="Times New Roman"/>
          <w:color w:val="000000"/>
          <w:sz w:val="20"/>
          <w:szCs w:val="20"/>
        </w:rPr>
        <w:t xml:space="preserve"> reasonableness.</w:t>
      </w:r>
    </w:p>
    <w:p w:rsidR="00000000" w:rsidRDefault="005C524C">
      <w:pPr>
        <w:divId w:val="641039632"/>
        <w:rPr>
          <w:rFonts w:eastAsia="Times New Roman"/>
        </w:rPr>
      </w:pPr>
      <w:r>
        <w:rPr>
          <w:rFonts w:eastAsia="Times New Roman"/>
          <w:color w:val="000000"/>
          <w:sz w:val="20"/>
          <w:szCs w:val="20"/>
          <w:u w:val="single"/>
        </w:rPr>
        <w:t>Assets and Liabilities Measured at Fair Value on a Nonrecurring Basis</w:t>
      </w:r>
    </w:p>
    <w:p w:rsidR="00000000" w:rsidRDefault="005C524C">
      <w:pPr>
        <w:divId w:val="2125035615"/>
        <w:rPr>
          <w:rFonts w:eastAsia="Times New Roman"/>
        </w:rPr>
      </w:pPr>
      <w:r>
        <w:rPr>
          <w:rFonts w:eastAsia="Times New Roman"/>
          <w:color w:val="000000"/>
          <w:sz w:val="20"/>
          <w:szCs w:val="20"/>
        </w:rPr>
        <w:t>Fair value measurements are required on a non-recurring basis for certain assets only when an impairment or other events occur. As of June 30, 2022 and December 31, 2021</w:t>
      </w:r>
      <w:r>
        <w:rPr>
          <w:rFonts w:eastAsia="Times New Roman"/>
          <w:color w:val="000000"/>
          <w:sz w:val="20"/>
          <w:szCs w:val="20"/>
        </w:rPr>
        <w:t>, no assets or liabilities were required to be measured at fair value on a non-recurring basis.</w:t>
      </w:r>
    </w:p>
    <w:p w:rsidR="00000000" w:rsidRDefault="005C524C">
      <w:pPr>
        <w:divId w:val="1860898262"/>
        <w:rPr>
          <w:rFonts w:eastAsia="Times New Roman"/>
        </w:rPr>
      </w:pPr>
      <w:r>
        <w:rPr>
          <w:rFonts w:eastAsia="Times New Roman"/>
          <w:color w:val="000000"/>
          <w:sz w:val="20"/>
          <w:szCs w:val="20"/>
          <w:u w:val="single"/>
        </w:rPr>
        <w:t>Assets and Liabilities Measured at Fair Value on a Recurring Basis</w:t>
      </w:r>
    </w:p>
    <w:p w:rsidR="00000000" w:rsidRDefault="005C524C">
      <w:pPr>
        <w:divId w:val="1244030292"/>
        <w:rPr>
          <w:rFonts w:eastAsia="Times New Roman"/>
        </w:rPr>
      </w:pPr>
      <w:r>
        <w:rPr>
          <w:rFonts w:eastAsia="Times New Roman"/>
          <w:color w:val="000000"/>
          <w:sz w:val="20"/>
          <w:szCs w:val="20"/>
        </w:rPr>
        <w:t xml:space="preserve">Assets and liabilities measured at fair value on a recurring basis are summarized below. </w:t>
      </w:r>
    </w:p>
    <w:p w:rsidR="00000000" w:rsidRDefault="005C524C">
      <w:pPr>
        <w:jc w:val="center"/>
        <w:divId w:val="1673528592"/>
        <w:rPr>
          <w:rFonts w:eastAsia="Times New Roman"/>
        </w:rPr>
      </w:pPr>
    </w:p>
    <w:p w:rsidR="00000000" w:rsidRDefault="005C524C">
      <w:pPr>
        <w:jc w:val="center"/>
        <w:divId w:val="1673528592"/>
        <w:rPr>
          <w:rFonts w:eastAsia="Times New Roman"/>
        </w:rPr>
      </w:pPr>
      <w:r>
        <w:rPr>
          <w:rFonts w:eastAsia="Times New Roman"/>
          <w:color w:val="000000"/>
          <w:sz w:val="20"/>
          <w:szCs w:val="20"/>
        </w:rPr>
        <w:t>4</w:t>
      </w:r>
      <w:r>
        <w:rPr>
          <w:rFonts w:eastAsia="Times New Roman"/>
          <w:color w:val="000000"/>
          <w:sz w:val="20"/>
          <w:szCs w:val="20"/>
        </w:rPr>
        <w:t>1</w:t>
      </w:r>
    </w:p>
    <w:p w:rsidR="00000000" w:rsidRDefault="005C524C">
      <w:pPr>
        <w:rPr>
          <w:rFonts w:eastAsia="Times New Roman"/>
        </w:rPr>
      </w:pPr>
      <w:r>
        <w:rPr>
          <w:rFonts w:eastAsia="Times New Roman"/>
        </w:rPr>
        <w:pict>
          <v:rect id="_x0000_i1067" style="width:0;height:1.5pt" o:hralign="center" o:hrstd="t" o:hr="t" fillcolor="#a0a0a0" stroked="f"/>
        </w:pict>
      </w:r>
    </w:p>
    <w:p w:rsidR="00000000" w:rsidRDefault="005C524C">
      <w:pPr>
        <w:divId w:val="60099108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878202650"/>
        <w:rPr>
          <w:rFonts w:eastAsia="Times New Roman"/>
        </w:rPr>
      </w:pPr>
      <w:r>
        <w:rPr>
          <w:rFonts w:eastAsia="Times New Roman"/>
          <w:b/>
          <w:bCs/>
          <w:color w:val="000000"/>
          <w:sz w:val="20"/>
          <w:szCs w:val="20"/>
        </w:rPr>
        <w:t>EQUITABLE HOLDINGS, INC.</w:t>
      </w:r>
    </w:p>
    <w:p w:rsidR="00000000" w:rsidRDefault="005C524C">
      <w:pPr>
        <w:jc w:val="center"/>
        <w:divId w:val="878202650"/>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878202650"/>
        <w:rPr>
          <w:rFonts w:eastAsia="Times New Roman"/>
        </w:rPr>
      </w:pPr>
    </w:p>
    <w:p w:rsidR="00000000" w:rsidRDefault="005C524C">
      <w:pPr>
        <w:jc w:val="center"/>
        <w:rPr>
          <w:rFonts w:eastAsia="Times New Roman"/>
        </w:rPr>
      </w:pPr>
      <w:r>
        <w:rPr>
          <w:rFonts w:eastAsia="Times New Roman"/>
          <w:b/>
          <w:bCs/>
          <w:color w:val="000000"/>
          <w:sz w:val="20"/>
          <w:szCs w:val="20"/>
        </w:rPr>
        <w:t>Fair Value Measurements as of June 30, 2022</w:t>
      </w:r>
    </w:p>
    <w:p w:rsidR="00000000" w:rsidRDefault="005C524C">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1716079812"/>
        </w:trPr>
        <w:tc>
          <w:tcPr>
            <w:tcW w:w="50" w:type="pct"/>
            <w:vAlign w:val="center"/>
            <w:hideMark/>
          </w:tcPr>
          <w:p w:rsidR="00000000" w:rsidRDefault="005C524C">
            <w:pPr>
              <w:jc w:val="center"/>
              <w:rPr>
                <w:rFonts w:eastAsia="Times New Roman"/>
              </w:rPr>
            </w:pPr>
          </w:p>
        </w:tc>
        <w:tc>
          <w:tcPr>
            <w:tcW w:w="237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171607981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71607981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954874253"/>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1900820981"/>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2055931591"/>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65,414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1,840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67,254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363)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369380337"/>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3,033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115,940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50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116,817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75,137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8,563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200,517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4524974"/>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16079812"/>
        </w:trPr>
        <w:tc>
          <w:tcPr>
            <w:tcW w:w="0" w:type="auto"/>
            <w:gridSpan w:val="3"/>
            <w:shd w:val="clear" w:color="auto" w:fill="FFFFFF"/>
            <w:tcMar>
              <w:top w:w="30" w:type="dxa"/>
              <w:left w:w="50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10,264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647132322"/>
        <w:rPr>
          <w:rFonts w:eastAsia="Times New Roman"/>
        </w:rPr>
      </w:pPr>
      <w:r>
        <w:rPr>
          <w:rFonts w:eastAsia="Times New Roman"/>
          <w:color w:val="000000"/>
          <w:sz w:val="20"/>
          <w:szCs w:val="20"/>
        </w:rPr>
        <w:t>______________</w:t>
      </w:r>
    </w:p>
    <w:p w:rsidR="00000000" w:rsidRDefault="005C524C">
      <w:pPr>
        <w:ind w:hanging="360"/>
        <w:divId w:val="399137980"/>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5C524C">
      <w:pPr>
        <w:ind w:hanging="360"/>
        <w:divId w:val="721438864"/>
        <w:rPr>
          <w:rFonts w:eastAsia="Times New Roman"/>
        </w:rPr>
      </w:pPr>
      <w:r>
        <w:rPr>
          <w:rFonts w:eastAsia="Times New Roman"/>
          <w:color w:val="000000"/>
          <w:sz w:val="18"/>
          <w:szCs w:val="18"/>
        </w:rPr>
        <w:t>(2)Includes publicly traded agency pass-through securities and collateralized obligations.</w:t>
      </w:r>
    </w:p>
    <w:p w:rsidR="00000000" w:rsidRDefault="005C524C">
      <w:pPr>
        <w:ind w:hanging="360"/>
        <w:divId w:val="1811239471"/>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5C524C">
      <w:pPr>
        <w:ind w:hanging="360"/>
        <w:divId w:val="87624154"/>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June 30, 2022, the fair value of such investments was $438 million.</w:t>
      </w:r>
    </w:p>
    <w:p w:rsidR="00000000" w:rsidRDefault="005C524C">
      <w:pPr>
        <w:jc w:val="center"/>
        <w:divId w:val="1791126114"/>
        <w:rPr>
          <w:rFonts w:eastAsia="Times New Roman"/>
        </w:rPr>
      </w:pPr>
    </w:p>
    <w:p w:rsidR="00000000" w:rsidRDefault="005C524C">
      <w:pPr>
        <w:jc w:val="center"/>
        <w:divId w:val="1791126114"/>
        <w:rPr>
          <w:rFonts w:eastAsia="Times New Roman"/>
        </w:rPr>
      </w:pPr>
      <w:r>
        <w:rPr>
          <w:rFonts w:eastAsia="Times New Roman"/>
          <w:color w:val="000000"/>
          <w:sz w:val="20"/>
          <w:szCs w:val="20"/>
        </w:rPr>
        <w:t>42</w:t>
      </w:r>
    </w:p>
    <w:p w:rsidR="00000000" w:rsidRDefault="005C524C">
      <w:pPr>
        <w:rPr>
          <w:rFonts w:eastAsia="Times New Roman"/>
        </w:rPr>
      </w:pPr>
      <w:r>
        <w:rPr>
          <w:rFonts w:eastAsia="Times New Roman"/>
        </w:rPr>
        <w:pict>
          <v:rect id="_x0000_i1068" style="width:0;height:1.5pt" o:hralign="center" o:hrstd="t" o:hr="t" fillcolor="#a0a0a0" stroked="f"/>
        </w:pict>
      </w:r>
    </w:p>
    <w:p w:rsidR="00000000" w:rsidRDefault="005C524C">
      <w:pPr>
        <w:divId w:val="10238839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757941211"/>
        <w:rPr>
          <w:rFonts w:eastAsia="Times New Roman"/>
        </w:rPr>
      </w:pPr>
      <w:r>
        <w:rPr>
          <w:rFonts w:eastAsia="Times New Roman"/>
          <w:b/>
          <w:bCs/>
          <w:color w:val="000000"/>
          <w:sz w:val="20"/>
          <w:szCs w:val="20"/>
        </w:rPr>
        <w:t>EQUITABLE HOLDINGS, INC.</w:t>
      </w:r>
    </w:p>
    <w:p w:rsidR="00000000" w:rsidRDefault="005C524C">
      <w:pPr>
        <w:jc w:val="center"/>
        <w:divId w:val="1757941211"/>
        <w:rPr>
          <w:rFonts w:eastAsia="Times New Roman"/>
        </w:rPr>
      </w:pPr>
      <w:r>
        <w:rPr>
          <w:rFonts w:eastAsia="Times New Roman"/>
          <w:b/>
          <w:bCs/>
          <w:color w:val="000000"/>
          <w:sz w:val="20"/>
          <w:szCs w:val="20"/>
        </w:rPr>
        <w:t>Notes to Consolidated Financial St</w:t>
      </w:r>
      <w:r>
        <w:rPr>
          <w:rFonts w:eastAsia="Times New Roman"/>
          <w:b/>
          <w:bCs/>
          <w:color w:val="000000"/>
          <w:sz w:val="20"/>
          <w:szCs w:val="20"/>
        </w:rPr>
        <w:t>atements (Unaudited), Continued</w:t>
      </w:r>
    </w:p>
    <w:p w:rsidR="00000000" w:rsidRDefault="005C524C">
      <w:pPr>
        <w:jc w:val="center"/>
        <w:divId w:val="1757941211"/>
        <w:rPr>
          <w:rFonts w:eastAsia="Times New Roman"/>
        </w:rPr>
      </w:pPr>
    </w:p>
    <w:p w:rsidR="00000000" w:rsidRDefault="005C524C">
      <w:pPr>
        <w:ind w:hanging="360"/>
        <w:divId w:val="505558536"/>
        <w:rPr>
          <w:rFonts w:eastAsia="Times New Roman"/>
        </w:rPr>
      </w:pPr>
      <w:r>
        <w:rPr>
          <w:rFonts w:eastAsia="Times New Roman"/>
          <w:color w:val="000000"/>
          <w:sz w:val="18"/>
          <w:szCs w:val="18"/>
        </w:rPr>
        <w:t>(5)Includes CLO short-term debt of $245 million, which is inclusive as fair valued within Notes issued by consolidated VIE’s, at fair value using the fair value option. Accrued interest payable of $8 million is reported in</w:t>
      </w:r>
      <w:r>
        <w:rPr>
          <w:rFonts w:eastAsia="Times New Roman"/>
          <w:color w:val="000000"/>
          <w:sz w:val="18"/>
          <w:szCs w:val="18"/>
        </w:rPr>
        <w:t xml:space="preserve"> Notes issued by consolidated VIE’s, at fair value using the fair value option in the consolidated balance sheets, which is not required to be measured at fair value on a recurring basis.</w:t>
      </w:r>
    </w:p>
    <w:p w:rsidR="00000000" w:rsidRDefault="005C524C">
      <w:pPr>
        <w:ind w:hanging="360"/>
        <w:divId w:val="1894732614"/>
        <w:rPr>
          <w:rFonts w:eastAsia="Times New Roman"/>
        </w:rPr>
      </w:pPr>
      <w:r>
        <w:rPr>
          <w:rFonts w:eastAsia="Times New Roman"/>
          <w:color w:val="000000"/>
          <w:sz w:val="18"/>
          <w:szCs w:val="18"/>
        </w:rPr>
        <w:t xml:space="preserve">(6)This represents GMIB NLG ceded reserves related to the Venerable </w:t>
      </w:r>
      <w:r>
        <w:rPr>
          <w:rFonts w:eastAsia="Times New Roman"/>
          <w:color w:val="000000"/>
          <w:sz w:val="18"/>
          <w:szCs w:val="18"/>
        </w:rPr>
        <w:t>Transaction. See Note 1 of the Notes to these Consolidated Financial Statements for details of the Venerable Transaction.</w:t>
      </w:r>
    </w:p>
    <w:p w:rsidR="00000000" w:rsidRDefault="005C524C">
      <w:pPr>
        <w:ind w:hanging="360"/>
        <w:divId w:val="1195266091"/>
        <w:rPr>
          <w:rFonts w:eastAsia="Times New Roman"/>
        </w:rPr>
      </w:pPr>
      <w:r>
        <w:rPr>
          <w:rFonts w:eastAsia="Times New Roman"/>
          <w:color w:val="000000"/>
          <w:sz w:val="18"/>
          <w:szCs w:val="18"/>
        </w:rPr>
        <w:t xml:space="preserve">(7)Includes short position equity securities of $15 </w:t>
      </w:r>
      <w:r>
        <w:rPr>
          <w:rFonts w:eastAsia="Times New Roman"/>
          <w:color w:val="000000"/>
          <w:sz w:val="18"/>
          <w:szCs w:val="18"/>
        </w:rPr>
        <w:t>million that are reported in other liabilities.</w:t>
      </w:r>
    </w:p>
    <w:p w:rsidR="00000000" w:rsidRDefault="005C524C">
      <w:pPr>
        <w:jc w:val="center"/>
        <w:rPr>
          <w:rFonts w:eastAsia="Times New Roman"/>
        </w:rPr>
      </w:pPr>
      <w:r>
        <w:rPr>
          <w:rFonts w:eastAsia="Times New Roman"/>
          <w:color w:val="000000"/>
          <w:sz w:val="20"/>
          <w:szCs w:val="20"/>
        </w:rPr>
        <w:t xml:space="preserve">Fair Value Measurements as of December 31, 2021 </w:t>
      </w:r>
    </w:p>
    <w:p w:rsidR="00000000" w:rsidRDefault="005C524C">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277951075"/>
        </w:trPr>
        <w:tc>
          <w:tcPr>
            <w:tcW w:w="50" w:type="pct"/>
            <w:vAlign w:val="center"/>
            <w:hideMark/>
          </w:tcPr>
          <w:p w:rsidR="00000000" w:rsidRDefault="005C524C">
            <w:pPr>
              <w:jc w:val="center"/>
              <w:rPr>
                <w:rFonts w:eastAsia="Times New Roman"/>
              </w:rPr>
            </w:pPr>
          </w:p>
        </w:tc>
        <w:tc>
          <w:tcPr>
            <w:tcW w:w="237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Total</w:t>
            </w:r>
          </w:p>
        </w:tc>
      </w:tr>
      <w:tr w:rsidR="00000000">
        <w:trPr>
          <w:divId w:val="277951075"/>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(in millions)</w:t>
            </w:r>
          </w:p>
        </w:tc>
      </w:tr>
      <w:tr w:rsidR="00000000">
        <w:trPr>
          <w:divId w:val="277951075"/>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570310962"/>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51,007 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52,511 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869805535"/>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756778356"/>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1086458566"/>
              <w:rPr>
                <w:rFonts w:eastAsia="Times New Roman"/>
              </w:rPr>
            </w:pPr>
            <w:r>
              <w:rPr>
                <w:rFonts w:eastAsia="Times New Roman"/>
                <w:color w:val="000000"/>
                <w:sz w:val="20"/>
                <w:szCs w:val="20"/>
              </w:rPr>
              <w:t>Commercial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2,401 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76,649 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78,216 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Fixed maturities, at fair value using the fair value option</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1665281626"/>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7,141 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3,568 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Amounts due from reinsurer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5,813 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247618789"/>
              <w:rPr>
                <w:rFonts w:eastAsia="Times New Roman"/>
              </w:rPr>
            </w:pPr>
            <w:r>
              <w:rPr>
                <w:rFonts w:eastAsia="Times New Roman"/>
                <w:color w:val="000000"/>
                <w:sz w:val="20"/>
                <w:szCs w:val="20"/>
              </w:rPr>
              <w:t>Separate Accounts assets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144,124 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2,572 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146,697 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148,226 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9,511 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247,843 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792216303"/>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6,773 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77951075"/>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8,052 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8,563 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16,631 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357509020"/>
        <w:rPr>
          <w:rFonts w:eastAsia="Times New Roman"/>
        </w:rPr>
      </w:pPr>
      <w:r>
        <w:rPr>
          <w:rFonts w:eastAsia="Times New Roman"/>
          <w:color w:val="000000"/>
          <w:sz w:val="18"/>
          <w:szCs w:val="18"/>
        </w:rPr>
        <w:t>______________</w:t>
      </w:r>
    </w:p>
    <w:p w:rsidR="00000000" w:rsidRDefault="005C524C">
      <w:pPr>
        <w:jc w:val="center"/>
        <w:divId w:val="716245374"/>
        <w:rPr>
          <w:rFonts w:eastAsia="Times New Roman"/>
        </w:rPr>
      </w:pPr>
    </w:p>
    <w:p w:rsidR="00000000" w:rsidRDefault="005C524C">
      <w:pPr>
        <w:jc w:val="center"/>
        <w:divId w:val="716245374"/>
        <w:rPr>
          <w:rFonts w:eastAsia="Times New Roman"/>
        </w:rPr>
      </w:pPr>
      <w:r>
        <w:rPr>
          <w:rFonts w:eastAsia="Times New Roman"/>
          <w:color w:val="000000"/>
          <w:sz w:val="20"/>
          <w:szCs w:val="20"/>
        </w:rPr>
        <w:t>43</w:t>
      </w:r>
    </w:p>
    <w:p w:rsidR="00000000" w:rsidRDefault="005C524C">
      <w:pPr>
        <w:rPr>
          <w:rFonts w:eastAsia="Times New Roman"/>
        </w:rPr>
      </w:pPr>
      <w:r>
        <w:rPr>
          <w:rFonts w:eastAsia="Times New Roman"/>
        </w:rPr>
        <w:pict>
          <v:rect id="_x0000_i1069" style="width:0;height:1.5pt" o:hralign="center" o:hrstd="t" o:hr="t" fillcolor="#a0a0a0" stroked="f"/>
        </w:pict>
      </w:r>
    </w:p>
    <w:p w:rsidR="00000000" w:rsidRDefault="005C524C">
      <w:pPr>
        <w:divId w:val="77367508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46825226"/>
        <w:rPr>
          <w:rFonts w:eastAsia="Times New Roman"/>
        </w:rPr>
      </w:pPr>
      <w:r>
        <w:rPr>
          <w:rFonts w:eastAsia="Times New Roman"/>
          <w:b/>
          <w:bCs/>
          <w:color w:val="000000"/>
          <w:sz w:val="20"/>
          <w:szCs w:val="20"/>
        </w:rPr>
        <w:t>EQUITABLE HOLDINGS, INC.</w:t>
      </w:r>
    </w:p>
    <w:p w:rsidR="00000000" w:rsidRDefault="005C524C">
      <w:pPr>
        <w:jc w:val="center"/>
        <w:divId w:val="14682522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46825226"/>
        <w:rPr>
          <w:rFonts w:eastAsia="Times New Roman"/>
        </w:rPr>
      </w:pPr>
    </w:p>
    <w:p w:rsidR="00000000" w:rsidRDefault="005C524C">
      <w:pPr>
        <w:ind w:hanging="360"/>
        <w:divId w:val="2072733333"/>
        <w:rPr>
          <w:rFonts w:eastAsia="Times New Roman"/>
        </w:rPr>
      </w:pPr>
      <w:r>
        <w:rPr>
          <w:rFonts w:eastAsia="Times New Roman"/>
          <w:color w:val="000000"/>
          <w:sz w:val="18"/>
          <w:szCs w:val="18"/>
        </w:rPr>
        <w:t>(1)</w:t>
      </w:r>
      <w:r>
        <w:rPr>
          <w:rFonts w:eastAsia="Times New Roman"/>
          <w:color w:val="000000"/>
          <w:sz w:val="18"/>
          <w:szCs w:val="18"/>
        </w:rPr>
        <w:t>Corporate fixed maturities includes both public and private issues.</w:t>
      </w:r>
    </w:p>
    <w:p w:rsidR="00000000" w:rsidRDefault="005C524C">
      <w:pPr>
        <w:ind w:hanging="360"/>
        <w:divId w:val="292445155"/>
        <w:rPr>
          <w:rFonts w:eastAsia="Times New Roman"/>
        </w:rPr>
      </w:pPr>
      <w:r>
        <w:rPr>
          <w:rFonts w:eastAsia="Times New Roman"/>
          <w:color w:val="000000"/>
          <w:sz w:val="18"/>
          <w:szCs w:val="18"/>
        </w:rPr>
        <w:t>(2)Includes publicly traded agency pass-through securities and collateralized obligations.</w:t>
      </w:r>
    </w:p>
    <w:p w:rsidR="00000000" w:rsidRDefault="005C524C">
      <w:pPr>
        <w:ind w:hanging="360"/>
        <w:divId w:val="1088649114"/>
        <w:rPr>
          <w:rFonts w:eastAsia="Times New Roman"/>
        </w:rPr>
      </w:pPr>
      <w:r>
        <w:rPr>
          <w:rFonts w:eastAsia="Times New Roman"/>
          <w:color w:val="000000"/>
          <w:sz w:val="18"/>
          <w:szCs w:val="18"/>
        </w:rPr>
        <w:t>(3)Includes credit-tranched securities collateralized by sub-prime mortgages and other asset type</w:t>
      </w:r>
      <w:r>
        <w:rPr>
          <w:rFonts w:eastAsia="Times New Roman"/>
          <w:color w:val="000000"/>
          <w:sz w:val="18"/>
          <w:szCs w:val="18"/>
        </w:rPr>
        <w:t>s and credit tenant loans.</w:t>
      </w:r>
    </w:p>
    <w:p w:rsidR="00000000" w:rsidRDefault="005C524C">
      <w:pPr>
        <w:ind w:hanging="360"/>
        <w:divId w:val="2050641627"/>
        <w:rPr>
          <w:rFonts w:eastAsia="Times New Roman"/>
        </w:rPr>
      </w:pPr>
      <w:r>
        <w:rPr>
          <w:rFonts w:eastAsia="Times New Roman"/>
          <w:color w:val="000000"/>
          <w:sz w:val="18"/>
          <w:szCs w:val="18"/>
        </w:rPr>
        <w:t>(4)Separate Accounts assets included in the fair value hierarchy exclude investments in entities that calculate NAV per share (or its equivalent) as a practical expedient. Such investments excluded from the fair value hierarchy i</w:t>
      </w:r>
      <w:r>
        <w:rPr>
          <w:rFonts w:eastAsia="Times New Roman"/>
          <w:color w:val="000000"/>
          <w:sz w:val="18"/>
          <w:szCs w:val="18"/>
        </w:rPr>
        <w:t>nclude investments in real estate and commercial mortgages. As of December 31, 2021, the fair value of such investments was $404 million.</w:t>
      </w:r>
    </w:p>
    <w:p w:rsidR="00000000" w:rsidRDefault="005C524C">
      <w:pPr>
        <w:ind w:hanging="360"/>
        <w:divId w:val="1059592547"/>
        <w:rPr>
          <w:rFonts w:eastAsia="Times New Roman"/>
        </w:rPr>
      </w:pPr>
      <w:r>
        <w:rPr>
          <w:rFonts w:eastAsia="Times New Roman"/>
          <w:color w:val="000000"/>
          <w:sz w:val="18"/>
          <w:szCs w:val="18"/>
        </w:rPr>
        <w:t xml:space="preserve">(5)Includes CLO short-term debt of $92 million, which is inclusive as fair valued within Notes issued by consolidated </w:t>
      </w:r>
      <w:r>
        <w:rPr>
          <w:rFonts w:eastAsia="Times New Roman"/>
          <w:color w:val="000000"/>
          <w:sz w:val="18"/>
          <w:szCs w:val="18"/>
        </w:rPr>
        <w:t>VIE’s, at fair value using the fair value option Accrued interest payable of $6 million is reported in Notes issued by consolidated VIE’s, at fair value using the fair value option in the consolidated balance sheets, which is not required to be measured at</w:t>
      </w:r>
      <w:r>
        <w:rPr>
          <w:rFonts w:eastAsia="Times New Roman"/>
          <w:color w:val="000000"/>
          <w:sz w:val="18"/>
          <w:szCs w:val="18"/>
        </w:rPr>
        <w:t xml:space="preserve"> fair value on a recurring basis.</w:t>
      </w:r>
    </w:p>
    <w:p w:rsidR="00000000" w:rsidRDefault="005C524C">
      <w:pPr>
        <w:jc w:val="both"/>
        <w:divId w:val="163206636"/>
        <w:rPr>
          <w:rFonts w:eastAsia="Times New Roman"/>
        </w:rPr>
      </w:pPr>
      <w:r>
        <w:rPr>
          <w:rFonts w:eastAsia="Times New Roman"/>
          <w:b/>
          <w:bCs/>
          <w:i/>
          <w:iCs/>
          <w:color w:val="000000"/>
          <w:sz w:val="20"/>
          <w:szCs w:val="20"/>
        </w:rPr>
        <w:t>Public Fixed Maturities</w:t>
      </w:r>
    </w:p>
    <w:p w:rsidR="00000000" w:rsidRDefault="005C524C">
      <w:pPr>
        <w:divId w:val="1933583574"/>
        <w:rPr>
          <w:rFonts w:eastAsia="Times New Roman"/>
        </w:rPr>
      </w:pPr>
      <w:r>
        <w:rPr>
          <w:rFonts w:eastAsia="Times New Roman"/>
          <w:color w:val="000000"/>
          <w:sz w:val="20"/>
          <w:szCs w:val="20"/>
        </w:rPr>
        <w:t>The fair values of the Company’s public fixed maturities, including those accounted for using the fair value option are generally based on prices obtained from independent valuation service provider</w:t>
      </w:r>
      <w:r>
        <w:rPr>
          <w:rFonts w:eastAsia="Times New Roman"/>
          <w:color w:val="000000"/>
          <w:sz w:val="20"/>
          <w:szCs w:val="20"/>
        </w:rPr>
        <w:t xml:space="preserve">s and for which the Company maintains a vendor hierarchy by asset type based on historical pricing experience and vendor expertise. Although each security generally is priced by multiple independent valuation service providers, the Company ultimately uses </w:t>
      </w:r>
      <w:r>
        <w:rPr>
          <w:rFonts w:eastAsia="Times New Roman"/>
          <w:color w:val="000000"/>
          <w:sz w:val="20"/>
          <w:szCs w:val="20"/>
        </w:rPr>
        <w:t xml:space="preserve">the price received from the independent valuation service provider highest in the vendor hierarchy based on the respective asset type, with limited exception. To validate reasonableness, prices also are internally reviewed by those with relevant expertise </w:t>
      </w:r>
      <w:r>
        <w:rPr>
          <w:rFonts w:eastAsia="Times New Roman"/>
          <w:color w:val="000000"/>
          <w:sz w:val="20"/>
          <w:szCs w:val="20"/>
        </w:rPr>
        <w:t>through comparison with directly observed recent market trades. Consistent with the fair value hierarchy, public fixed maturities validated in this manner generally are reflected within Level 2, as they are primarily based on observable pricing for similar</w:t>
      </w:r>
      <w:r>
        <w:rPr>
          <w:rFonts w:eastAsia="Times New Roman"/>
          <w:color w:val="000000"/>
          <w:sz w:val="20"/>
          <w:szCs w:val="20"/>
        </w:rPr>
        <w:t xml:space="preserve"> assets and/or other market observable inputs. </w:t>
      </w:r>
    </w:p>
    <w:p w:rsidR="00000000" w:rsidRDefault="005C524C">
      <w:pPr>
        <w:jc w:val="both"/>
        <w:divId w:val="694961467"/>
        <w:rPr>
          <w:rFonts w:eastAsia="Times New Roman"/>
        </w:rPr>
      </w:pPr>
      <w:r>
        <w:rPr>
          <w:rFonts w:eastAsia="Times New Roman"/>
          <w:b/>
          <w:bCs/>
          <w:i/>
          <w:iCs/>
          <w:color w:val="000000"/>
          <w:sz w:val="20"/>
          <w:szCs w:val="20"/>
        </w:rPr>
        <w:t>Private Fixed Maturities</w:t>
      </w:r>
    </w:p>
    <w:p w:rsidR="00000000" w:rsidRDefault="005C524C">
      <w:pPr>
        <w:divId w:val="222907014"/>
        <w:rPr>
          <w:rFonts w:eastAsia="Times New Roman"/>
        </w:rPr>
      </w:pPr>
      <w:r>
        <w:rPr>
          <w:rFonts w:eastAsia="Times New Roman"/>
          <w:color w:val="000000"/>
          <w:sz w:val="20"/>
          <w:szCs w:val="20"/>
        </w:rPr>
        <w:t>The fair values of the Company’s private fixed maturities, including those accounted for using the fair value option are determined from prices obtained from independent valuation ser</w:t>
      </w:r>
      <w:r>
        <w:rPr>
          <w:rFonts w:eastAsia="Times New Roman"/>
          <w:color w:val="000000"/>
          <w:sz w:val="20"/>
          <w:szCs w:val="20"/>
        </w:rPr>
        <w:t>vice providers. Prices not obtained from an independent valuation service provider are determined by using a discounted cash flow model or a market comparable company valuation technique. In certain cases, these models use observable inputs with a discount</w:t>
      </w:r>
      <w:r>
        <w:rPr>
          <w:rFonts w:eastAsia="Times New Roman"/>
          <w:color w:val="000000"/>
          <w:sz w:val="20"/>
          <w:szCs w:val="20"/>
        </w:rPr>
        <w:t xml:space="preserve"> rate based upon the average of spread surveys collected from private market intermediaries who are active in both primary and secondary transactions, taking into account, among other factors, the credit quality and industry sector of the issuer and the re</w:t>
      </w:r>
      <w:r>
        <w:rPr>
          <w:rFonts w:eastAsia="Times New Roman"/>
          <w:color w:val="000000"/>
          <w:sz w:val="20"/>
          <w:szCs w:val="20"/>
        </w:rPr>
        <w:t>duced liquidity associated with private placements. Generally, these securities have been reflected within Level 2. For certain private fixed maturities, the discounted cash flow model or a market comparable company valuation technique may also incorporate</w:t>
      </w:r>
      <w:r>
        <w:rPr>
          <w:rFonts w:eastAsia="Times New Roman"/>
          <w:color w:val="000000"/>
          <w:sz w:val="20"/>
          <w:szCs w:val="20"/>
        </w:rPr>
        <w:t xml:space="preserve"> unobservable inputs, which reflect the Company’s own assumptions about the inputs market participants would use in pricing the asset. To the extent management determines that such unobservable inputs are significant to the fair value measurement of a secu</w:t>
      </w:r>
      <w:r>
        <w:rPr>
          <w:rFonts w:eastAsia="Times New Roman"/>
          <w:color w:val="000000"/>
          <w:sz w:val="20"/>
          <w:szCs w:val="20"/>
        </w:rPr>
        <w:t>rity, a Level 3 classification generally is made.</w:t>
      </w:r>
    </w:p>
    <w:p w:rsidR="00000000" w:rsidRDefault="005C524C">
      <w:pPr>
        <w:jc w:val="both"/>
        <w:divId w:val="666054509"/>
        <w:rPr>
          <w:rFonts w:eastAsia="Times New Roman"/>
        </w:rPr>
      </w:pPr>
      <w:r>
        <w:rPr>
          <w:rFonts w:eastAsia="Times New Roman"/>
          <w:b/>
          <w:bCs/>
          <w:i/>
          <w:iCs/>
          <w:color w:val="000000"/>
          <w:sz w:val="20"/>
          <w:szCs w:val="20"/>
        </w:rPr>
        <w:t>Notes issued by consolidated VIE’s, at fair value using the fair value option</w:t>
      </w:r>
    </w:p>
    <w:p w:rsidR="00000000" w:rsidRDefault="005C524C">
      <w:pPr>
        <w:divId w:val="131867374"/>
        <w:rPr>
          <w:rFonts w:eastAsia="Times New Roman"/>
        </w:rPr>
      </w:pPr>
      <w:r>
        <w:rPr>
          <w:rFonts w:eastAsia="Times New Roman"/>
          <w:color w:val="000000"/>
          <w:sz w:val="20"/>
          <w:szCs w:val="20"/>
        </w:rPr>
        <w:t>These notes are based on the fair values of corresponding fixed maturity collateral. The CLO liabilities are also reduced by the</w:t>
      </w:r>
      <w:r>
        <w:rPr>
          <w:rFonts w:eastAsia="Times New Roman"/>
          <w:color w:val="000000"/>
          <w:sz w:val="20"/>
          <w:szCs w:val="20"/>
        </w:rPr>
        <w:t xml:space="preserve"> fair value of the beneficial interests the Company retains in the CLO and the carrying value of any beneficial interests that represent compensation for services. As the notes are valued based on the reference collateral, they are classified as Level 2 or</w:t>
      </w:r>
      <w:r>
        <w:rPr>
          <w:rFonts w:eastAsia="Times New Roman"/>
          <w:color w:val="000000"/>
          <w:sz w:val="20"/>
          <w:szCs w:val="20"/>
        </w:rPr>
        <w:t xml:space="preserve"> 3. See “Fair Value Option” below for additional information.</w:t>
      </w:r>
    </w:p>
    <w:p w:rsidR="00000000" w:rsidRDefault="005C524C">
      <w:pPr>
        <w:jc w:val="both"/>
        <w:divId w:val="539518590"/>
        <w:rPr>
          <w:rFonts w:eastAsia="Times New Roman"/>
        </w:rPr>
      </w:pPr>
      <w:r>
        <w:rPr>
          <w:rFonts w:eastAsia="Times New Roman"/>
          <w:b/>
          <w:bCs/>
          <w:i/>
          <w:iCs/>
          <w:color w:val="000000"/>
          <w:sz w:val="20"/>
          <w:szCs w:val="20"/>
        </w:rPr>
        <w:t>Freestanding Derivative Positions</w:t>
      </w:r>
    </w:p>
    <w:p w:rsidR="00000000" w:rsidRDefault="005C524C">
      <w:pPr>
        <w:divId w:val="54863916"/>
        <w:rPr>
          <w:rFonts w:eastAsia="Times New Roman"/>
        </w:rPr>
      </w:pPr>
      <w:r>
        <w:rPr>
          <w:rFonts w:eastAsia="Times New Roman"/>
          <w:color w:val="000000"/>
          <w:sz w:val="20"/>
          <w:szCs w:val="20"/>
        </w:rPr>
        <w:t>The net fair value of the Company’s freestanding derivative positions as disclosed in Note 4 of the Notes to these Consolidated Financial Statements are general</w:t>
      </w:r>
      <w:r>
        <w:rPr>
          <w:rFonts w:eastAsia="Times New Roman"/>
          <w:color w:val="000000"/>
          <w:sz w:val="20"/>
          <w:szCs w:val="20"/>
        </w:rPr>
        <w:t xml:space="preserve">ly based on prices obtained either from independent valuation service providers or derived by applying market inputs from recognized vendors into industry standard pricing models. The majority of these derivative contracts are traded in the OTC derivative </w:t>
      </w:r>
      <w:r>
        <w:rPr>
          <w:rFonts w:eastAsia="Times New Roman"/>
          <w:color w:val="000000"/>
          <w:sz w:val="20"/>
          <w:szCs w:val="20"/>
        </w:rPr>
        <w:t>market and are classified in Level 2. The fair values of derivative assets and liabilities traded in the OTC market are determined using quantitative models that require use of the contractual terms of the derivative instruments and multiple market inputs,</w:t>
      </w:r>
      <w:r>
        <w:rPr>
          <w:rFonts w:eastAsia="Times New Roman"/>
          <w:color w:val="000000"/>
          <w:sz w:val="20"/>
          <w:szCs w:val="20"/>
        </w:rPr>
        <w:t xml:space="preserve"> including interest rates, prices, and indices to generate continuous yield or pricing curves, including overnight index swap curves, and volatility factors, which then are applied to value the positions. The predominance of market inputs is actively quote</w:t>
      </w:r>
      <w:r>
        <w:rPr>
          <w:rFonts w:eastAsia="Times New Roman"/>
          <w:color w:val="000000"/>
          <w:sz w:val="20"/>
          <w:szCs w:val="20"/>
        </w:rPr>
        <w:t>d and can be validated through external sources or reliably interpolated if less observable.</w:t>
      </w:r>
    </w:p>
    <w:p w:rsidR="00000000" w:rsidRDefault="005C524C">
      <w:pPr>
        <w:divId w:val="1016543245"/>
        <w:rPr>
          <w:rFonts w:eastAsia="Times New Roman"/>
        </w:rPr>
      </w:pPr>
      <w:r>
        <w:rPr>
          <w:rFonts w:eastAsia="Times New Roman"/>
          <w:color w:val="000000"/>
          <w:sz w:val="20"/>
          <w:szCs w:val="20"/>
          <w:u w:val="single"/>
        </w:rPr>
        <w:t>Level Classifications of the Company’s Financial Instruments</w:t>
      </w:r>
    </w:p>
    <w:p w:rsidR="00000000" w:rsidRDefault="005C524C">
      <w:pPr>
        <w:jc w:val="both"/>
        <w:divId w:val="1765686527"/>
        <w:rPr>
          <w:rFonts w:eastAsia="Times New Roman"/>
        </w:rPr>
      </w:pPr>
      <w:r>
        <w:rPr>
          <w:rFonts w:eastAsia="Times New Roman"/>
          <w:b/>
          <w:bCs/>
          <w:i/>
          <w:iCs/>
          <w:color w:val="000000"/>
          <w:sz w:val="20"/>
          <w:szCs w:val="20"/>
        </w:rPr>
        <w:t>Financial Instruments Classified as Level 1</w:t>
      </w:r>
    </w:p>
    <w:p w:rsidR="00000000" w:rsidRDefault="005C524C">
      <w:pPr>
        <w:divId w:val="520899863"/>
        <w:rPr>
          <w:rFonts w:eastAsia="Times New Roman"/>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exchange-traded prices of fixed maturities, equity secu</w:t>
      </w:r>
      <w:r>
        <w:rPr>
          <w:rFonts w:eastAsia="Times New Roman"/>
          <w:color w:val="000000"/>
          <w:sz w:val="20"/>
          <w:szCs w:val="20"/>
        </w:rPr>
        <w:t xml:space="preserve">rities and derivative contracts, and net asset values for transacting subscriptions and redemptions </w:t>
      </w:r>
    </w:p>
    <w:p w:rsidR="00000000" w:rsidRDefault="005C524C">
      <w:pPr>
        <w:jc w:val="center"/>
        <w:divId w:val="449321774"/>
        <w:rPr>
          <w:rFonts w:eastAsia="Times New Roman"/>
        </w:rPr>
      </w:pPr>
    </w:p>
    <w:p w:rsidR="00000000" w:rsidRDefault="005C524C">
      <w:pPr>
        <w:jc w:val="center"/>
        <w:divId w:val="449321774"/>
        <w:rPr>
          <w:rFonts w:eastAsia="Times New Roman"/>
        </w:rPr>
      </w:pPr>
      <w:r>
        <w:rPr>
          <w:rFonts w:eastAsia="Times New Roman"/>
          <w:color w:val="000000"/>
          <w:sz w:val="20"/>
          <w:szCs w:val="20"/>
        </w:rPr>
        <w:t>44</w:t>
      </w:r>
    </w:p>
    <w:p w:rsidR="00000000" w:rsidRDefault="005C524C">
      <w:pPr>
        <w:rPr>
          <w:rFonts w:eastAsia="Times New Roman"/>
        </w:rPr>
      </w:pPr>
      <w:r>
        <w:rPr>
          <w:rFonts w:eastAsia="Times New Roman"/>
        </w:rPr>
        <w:pict>
          <v:rect id="_x0000_i1070" style="width:0;height:1.5pt" o:hralign="center" o:hrstd="t" o:hr="t" fillcolor="#a0a0a0" stroked="f"/>
        </w:pict>
      </w:r>
    </w:p>
    <w:p w:rsidR="00000000" w:rsidRDefault="005C524C">
      <w:pPr>
        <w:divId w:val="32370617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562252633"/>
        <w:rPr>
          <w:rFonts w:eastAsia="Times New Roman"/>
        </w:rPr>
      </w:pPr>
      <w:r>
        <w:rPr>
          <w:rFonts w:eastAsia="Times New Roman"/>
          <w:b/>
          <w:bCs/>
          <w:color w:val="000000"/>
          <w:sz w:val="20"/>
          <w:szCs w:val="20"/>
        </w:rPr>
        <w:t>EQUITABLE HOLDINGS, INC.</w:t>
      </w:r>
    </w:p>
    <w:p w:rsidR="00000000" w:rsidRDefault="005C524C">
      <w:pPr>
        <w:jc w:val="center"/>
        <w:divId w:val="562252633"/>
        <w:rPr>
          <w:rFonts w:eastAsia="Times New Roman"/>
        </w:rPr>
      </w:pPr>
      <w:r>
        <w:rPr>
          <w:rFonts w:eastAsia="Times New Roman"/>
          <w:b/>
          <w:bCs/>
          <w:color w:val="000000"/>
          <w:sz w:val="20"/>
          <w:szCs w:val="20"/>
        </w:rPr>
        <w:t>Notes to Con</w:t>
      </w:r>
      <w:r>
        <w:rPr>
          <w:rFonts w:eastAsia="Times New Roman"/>
          <w:b/>
          <w:bCs/>
          <w:color w:val="000000"/>
          <w:sz w:val="20"/>
          <w:szCs w:val="20"/>
        </w:rPr>
        <w:t>solidated Financial Statements (Unaudited), Continued</w:t>
      </w:r>
    </w:p>
    <w:p w:rsidR="00000000" w:rsidRDefault="005C524C">
      <w:pPr>
        <w:jc w:val="center"/>
        <w:divId w:val="562252633"/>
        <w:rPr>
          <w:rFonts w:eastAsia="Times New Roman"/>
        </w:rPr>
      </w:pPr>
    </w:p>
    <w:p w:rsidR="00000000" w:rsidRDefault="005C524C">
      <w:pPr>
        <w:divId w:val="975833844"/>
        <w:rPr>
          <w:rFonts w:eastAsia="Times New Roman"/>
        </w:rPr>
      </w:pPr>
      <w:r>
        <w:rPr>
          <w:rFonts w:eastAsia="Times New Roman"/>
          <w:color w:val="000000"/>
          <w:sz w:val="20"/>
          <w:szCs w:val="20"/>
        </w:rPr>
        <w:t>of mutual fund shares held by Separate Accounts. Cash equivalents classified as Level 1 include money market accounts, overnight commercial paper and highly liquid debt instruments purchased with an original maturity of three months or less and are carried</w:t>
      </w:r>
      <w:r>
        <w:rPr>
          <w:rFonts w:eastAsia="Times New Roman"/>
          <w:color w:val="000000"/>
          <w:sz w:val="20"/>
          <w:szCs w:val="20"/>
        </w:rPr>
        <w:t xml:space="preserve"> at cost as a proxy for fair value measurement due to their short-term nature.</w:t>
      </w:r>
    </w:p>
    <w:p w:rsidR="00000000" w:rsidRDefault="005C524C">
      <w:pPr>
        <w:jc w:val="both"/>
        <w:divId w:val="1146894681"/>
        <w:rPr>
          <w:rFonts w:eastAsia="Times New Roman"/>
        </w:rPr>
      </w:pPr>
      <w:r>
        <w:rPr>
          <w:rFonts w:eastAsia="Times New Roman"/>
          <w:b/>
          <w:bCs/>
          <w:i/>
          <w:iCs/>
          <w:color w:val="000000"/>
          <w:sz w:val="20"/>
          <w:szCs w:val="20"/>
        </w:rPr>
        <w:t>Financial Instruments Classified as Level 2</w:t>
      </w:r>
    </w:p>
    <w:p w:rsidR="00000000" w:rsidRDefault="005C524C">
      <w:pPr>
        <w:divId w:val="747925324"/>
        <w:rPr>
          <w:rFonts w:eastAsia="Times New Roman"/>
        </w:rPr>
      </w:pPr>
      <w:r>
        <w:rPr>
          <w:rFonts w:eastAsia="Times New Roman"/>
          <w:color w:val="000000"/>
          <w:sz w:val="20"/>
          <w:szCs w:val="20"/>
        </w:rPr>
        <w:t>Investments classified as Level 2 are measured at fair value on a recurring basis and primarily include U.S. government and agency se</w:t>
      </w:r>
      <w:r>
        <w:rPr>
          <w:rFonts w:eastAsia="Times New Roman"/>
          <w:color w:val="000000"/>
          <w:sz w:val="20"/>
          <w:szCs w:val="20"/>
        </w:rPr>
        <w:t>curities, certain corporate debt securities and financial assets and liabilities accounted for using the fair value option, such as public and private fixed maturities. As market quotes generally are not readily available or accessible for these securities</w:t>
      </w:r>
      <w:r>
        <w:rPr>
          <w:rFonts w:eastAsia="Times New Roman"/>
          <w:color w:val="000000"/>
          <w:sz w:val="20"/>
          <w:szCs w:val="20"/>
        </w:rPr>
        <w:t>, their fair value measures are determined utilizing relevant information generated by market transactions involving comparable securities and often are based on model pricing techniques that effectively discount prospective cash flows to present value usi</w:t>
      </w:r>
      <w:r>
        <w:rPr>
          <w:rFonts w:eastAsia="Times New Roman"/>
          <w:color w:val="000000"/>
          <w:sz w:val="20"/>
          <w:szCs w:val="20"/>
        </w:rPr>
        <w:t xml:space="preserve">ng appropriate sector-adjusted credit spreads commensurate with the security’s duration, also taking into consideration issuer-specific credit quality and liquidity. Segregated securities classified as Level 2 are U.S. Treasury bills segregated by AB in a </w:t>
      </w:r>
      <w:r>
        <w:rPr>
          <w:rFonts w:eastAsia="Times New Roman"/>
          <w:color w:val="000000"/>
          <w:sz w:val="20"/>
          <w:szCs w:val="20"/>
        </w:rPr>
        <w:t>special reserve bank custody account for the exclusive benefit of brokerage customers, as required by Rule 15c3-3 of the Exchange Act and for which fair values are based on quoted yields in secondary markets.</w:t>
      </w:r>
    </w:p>
    <w:p w:rsidR="00000000" w:rsidRDefault="005C524C">
      <w:pPr>
        <w:divId w:val="1786971013"/>
        <w:rPr>
          <w:rFonts w:eastAsia="Times New Roman"/>
        </w:rPr>
      </w:pPr>
      <w:r>
        <w:rPr>
          <w:rFonts w:eastAsia="Times New Roman"/>
          <w:color w:val="000000"/>
          <w:sz w:val="20"/>
          <w:szCs w:val="20"/>
        </w:rPr>
        <w:t>Observable inputs generally used to measure the</w:t>
      </w:r>
      <w:r>
        <w:rPr>
          <w:rFonts w:eastAsia="Times New Roman"/>
          <w:color w:val="000000"/>
          <w:sz w:val="20"/>
          <w:szCs w:val="20"/>
        </w:rPr>
        <w:t xml:space="preserve"> fair value of securities classified as Level 2 include benchmark yields, reported secondary trades, issuer spreads, benchmark securities and other reference data. Additional observable inputs are used when available, and as may be appropriate, for certain</w:t>
      </w:r>
      <w:r>
        <w:rPr>
          <w:rFonts w:eastAsia="Times New Roman"/>
          <w:color w:val="000000"/>
          <w:sz w:val="20"/>
          <w:szCs w:val="20"/>
        </w:rPr>
        <w:t xml:space="preserve"> security types, such as prepayment, default, and collateral information for the purpose of measuring the fair value of mortgage- and asset-backed securities. The Company’s AAA-rated mortgage- and asset-backed securities are classified as Level 2 for which</w:t>
      </w:r>
      <w:r>
        <w:rPr>
          <w:rFonts w:eastAsia="Times New Roman"/>
          <w:color w:val="000000"/>
          <w:sz w:val="20"/>
          <w:szCs w:val="20"/>
        </w:rPr>
        <w:t xml:space="preserve"> the observability of market inputs to their pricing models is supported by sufficient, albeit more recently contracted, market activity in these sectors.</w:t>
      </w:r>
    </w:p>
    <w:p w:rsidR="00000000" w:rsidRDefault="005C524C">
      <w:pPr>
        <w:divId w:val="451243253"/>
        <w:rPr>
          <w:rFonts w:eastAsia="Times New Roman"/>
        </w:rPr>
      </w:pPr>
      <w:r>
        <w:rPr>
          <w:rFonts w:eastAsia="Times New Roman"/>
          <w:color w:val="000000"/>
          <w:sz w:val="20"/>
          <w:szCs w:val="20"/>
        </w:rPr>
        <w:t xml:space="preserve">Certain Company products, such as the SCS, EQUI-VEST variable annuity products, IUL and the MSO fund </w:t>
      </w:r>
      <w:r>
        <w:rPr>
          <w:rFonts w:eastAsia="Times New Roman"/>
          <w:color w:val="000000"/>
          <w:sz w:val="20"/>
          <w:szCs w:val="20"/>
        </w:rPr>
        <w:t>available in some life contracts, offer investment options which permit the contract owner to participate in the performance of an index, ETF or commodity price. These investment options, which depending on the product and on the index selected, can curren</w:t>
      </w:r>
      <w:r>
        <w:rPr>
          <w:rFonts w:eastAsia="Times New Roman"/>
          <w:color w:val="000000"/>
          <w:sz w:val="20"/>
          <w:szCs w:val="20"/>
        </w:rPr>
        <w:t>tly have one, three, five or six year terms, provide for participation in the performance of specified indices, ETF or commodity price movement up to a segment-specific declared maximum rate. Under certain conditions that vary by product, e.g., holding the</w:t>
      </w:r>
      <w:r>
        <w:rPr>
          <w:rFonts w:eastAsia="Times New Roman"/>
          <w:color w:val="000000"/>
          <w:sz w:val="20"/>
          <w:szCs w:val="20"/>
        </w:rPr>
        <w:t>se segments for the full term, these segments also shield policyholders from some or all negative investment performance associated with these indices, ETF or commodity prices. These investment options have defined formulaic liability amounts, and the curr</w:t>
      </w:r>
      <w:r>
        <w:rPr>
          <w:rFonts w:eastAsia="Times New Roman"/>
          <w:color w:val="000000"/>
          <w:sz w:val="20"/>
          <w:szCs w:val="20"/>
        </w:rPr>
        <w:t>ent values of the option component of these segment reserves are classified as Level 2 embedded derivatives. The fair values of these embedded derivatives are based on data obtained from independent valuation service providers.</w:t>
      </w:r>
    </w:p>
    <w:p w:rsidR="00000000" w:rsidRDefault="005C524C">
      <w:pPr>
        <w:jc w:val="both"/>
        <w:divId w:val="683239744"/>
        <w:rPr>
          <w:rFonts w:eastAsia="Times New Roman"/>
        </w:rPr>
      </w:pPr>
      <w:r>
        <w:rPr>
          <w:rFonts w:eastAsia="Times New Roman"/>
          <w:b/>
          <w:bCs/>
          <w:i/>
          <w:iCs/>
          <w:color w:val="000000"/>
          <w:sz w:val="20"/>
          <w:szCs w:val="20"/>
        </w:rPr>
        <w:t>Financial Instruments Classi</w:t>
      </w:r>
      <w:r>
        <w:rPr>
          <w:rFonts w:eastAsia="Times New Roman"/>
          <w:b/>
          <w:bCs/>
          <w:i/>
          <w:iCs/>
          <w:color w:val="000000"/>
          <w:sz w:val="20"/>
          <w:szCs w:val="20"/>
        </w:rPr>
        <w:t>fied as Level 3</w:t>
      </w:r>
    </w:p>
    <w:p w:rsidR="00000000" w:rsidRDefault="005C524C">
      <w:pPr>
        <w:divId w:val="1486049272"/>
        <w:rPr>
          <w:rFonts w:eastAsia="Times New Roman"/>
        </w:rPr>
      </w:pPr>
      <w:r>
        <w:rPr>
          <w:rFonts w:eastAsia="Times New Roman"/>
          <w:color w:val="000000"/>
          <w:sz w:val="20"/>
          <w:szCs w:val="20"/>
        </w:rPr>
        <w:t>The Company’s investments classified as Level 3 primarily include corporate debt securities and financial assets and liabilities accounted for using the fair value option, such as private fixed maturities and asset-backed securities. Determ</w:t>
      </w:r>
      <w:r>
        <w:rPr>
          <w:rFonts w:eastAsia="Times New Roman"/>
          <w:color w:val="000000"/>
          <w:sz w:val="20"/>
          <w:szCs w:val="20"/>
        </w:rPr>
        <w:t>inations to classify fair value measures within Level 3 of the valuation hierarchy generally are based upon the significance of the unobservable factors to the overall fair value measurement. Included in the Level 3 classification are fixed maturities with</w:t>
      </w:r>
      <w:r>
        <w:rPr>
          <w:rFonts w:eastAsia="Times New Roman"/>
          <w:color w:val="000000"/>
          <w:sz w:val="20"/>
          <w:szCs w:val="20"/>
        </w:rPr>
        <w:t xml:space="preserve"> indicative pricing obtained from brokers that otherwise could not be corroborated to market observable data.</w:t>
      </w:r>
    </w:p>
    <w:p w:rsidR="00000000" w:rsidRDefault="005C524C">
      <w:pPr>
        <w:divId w:val="1794056336"/>
        <w:rPr>
          <w:rFonts w:eastAsia="Times New Roman"/>
        </w:rPr>
      </w:pPr>
      <w:r>
        <w:rPr>
          <w:rFonts w:eastAsia="Times New Roman"/>
          <w:color w:val="000000"/>
          <w:sz w:val="20"/>
          <w:szCs w:val="20"/>
        </w:rPr>
        <w:t>The Company also issues certain benefits on its variable annuity products that are accounted for as derivatives and are also considered Level 3. T</w:t>
      </w:r>
      <w:r>
        <w:rPr>
          <w:rFonts w:eastAsia="Times New Roman"/>
          <w:color w:val="000000"/>
          <w:sz w:val="20"/>
          <w:szCs w:val="20"/>
        </w:rPr>
        <w:t xml:space="preserve">he GMIB NLG feature allows the policyholder to receive guaranteed minimum lifetime annuity payments based on predetermined annuity purchase rates applied to the contract’s benefit base if and when the contract account value is depleted and the NLG feature </w:t>
      </w:r>
      <w:r>
        <w:rPr>
          <w:rFonts w:eastAsia="Times New Roman"/>
          <w:color w:val="000000"/>
          <w:sz w:val="20"/>
          <w:szCs w:val="20"/>
        </w:rPr>
        <w:t>is activated. The GMWB feature allows the policyholder to withdraw at minimum, over the life of the contract, an amount based on the contract’s benefit base. The GWBL feature allows the policyholder to withdraw, each year for the life of the contract, a sp</w:t>
      </w:r>
      <w:r>
        <w:rPr>
          <w:rFonts w:eastAsia="Times New Roman"/>
          <w:color w:val="000000"/>
          <w:sz w:val="20"/>
          <w:szCs w:val="20"/>
        </w:rPr>
        <w:t>ecified annual percentage of an amount based on the contract’s benefit base. The GMAB feature increases the contract account value at the end of a specified period to a GMAB base. The GIB feature provides a lifetime annuity based on predetermined annuity p</w:t>
      </w:r>
      <w:r>
        <w:rPr>
          <w:rFonts w:eastAsia="Times New Roman"/>
          <w:color w:val="000000"/>
          <w:sz w:val="20"/>
          <w:szCs w:val="20"/>
        </w:rPr>
        <w:t>urchase rates if and when the contract account value is depleted. This lifetime annuity is based on predetermined annuity purchase rates applied to a GIB base.</w:t>
      </w:r>
    </w:p>
    <w:p w:rsidR="00000000" w:rsidRDefault="005C524C">
      <w:pPr>
        <w:divId w:val="1024865112"/>
        <w:rPr>
          <w:rFonts w:eastAsia="Times New Roman"/>
        </w:rPr>
      </w:pPr>
      <w:r>
        <w:rPr>
          <w:rFonts w:eastAsia="Times New Roman"/>
          <w:color w:val="000000"/>
          <w:sz w:val="20"/>
          <w:szCs w:val="20"/>
        </w:rPr>
        <w:t>Level 3 also includes the GMIB reinsurance contract assets, which are accounted for as derivativ</w:t>
      </w:r>
      <w:r>
        <w:rPr>
          <w:rFonts w:eastAsia="Times New Roman"/>
          <w:color w:val="000000"/>
          <w:sz w:val="20"/>
          <w:szCs w:val="20"/>
        </w:rPr>
        <w:t>e contracts. The GMIB reinsurance contract asset and liabilities’ fair value reflects the present value of reinsurance premiums, net of recoveries, and risk margins over a range of market consistent economic scenarios while GMxB derivative features liabili</w:t>
      </w:r>
      <w:r>
        <w:rPr>
          <w:rFonts w:eastAsia="Times New Roman"/>
          <w:color w:val="000000"/>
          <w:sz w:val="20"/>
          <w:szCs w:val="20"/>
        </w:rPr>
        <w:t xml:space="preserve">ty reflects the present value of expected future payments (benefits) less fees, adjusted for risk margins and </w:t>
      </w:r>
    </w:p>
    <w:p w:rsidR="00000000" w:rsidRDefault="005C524C">
      <w:pPr>
        <w:jc w:val="center"/>
        <w:divId w:val="1026443670"/>
        <w:rPr>
          <w:rFonts w:eastAsia="Times New Roman"/>
        </w:rPr>
      </w:pPr>
    </w:p>
    <w:p w:rsidR="00000000" w:rsidRDefault="005C524C">
      <w:pPr>
        <w:jc w:val="center"/>
        <w:divId w:val="1026443670"/>
        <w:rPr>
          <w:rFonts w:eastAsia="Times New Roman"/>
        </w:rPr>
      </w:pPr>
      <w:r>
        <w:rPr>
          <w:rFonts w:eastAsia="Times New Roman"/>
          <w:color w:val="000000"/>
          <w:sz w:val="20"/>
          <w:szCs w:val="20"/>
        </w:rPr>
        <w:t>45</w:t>
      </w:r>
    </w:p>
    <w:p w:rsidR="00000000" w:rsidRDefault="005C524C">
      <w:pPr>
        <w:rPr>
          <w:rFonts w:eastAsia="Times New Roman"/>
        </w:rPr>
      </w:pPr>
      <w:r>
        <w:rPr>
          <w:rFonts w:eastAsia="Times New Roman"/>
        </w:rPr>
        <w:pict>
          <v:rect id="_x0000_i1071" style="width:0;height:1.5pt" o:hralign="center" o:hrstd="t" o:hr="t" fillcolor="#a0a0a0" stroked="f"/>
        </w:pict>
      </w:r>
    </w:p>
    <w:p w:rsidR="00000000" w:rsidRDefault="005C524C">
      <w:pPr>
        <w:divId w:val="150400536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608537550"/>
        <w:rPr>
          <w:rFonts w:eastAsia="Times New Roman"/>
        </w:rPr>
      </w:pPr>
      <w:r>
        <w:rPr>
          <w:rFonts w:eastAsia="Times New Roman"/>
          <w:b/>
          <w:bCs/>
          <w:color w:val="000000"/>
          <w:sz w:val="20"/>
          <w:szCs w:val="20"/>
        </w:rPr>
        <w:t>EQUITABLE HOLDINGS, INC.</w:t>
      </w:r>
    </w:p>
    <w:p w:rsidR="00000000" w:rsidRDefault="005C524C">
      <w:pPr>
        <w:jc w:val="center"/>
        <w:divId w:val="1608537550"/>
        <w:rPr>
          <w:rFonts w:eastAsia="Times New Roman"/>
        </w:rPr>
      </w:pPr>
      <w:r>
        <w:rPr>
          <w:rFonts w:eastAsia="Times New Roman"/>
          <w:b/>
          <w:bCs/>
          <w:color w:val="000000"/>
          <w:sz w:val="20"/>
          <w:szCs w:val="20"/>
        </w:rPr>
        <w:t>No</w:t>
      </w:r>
      <w:r>
        <w:rPr>
          <w:rFonts w:eastAsia="Times New Roman"/>
          <w:b/>
          <w:bCs/>
          <w:color w:val="000000"/>
          <w:sz w:val="20"/>
          <w:szCs w:val="20"/>
        </w:rPr>
        <w:t>tes to Consolidated Financial Statements (Unaudited), Continued</w:t>
      </w:r>
    </w:p>
    <w:p w:rsidR="00000000" w:rsidRDefault="005C524C">
      <w:pPr>
        <w:jc w:val="center"/>
        <w:divId w:val="1608537550"/>
        <w:rPr>
          <w:rFonts w:eastAsia="Times New Roman"/>
        </w:rPr>
      </w:pPr>
    </w:p>
    <w:p w:rsidR="00000000" w:rsidRDefault="005C524C">
      <w:pPr>
        <w:divId w:val="1630091382"/>
        <w:rPr>
          <w:rFonts w:eastAsia="Times New Roman"/>
        </w:rPr>
      </w:pPr>
      <w:r>
        <w:rPr>
          <w:rFonts w:eastAsia="Times New Roman"/>
          <w:color w:val="000000"/>
          <w:sz w:val="20"/>
          <w:szCs w:val="20"/>
        </w:rPr>
        <w:t>nonperformance risk, attributable to GMxB derivative features’ liability over a range of market-consistent economic scenarios. </w:t>
      </w:r>
    </w:p>
    <w:p w:rsidR="00000000" w:rsidRDefault="005C524C">
      <w:pPr>
        <w:divId w:val="721367793"/>
        <w:rPr>
          <w:rFonts w:eastAsia="Times New Roman"/>
        </w:rPr>
      </w:pPr>
      <w:r>
        <w:rPr>
          <w:rFonts w:eastAsia="Times New Roman"/>
          <w:color w:val="000000"/>
          <w:sz w:val="20"/>
          <w:szCs w:val="20"/>
        </w:rPr>
        <w:t>Also included are the Amounts due from Reinsurers related to t</w:t>
      </w:r>
      <w:r>
        <w:rPr>
          <w:rFonts w:eastAsia="Times New Roman"/>
          <w:color w:val="000000"/>
          <w:sz w:val="20"/>
          <w:szCs w:val="20"/>
        </w:rPr>
        <w:t>he GMIB NLG product features (GMIB NLG Reinsurance). The fair value reflects the present value of reinsurance premiums, net of recoveries, adjusted for risk margins and nonperformance risk over a range of market consistent economic scenarios.</w:t>
      </w:r>
    </w:p>
    <w:p w:rsidR="00000000" w:rsidRDefault="005C524C">
      <w:pPr>
        <w:divId w:val="1650093467"/>
        <w:rPr>
          <w:rFonts w:eastAsia="Times New Roman"/>
        </w:rPr>
      </w:pPr>
      <w:r>
        <w:rPr>
          <w:rFonts w:eastAsia="Times New Roman"/>
          <w:color w:val="000000"/>
          <w:sz w:val="20"/>
          <w:szCs w:val="20"/>
        </w:rPr>
        <w:t>The valuation</w:t>
      </w:r>
      <w:r>
        <w:rPr>
          <w:rFonts w:eastAsia="Times New Roman"/>
          <w:color w:val="000000"/>
          <w:sz w:val="20"/>
          <w:szCs w:val="20"/>
        </w:rPr>
        <w:t>s of the GMIB reinsurance contract asset, GMIB NLG Reinsurance and GMxB derivative features liability incorporate significant non-observable assumptions related to policyholder behavior, risk margins and equity projections of Separate Account funds. The cr</w:t>
      </w:r>
      <w:r>
        <w:rPr>
          <w:rFonts w:eastAsia="Times New Roman"/>
          <w:color w:val="000000"/>
          <w:sz w:val="20"/>
          <w:szCs w:val="20"/>
        </w:rPr>
        <w:t>edit risks of the counterparty and of the Company are considered in determining the fair values of its GMIB reinsurance contract asset, GMIB NLG Reinsurance and GMxB derivative features liability positions, respectively, after taking into account the effec</w:t>
      </w:r>
      <w:r>
        <w:rPr>
          <w:rFonts w:eastAsia="Times New Roman"/>
          <w:color w:val="000000"/>
          <w:sz w:val="20"/>
          <w:szCs w:val="20"/>
        </w:rPr>
        <w:t>ts of collateral arrangements. Incremental adjustment to the U.S. Treasury curve for non-performance risk is made to the fair values of the GMIB reinsurance contract asset, GMIB NLG Reinsurance and GMIB NLG feature to reflect the claims-paying ratings of c</w:t>
      </w:r>
      <w:r>
        <w:rPr>
          <w:rFonts w:eastAsia="Times New Roman"/>
          <w:color w:val="000000"/>
          <w:sz w:val="20"/>
          <w:szCs w:val="20"/>
        </w:rPr>
        <w:t>ounterparties and the Company. Due to the unique, long duration of the GMIB NLG feature and GMIB NLG Reinsurance, risk margins were applied to the non-capital markets inputs to the GMIB NLG valuations.</w:t>
      </w:r>
    </w:p>
    <w:p w:rsidR="00000000" w:rsidRDefault="005C524C">
      <w:pPr>
        <w:divId w:val="1937326488"/>
        <w:rPr>
          <w:rFonts w:eastAsia="Times New Roman"/>
        </w:rPr>
      </w:pPr>
      <w:r>
        <w:rPr>
          <w:rFonts w:eastAsia="Times New Roman"/>
          <w:color w:val="000000"/>
          <w:sz w:val="20"/>
          <w:szCs w:val="20"/>
        </w:rPr>
        <w:t>After giving consideration to collateral arrangements,</w:t>
      </w:r>
      <w:r>
        <w:rPr>
          <w:rFonts w:eastAsia="Times New Roman"/>
          <w:color w:val="000000"/>
          <w:sz w:val="20"/>
          <w:szCs w:val="20"/>
        </w:rPr>
        <w:t xml:space="preserve"> the impact to the fair value of its GMIB reinsurance contract asset was a decrease of $148 million and $107 million as of June 30, 2022 and December 31, 2021, respectively, to recognize incremental counterparty non-performance risk.</w:t>
      </w:r>
    </w:p>
    <w:p w:rsidR="00000000" w:rsidRDefault="005C524C">
      <w:pPr>
        <w:divId w:val="2144498086"/>
        <w:rPr>
          <w:rFonts w:eastAsia="Times New Roman"/>
        </w:rPr>
      </w:pPr>
      <w:r>
        <w:rPr>
          <w:rFonts w:eastAsia="Times New Roman"/>
          <w:color w:val="000000"/>
          <w:sz w:val="20"/>
          <w:szCs w:val="20"/>
        </w:rPr>
        <w:t>After giving considera</w:t>
      </w:r>
      <w:r>
        <w:rPr>
          <w:rFonts w:eastAsia="Times New Roman"/>
          <w:color w:val="000000"/>
          <w:sz w:val="20"/>
          <w:szCs w:val="20"/>
        </w:rPr>
        <w:t xml:space="preserve">tion to collateral arrangements, the impact to the fair value of its Amounts due from Reinsurers was a decrease of $213 million and $210 million at June 30, 2022 and December 31, 2021 to recognize incremental counterparty non-performance risk. </w:t>
      </w:r>
    </w:p>
    <w:p w:rsidR="00000000" w:rsidRDefault="005C524C">
      <w:pPr>
        <w:divId w:val="191116708"/>
        <w:rPr>
          <w:rFonts w:eastAsia="Times New Roman"/>
        </w:rPr>
      </w:pPr>
      <w:r>
        <w:rPr>
          <w:rFonts w:eastAsia="Times New Roman"/>
          <w:color w:val="000000"/>
          <w:sz w:val="20"/>
          <w:szCs w:val="20"/>
        </w:rPr>
        <w:t>Lapse rates are adjusted at the contract level based on a comparison of the actuarial calculated guaranteed values and the current policyholder account value, which include other factors such as considering surrender charges. Generally, lapse rates are ass</w:t>
      </w:r>
      <w:r>
        <w:rPr>
          <w:rFonts w:eastAsia="Times New Roman"/>
          <w:color w:val="000000"/>
          <w:sz w:val="20"/>
          <w:szCs w:val="20"/>
        </w:rPr>
        <w:t>umed to be lower in periods when a surrender charge applies. A dynamic lapse function reduces the base lapse rate when the guaranteed amount is greater than the account value as in-the-money contracts are less likely to lapse. For valuing the embedded deri</w:t>
      </w:r>
      <w:r>
        <w:rPr>
          <w:rFonts w:eastAsia="Times New Roman"/>
          <w:color w:val="000000"/>
          <w:sz w:val="20"/>
          <w:szCs w:val="20"/>
        </w:rPr>
        <w:t xml:space="preserve">vative, lapse rates vary throughout the period over which cash flows are projected. </w:t>
      </w:r>
    </w:p>
    <w:p w:rsidR="00000000" w:rsidRDefault="005C524C">
      <w:pPr>
        <w:divId w:val="1942452438"/>
        <w:rPr>
          <w:rFonts w:eastAsia="Times New Roman"/>
        </w:rPr>
      </w:pPr>
      <w:r>
        <w:rPr>
          <w:rFonts w:eastAsia="Times New Roman"/>
          <w:color w:val="000000"/>
          <w:sz w:val="20"/>
          <w:szCs w:val="20"/>
        </w:rPr>
        <w:t>The Company’s Level 3 liabilities include contingent payment arrangements associated with acquisitions in 2016 and 2019 by AB. At each reporting date, AB estimates the fai</w:t>
      </w:r>
      <w:r>
        <w:rPr>
          <w:rFonts w:eastAsia="Times New Roman"/>
          <w:color w:val="000000"/>
          <w:sz w:val="20"/>
          <w:szCs w:val="20"/>
        </w:rPr>
        <w:t>r values of the contingent consideration expected to be paid based upon revenue and discount rate projections, using unobservable market data inputs, which are included in Level 3 of the valuation hierarchy. The Company’s consolidated VIEs/VOEs hold invest</w:t>
      </w:r>
      <w:r>
        <w:rPr>
          <w:rFonts w:eastAsia="Times New Roman"/>
          <w:color w:val="000000"/>
          <w:sz w:val="20"/>
          <w:szCs w:val="20"/>
        </w:rPr>
        <w:t>ments that are classified as Level 3, primarily corporate bonds that are vendor priced with no ratings available, bank loans, non-agency collateralized mortgage obligations and asset-backed securities.</w:t>
      </w:r>
    </w:p>
    <w:p w:rsidR="00000000" w:rsidRDefault="005C524C">
      <w:pPr>
        <w:divId w:val="1571961978"/>
        <w:rPr>
          <w:rFonts w:eastAsia="Times New Roman"/>
        </w:rPr>
      </w:pPr>
      <w:r>
        <w:rPr>
          <w:rFonts w:eastAsia="Times New Roman"/>
          <w:color w:val="000000"/>
          <w:sz w:val="20"/>
          <w:szCs w:val="20"/>
          <w:u w:val="single"/>
        </w:rPr>
        <w:t>Transfers of Financial Instruments Between Levels 2 an</w:t>
      </w:r>
      <w:r>
        <w:rPr>
          <w:rFonts w:eastAsia="Times New Roman"/>
          <w:color w:val="000000"/>
          <w:sz w:val="20"/>
          <w:szCs w:val="20"/>
          <w:u w:val="single"/>
        </w:rPr>
        <w:t>d 3</w:t>
      </w:r>
    </w:p>
    <w:p w:rsidR="00000000" w:rsidRDefault="005C524C">
      <w:pPr>
        <w:divId w:val="906769628"/>
        <w:rPr>
          <w:rFonts w:eastAsia="Times New Roman"/>
        </w:rPr>
      </w:pPr>
      <w:r>
        <w:rPr>
          <w:rFonts w:eastAsia="Times New Roman"/>
          <w:color w:val="000000"/>
          <w:sz w:val="20"/>
          <w:szCs w:val="20"/>
        </w:rPr>
        <w:t>During the six months ended June 30, 2022, fixed maturities with fair values of $184 million were transferred out of Level 3 and into Level 2 principally due to the availability of trading activity and/or market observable inputs to measure and validat</w:t>
      </w:r>
      <w:r>
        <w:rPr>
          <w:rFonts w:eastAsia="Times New Roman"/>
          <w:color w:val="000000"/>
          <w:sz w:val="20"/>
          <w:szCs w:val="20"/>
        </w:rPr>
        <w:t>e their fair values. In addition, fixed maturities with fair value of $250 million were transferred from Level 2 into the Level 3 classification. These transfers in the aggregate represent approximately 6.2% of total equity as of June 30, 2022.</w:t>
      </w:r>
    </w:p>
    <w:p w:rsidR="00000000" w:rsidRDefault="005C524C">
      <w:pPr>
        <w:divId w:val="1755978203"/>
        <w:rPr>
          <w:rFonts w:eastAsia="Times New Roman"/>
        </w:rPr>
      </w:pPr>
      <w:r>
        <w:rPr>
          <w:rFonts w:eastAsia="Times New Roman"/>
          <w:color w:val="000000"/>
          <w:sz w:val="20"/>
          <w:szCs w:val="20"/>
        </w:rPr>
        <w:t xml:space="preserve">During the </w:t>
      </w:r>
      <w:r>
        <w:rPr>
          <w:rFonts w:eastAsia="Times New Roman"/>
          <w:color w:val="000000"/>
          <w:sz w:val="20"/>
          <w:szCs w:val="20"/>
        </w:rPr>
        <w:t>six months ended June 30, 2021, fixed maturities with fair values of $792 million were transferred out of Level 3 and into Level 2 principally due to the availability of trading activity and/or market observable inputs to measure and validate their fair va</w:t>
      </w:r>
      <w:r>
        <w:rPr>
          <w:rFonts w:eastAsia="Times New Roman"/>
          <w:color w:val="000000"/>
          <w:sz w:val="20"/>
          <w:szCs w:val="20"/>
        </w:rPr>
        <w:t>lues. In addition, fixed maturities with fair value of $17 million were transferred from Level 2 into the Level 3 classification. These transfers in the aggregate represent approximately 6.1% of total equity as of June 30, 2021.</w:t>
      </w:r>
    </w:p>
    <w:p w:rsidR="00000000" w:rsidRDefault="005C524C">
      <w:pPr>
        <w:jc w:val="center"/>
        <w:divId w:val="2053536869"/>
        <w:rPr>
          <w:rFonts w:eastAsia="Times New Roman"/>
        </w:rPr>
      </w:pPr>
    </w:p>
    <w:p w:rsidR="00000000" w:rsidRDefault="005C524C">
      <w:pPr>
        <w:jc w:val="center"/>
        <w:divId w:val="2053536869"/>
        <w:rPr>
          <w:rFonts w:eastAsia="Times New Roman"/>
        </w:rPr>
      </w:pPr>
      <w:r>
        <w:rPr>
          <w:rFonts w:eastAsia="Times New Roman"/>
          <w:color w:val="000000"/>
          <w:sz w:val="20"/>
          <w:szCs w:val="20"/>
        </w:rPr>
        <w:t>46</w:t>
      </w:r>
    </w:p>
    <w:p w:rsidR="00000000" w:rsidRDefault="005C524C">
      <w:pPr>
        <w:rPr>
          <w:rFonts w:eastAsia="Times New Roman"/>
        </w:rPr>
      </w:pPr>
      <w:r>
        <w:rPr>
          <w:rFonts w:eastAsia="Times New Roman"/>
        </w:rPr>
        <w:pict>
          <v:rect id="_x0000_i1072" style="width:0;height:1.5pt" o:hralign="center" o:hrstd="t" o:hr="t" fillcolor="#a0a0a0" stroked="f"/>
        </w:pict>
      </w:r>
    </w:p>
    <w:p w:rsidR="00000000" w:rsidRDefault="005C524C">
      <w:pPr>
        <w:divId w:val="120109196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694308314"/>
        <w:rPr>
          <w:rFonts w:eastAsia="Times New Roman"/>
        </w:rPr>
      </w:pPr>
      <w:r>
        <w:rPr>
          <w:rFonts w:eastAsia="Times New Roman"/>
          <w:b/>
          <w:bCs/>
          <w:color w:val="000000"/>
          <w:sz w:val="20"/>
          <w:szCs w:val="20"/>
        </w:rPr>
        <w:t>EQUITABLE HOLDINGS, INC.</w:t>
      </w:r>
    </w:p>
    <w:p w:rsidR="00000000" w:rsidRDefault="005C524C">
      <w:pPr>
        <w:jc w:val="center"/>
        <w:divId w:val="1694308314"/>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694308314"/>
        <w:rPr>
          <w:rFonts w:eastAsia="Times New Roman"/>
        </w:rPr>
      </w:pPr>
    </w:p>
    <w:p w:rsidR="00000000" w:rsidRDefault="005C524C">
      <w:pPr>
        <w:divId w:val="71198888"/>
        <w:rPr>
          <w:rFonts w:eastAsia="Times New Roman"/>
        </w:rPr>
      </w:pPr>
      <w:r>
        <w:rPr>
          <w:rFonts w:eastAsia="Times New Roman"/>
          <w:color w:val="000000"/>
          <w:sz w:val="20"/>
          <w:szCs w:val="20"/>
        </w:rPr>
        <w:t>The tables below present reconciliations for all L</w:t>
      </w:r>
      <w:r>
        <w:rPr>
          <w:rFonts w:eastAsia="Times New Roman"/>
          <w:color w:val="000000"/>
          <w:sz w:val="20"/>
          <w:szCs w:val="20"/>
        </w:rPr>
        <w:t>evel 3 assets and liabilities and changes in unrealized gains (losses) for the three and six months ended June 30, 2022 and 2021, respectively.</w:t>
      </w:r>
    </w:p>
    <w:p w:rsidR="00000000" w:rsidRDefault="005C524C">
      <w:pPr>
        <w:divId w:val="31780274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04"/>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0"/>
        <w:gridCol w:w="350"/>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jc w:val="center"/>
        </w:trPr>
        <w:tc>
          <w:tcPr>
            <w:tcW w:w="50" w:type="pct"/>
            <w:vAlign w:val="center"/>
            <w:hideMark/>
          </w:tcPr>
          <w:p w:rsidR="00000000" w:rsidRDefault="005C524C">
            <w:pPr>
              <w:rPr>
                <w:rFonts w:eastAsia="Times New Roman"/>
              </w:rPr>
            </w:pPr>
          </w:p>
        </w:tc>
        <w:tc>
          <w:tcPr>
            <w:tcW w:w="186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 xml:space="preserve">Fixed maturities, at FVO </w:t>
            </w:r>
          </w:p>
        </w:tc>
      </w:tr>
      <w:tr w:rsidR="00000000">
        <w:trPr>
          <w:trHeight w:val="220"/>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0"/>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April 1, 2022</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342</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423</w:t>
            </w: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4</w:t>
            </w: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April 1, 2021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142 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148 </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8 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5C524C">
      <w:pPr>
        <w:jc w:val="center"/>
        <w:divId w:val="340012293"/>
        <w:rPr>
          <w:rFonts w:eastAsia="Times New Roman"/>
        </w:rPr>
      </w:pPr>
    </w:p>
    <w:p w:rsidR="00000000" w:rsidRDefault="005C524C">
      <w:pPr>
        <w:jc w:val="center"/>
        <w:divId w:val="340012293"/>
        <w:rPr>
          <w:rFonts w:eastAsia="Times New Roman"/>
        </w:rPr>
      </w:pPr>
      <w:r>
        <w:rPr>
          <w:rFonts w:eastAsia="Times New Roman"/>
          <w:color w:val="000000"/>
          <w:sz w:val="20"/>
          <w:szCs w:val="20"/>
        </w:rPr>
        <w:t>47</w:t>
      </w:r>
    </w:p>
    <w:p w:rsidR="00000000" w:rsidRDefault="005C524C">
      <w:pPr>
        <w:rPr>
          <w:rFonts w:eastAsia="Times New Roman"/>
        </w:rPr>
      </w:pPr>
      <w:r>
        <w:rPr>
          <w:rFonts w:eastAsia="Times New Roman"/>
        </w:rPr>
        <w:pict>
          <v:rect id="_x0000_i1073" style="width:0;height:1.5pt" o:hralign="center" o:hrstd="t" o:hr="t" fillcolor="#a0a0a0" stroked="f"/>
        </w:pict>
      </w:r>
    </w:p>
    <w:p w:rsidR="00000000" w:rsidRDefault="005C524C">
      <w:pPr>
        <w:divId w:val="188968614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41297092"/>
        <w:rPr>
          <w:rFonts w:eastAsia="Times New Roman"/>
        </w:rPr>
      </w:pPr>
      <w:r>
        <w:rPr>
          <w:rFonts w:eastAsia="Times New Roman"/>
          <w:b/>
          <w:bCs/>
          <w:color w:val="000000"/>
          <w:sz w:val="20"/>
          <w:szCs w:val="20"/>
        </w:rPr>
        <w:t>EQUITABLE HOLDINGS, INC.</w:t>
      </w:r>
    </w:p>
    <w:p w:rsidR="00000000" w:rsidRDefault="005C524C">
      <w:pPr>
        <w:jc w:val="center"/>
        <w:divId w:val="4129709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41297092"/>
        <w:rPr>
          <w:rFonts w:eastAsia="Times New Roman"/>
        </w:rPr>
      </w:pPr>
    </w:p>
    <w:p w:rsidR="00000000" w:rsidRDefault="005C524C">
      <w:pPr>
        <w:ind w:hanging="360"/>
        <w:divId w:val="2119567882"/>
        <w:rPr>
          <w:rFonts w:eastAsia="Times New Roman"/>
        </w:rPr>
      </w:pPr>
      <w:r>
        <w:rPr>
          <w:rFonts w:eastAsia="Times New Roman"/>
          <w:color w:val="000000"/>
          <w:sz w:val="18"/>
          <w:szCs w:val="18"/>
        </w:rPr>
        <w:t>_____</w:t>
      </w:r>
    </w:p>
    <w:tbl>
      <w:tblPr>
        <w:tblW w:w="5000" w:type="pct"/>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divId w:val="2119567882"/>
        </w:trPr>
        <w:tc>
          <w:tcPr>
            <w:tcW w:w="50" w:type="pct"/>
            <w:vAlign w:val="center"/>
            <w:hideMark/>
          </w:tcPr>
          <w:p w:rsidR="00000000" w:rsidRDefault="005C524C">
            <w:pPr>
              <w:ind w:hanging="360"/>
              <w:rPr>
                <w:rFonts w:eastAsia="Times New Roman"/>
              </w:rPr>
            </w:pPr>
          </w:p>
        </w:tc>
        <w:tc>
          <w:tcPr>
            <w:tcW w:w="186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2119567882"/>
          <w:trHeight w:val="22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0"/>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201</w:t>
            </w: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ascii="Calibri" w:eastAsia="Times New Roman" w:hAnsi="Calibri" w:cs="Calibri"/>
                <w:color w:val="000000"/>
                <w:sz w:val="22"/>
                <w:szCs w:val="22"/>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423</w:t>
            </w: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divId w:val="211956788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1,702 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80 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r>
      <w:tr w:rsidR="00000000">
        <w:trPr>
          <w:divId w:val="2119567882"/>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Subtotal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r>
      <w:tr w:rsidR="00000000">
        <w:trPr>
          <w:divId w:val="2119567882"/>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130 </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15 </w:t>
            </w:r>
          </w:p>
        </w:tc>
      </w:tr>
      <w:tr w:rsidR="00000000">
        <w:trPr>
          <w:divId w:val="2119567882"/>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(713)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148 </w:t>
            </w:r>
          </w:p>
        </w:tc>
      </w:tr>
      <w:tr w:rsidR="00000000">
        <w:trPr>
          <w:divId w:val="211956788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11 </w:t>
            </w:r>
          </w:p>
        </w:tc>
      </w:tr>
      <w:tr w:rsidR="00000000">
        <w:trPr>
          <w:divId w:val="2119567882"/>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vAlign w:val="center"/>
            <w:hideMark/>
          </w:tcPr>
          <w:p w:rsidR="00000000" w:rsidRDefault="005C524C">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5C524C">
      <w:pPr>
        <w:ind w:hanging="360"/>
        <w:divId w:val="2119567882"/>
        <w:rPr>
          <w:rFonts w:eastAsia="Times New Roman"/>
        </w:rPr>
      </w:pPr>
      <w:r>
        <w:rPr>
          <w:rFonts w:eastAsia="Times New Roman"/>
          <w:color w:val="000000"/>
          <w:sz w:val="18"/>
          <w:szCs w:val="18"/>
        </w:rPr>
        <w:t>________</w:t>
      </w:r>
    </w:p>
    <w:p w:rsidR="00000000" w:rsidRDefault="005C524C">
      <w:pPr>
        <w:ind w:hanging="360"/>
        <w:divId w:val="736131670"/>
        <w:rPr>
          <w:rFonts w:eastAsia="Times New Roman"/>
        </w:rPr>
      </w:pPr>
      <w:r>
        <w:rPr>
          <w:rFonts w:eastAsia="Times New Roman"/>
          <w:color w:val="000000"/>
          <w:sz w:val="18"/>
          <w:szCs w:val="18"/>
        </w:rPr>
        <w:t>(1)Transfers into/out of the Level 3 classifica</w:t>
      </w:r>
      <w:r>
        <w:rPr>
          <w:rFonts w:eastAsia="Times New Roman"/>
          <w:color w:val="000000"/>
          <w:sz w:val="18"/>
          <w:szCs w:val="18"/>
        </w:rPr>
        <w:t>tion are reflected at beginning-of-period fair values.</w:t>
      </w:r>
    </w:p>
    <w:p w:rsidR="00000000" w:rsidRDefault="005C524C">
      <w:pPr>
        <w:ind w:hanging="360"/>
        <w:divId w:val="1643190953"/>
        <w:rPr>
          <w:rFonts w:eastAsia="Times New Roman"/>
        </w:rPr>
      </w:pPr>
      <w:r>
        <w:rPr>
          <w:rFonts w:eastAsia="Times New Roman"/>
          <w:color w:val="000000"/>
          <w:sz w:val="18"/>
          <w:szCs w:val="18"/>
        </w:rPr>
        <w:t>(2)For instruments held as of June 30, 2022 or June 30, 2021, amounts are included in net investment income or net derivative gains (losses) in the consolidated statements of income (loss) or unrealize</w:t>
      </w:r>
      <w:r>
        <w:rPr>
          <w:rFonts w:eastAsia="Times New Roman"/>
          <w:color w:val="000000"/>
          <w:sz w:val="18"/>
          <w:szCs w:val="18"/>
        </w:rPr>
        <w:t xml:space="preserve">d gains (losses) on investments in the consolidated statements of comprehensive income. </w:t>
      </w:r>
    </w:p>
    <w:p w:rsidR="00000000" w:rsidRDefault="005C524C">
      <w:pPr>
        <w:divId w:val="1392191160"/>
        <w:rPr>
          <w:rFonts w:eastAsia="Times New Roman"/>
        </w:rPr>
      </w:pPr>
    </w:p>
    <w:p w:rsidR="00000000" w:rsidRDefault="005C524C">
      <w:pPr>
        <w:jc w:val="center"/>
        <w:divId w:val="1661731394"/>
        <w:rPr>
          <w:rFonts w:eastAsia="Times New Roman"/>
        </w:rPr>
      </w:pPr>
    </w:p>
    <w:p w:rsidR="00000000" w:rsidRDefault="005C524C">
      <w:pPr>
        <w:jc w:val="center"/>
        <w:divId w:val="1661731394"/>
        <w:rPr>
          <w:rFonts w:eastAsia="Times New Roman"/>
        </w:rPr>
      </w:pPr>
      <w:r>
        <w:rPr>
          <w:rFonts w:eastAsia="Times New Roman"/>
          <w:color w:val="000000"/>
          <w:sz w:val="20"/>
          <w:szCs w:val="20"/>
        </w:rPr>
        <w:t>48</w:t>
      </w:r>
    </w:p>
    <w:p w:rsidR="00000000" w:rsidRDefault="005C524C">
      <w:pPr>
        <w:rPr>
          <w:rFonts w:eastAsia="Times New Roman"/>
        </w:rPr>
      </w:pPr>
      <w:r>
        <w:rPr>
          <w:rFonts w:eastAsia="Times New Roman"/>
        </w:rPr>
        <w:pict>
          <v:rect id="_x0000_i1074" style="width:0;height:1.5pt" o:hralign="center" o:hrstd="t" o:hr="t" fillcolor="#a0a0a0" stroked="f"/>
        </w:pict>
      </w:r>
    </w:p>
    <w:p w:rsidR="00000000" w:rsidRDefault="005C524C">
      <w:pPr>
        <w:divId w:val="163965079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369769303"/>
        <w:rPr>
          <w:rFonts w:eastAsia="Times New Roman"/>
        </w:rPr>
      </w:pPr>
      <w:r>
        <w:rPr>
          <w:rFonts w:eastAsia="Times New Roman"/>
          <w:b/>
          <w:bCs/>
          <w:color w:val="000000"/>
          <w:sz w:val="20"/>
          <w:szCs w:val="20"/>
        </w:rPr>
        <w:t>EQUITABLE HOLDINGS, INC.</w:t>
      </w:r>
    </w:p>
    <w:p w:rsidR="00000000" w:rsidRDefault="005C524C">
      <w:pPr>
        <w:jc w:val="center"/>
        <w:divId w:val="369769303"/>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36976930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364"/>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1"/>
        <w:gridCol w:w="666"/>
        <w:gridCol w:w="36"/>
        <w:gridCol w:w="36"/>
        <w:gridCol w:w="36"/>
        <w:gridCol w:w="36"/>
        <w:gridCol w:w="121"/>
        <w:gridCol w:w="860"/>
        <w:gridCol w:w="36"/>
      </w:tblGrid>
      <w:tr w:rsidR="00000000">
        <w:trPr>
          <w:divId w:val="620262009"/>
        </w:trPr>
        <w:tc>
          <w:tcPr>
            <w:tcW w:w="50" w:type="pct"/>
            <w:vAlign w:val="center"/>
            <w:hideMark/>
          </w:tcPr>
          <w:p w:rsidR="00000000" w:rsidRDefault="005C524C">
            <w:pPr>
              <w:jc w:val="center"/>
              <w:rPr>
                <w:rFonts w:eastAsia="Times New Roman"/>
              </w:rPr>
            </w:pPr>
          </w:p>
        </w:tc>
        <w:tc>
          <w:tcPr>
            <w:tcW w:w="188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0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Contingent Payment Arrangement</w:t>
            </w:r>
          </w:p>
        </w:tc>
      </w:tr>
      <w:tr w:rsidR="00000000">
        <w:trPr>
          <w:divId w:val="620262009"/>
          <w:trHeight w:val="22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April 1, 2022</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1,582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5,056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6,925)</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(6,180)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April 1, 2021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1,907 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0262009"/>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20262009"/>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firstLine="360"/>
        <w:divId w:val="1114982819"/>
        <w:rPr>
          <w:rFonts w:eastAsia="Times New Roman"/>
        </w:rPr>
      </w:pPr>
    </w:p>
    <w:p w:rsidR="00000000" w:rsidRDefault="005C524C">
      <w:pPr>
        <w:divId w:val="422535248"/>
        <w:rPr>
          <w:rFonts w:eastAsia="Times New Roman"/>
        </w:rPr>
      </w:pPr>
    </w:p>
    <w:p w:rsidR="00000000" w:rsidRDefault="005C524C">
      <w:pPr>
        <w:jc w:val="center"/>
        <w:divId w:val="62720282"/>
        <w:rPr>
          <w:rFonts w:eastAsia="Times New Roman"/>
        </w:rPr>
      </w:pPr>
    </w:p>
    <w:p w:rsidR="00000000" w:rsidRDefault="005C524C">
      <w:pPr>
        <w:jc w:val="center"/>
        <w:divId w:val="62720282"/>
        <w:rPr>
          <w:rFonts w:eastAsia="Times New Roman"/>
        </w:rPr>
      </w:pPr>
      <w:r>
        <w:rPr>
          <w:rFonts w:eastAsia="Times New Roman"/>
          <w:color w:val="000000"/>
          <w:sz w:val="20"/>
          <w:szCs w:val="20"/>
        </w:rPr>
        <w:t>49</w:t>
      </w:r>
    </w:p>
    <w:p w:rsidR="00000000" w:rsidRDefault="005C524C">
      <w:pPr>
        <w:rPr>
          <w:rFonts w:eastAsia="Times New Roman"/>
        </w:rPr>
      </w:pPr>
      <w:r>
        <w:rPr>
          <w:rFonts w:eastAsia="Times New Roman"/>
        </w:rPr>
        <w:pict>
          <v:rect id="_x0000_i1075" style="width:0;height:1.5pt" o:hralign="center" o:hrstd="t" o:hr="t" fillcolor="#a0a0a0" stroked="f"/>
        </w:pict>
      </w:r>
    </w:p>
    <w:p w:rsidR="00000000" w:rsidRDefault="005C524C">
      <w:pPr>
        <w:divId w:val="20776272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307783828"/>
        <w:rPr>
          <w:rFonts w:eastAsia="Times New Roman"/>
        </w:rPr>
      </w:pPr>
      <w:r>
        <w:rPr>
          <w:rFonts w:eastAsia="Times New Roman"/>
          <w:b/>
          <w:bCs/>
          <w:color w:val="000000"/>
          <w:sz w:val="20"/>
          <w:szCs w:val="20"/>
        </w:rPr>
        <w:t>EQUITABLE HOLDINGS, INC.</w:t>
      </w:r>
    </w:p>
    <w:p w:rsidR="00000000" w:rsidRDefault="005C524C">
      <w:pPr>
        <w:jc w:val="center"/>
        <w:divId w:val="30778382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3077838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347"/>
        <w:gridCol w:w="41"/>
        <w:gridCol w:w="121"/>
        <w:gridCol w:w="770"/>
        <w:gridCol w:w="36"/>
        <w:gridCol w:w="36"/>
        <w:gridCol w:w="36"/>
        <w:gridCol w:w="36"/>
        <w:gridCol w:w="121"/>
        <w:gridCol w:w="793"/>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trPr>
          <w:divId w:val="1323313536"/>
        </w:trPr>
        <w:tc>
          <w:tcPr>
            <w:tcW w:w="50" w:type="pct"/>
            <w:vAlign w:val="center"/>
            <w:hideMark/>
          </w:tcPr>
          <w:p w:rsidR="00000000" w:rsidRDefault="005C524C">
            <w:pPr>
              <w:jc w:val="center"/>
              <w:rPr>
                <w:rFonts w:eastAsia="Times New Roman"/>
              </w:rPr>
            </w:pPr>
          </w:p>
        </w:tc>
        <w:tc>
          <w:tcPr>
            <w:tcW w:w="188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0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Other Equity Investments (7)</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Contingent Payment Arrangement</w:t>
            </w:r>
          </w:p>
        </w:tc>
      </w:tr>
      <w:tr w:rsidR="00000000">
        <w:trPr>
          <w:divId w:val="1323313536"/>
          <w:trHeight w:val="22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7"/>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January 1, 2022</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5,815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(8,525)</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(1,142)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(1,142)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2,515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June 30, 2022</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(6,180)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(1,142)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2,515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derivative gains (losses) (1) (5)</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2,735 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60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into Level 3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Transfers out of Level 3 (4)</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Balance, June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(8,455)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(6)</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2,735 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(6)</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323313536"/>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2331353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849635544"/>
        <w:rPr>
          <w:rFonts w:eastAsia="Times New Roman"/>
        </w:rPr>
      </w:pPr>
      <w:r>
        <w:rPr>
          <w:rFonts w:eastAsia="Times New Roman"/>
          <w:color w:val="000000"/>
          <w:sz w:val="18"/>
          <w:szCs w:val="18"/>
        </w:rPr>
        <w:t>______________</w:t>
      </w:r>
    </w:p>
    <w:p w:rsidR="00000000" w:rsidRDefault="005C524C">
      <w:pPr>
        <w:ind w:hanging="360"/>
        <w:divId w:val="1109662429"/>
        <w:rPr>
          <w:rFonts w:eastAsia="Times New Roman"/>
        </w:rPr>
      </w:pPr>
      <w:r>
        <w:rPr>
          <w:rFonts w:eastAsia="Times New Roman"/>
          <w:color w:val="000000"/>
          <w:sz w:val="18"/>
          <w:szCs w:val="18"/>
        </w:rPr>
        <w:t xml:space="preserve">(1)For the </w:t>
      </w:r>
      <w:r>
        <w:rPr>
          <w:rFonts w:eastAsia="Times New Roman"/>
          <w:color w:val="000000"/>
          <w:sz w:val="20"/>
          <w:szCs w:val="20"/>
        </w:rPr>
        <w:t>three and six months ended June 30, 2022 and 2021</w:t>
      </w:r>
      <w:r>
        <w:rPr>
          <w:rFonts w:eastAsia="Times New Roman"/>
          <w:color w:val="000000"/>
          <w:sz w:val="18"/>
          <w:szCs w:val="18"/>
        </w:rPr>
        <w:t xml:space="preserve">, the Company’s non-performance risk impact of $395 million , $(60) million, $878 million and $20 million for the GMxB Derivative Features Liability, $(37) million ,$16 million, $(74) million and $1 million </w:t>
      </w:r>
      <w:r>
        <w:rPr>
          <w:rFonts w:eastAsia="Times New Roman"/>
          <w:color w:val="000000"/>
          <w:sz w:val="18"/>
          <w:szCs w:val="18"/>
        </w:rPr>
        <w:t>for the GMIB Reinsurance Contract Asset, and $(35) million, $12 million, $(77) million and $12 million for the Amounts due from Reinsurers is recorded through Net derivative gains (losses), respectively.</w:t>
      </w:r>
    </w:p>
    <w:p w:rsidR="00000000" w:rsidRDefault="005C524C">
      <w:pPr>
        <w:jc w:val="center"/>
        <w:divId w:val="538398732"/>
        <w:rPr>
          <w:rFonts w:eastAsia="Times New Roman"/>
        </w:rPr>
      </w:pPr>
    </w:p>
    <w:p w:rsidR="00000000" w:rsidRDefault="005C524C">
      <w:pPr>
        <w:jc w:val="center"/>
        <w:divId w:val="538398732"/>
        <w:rPr>
          <w:rFonts w:eastAsia="Times New Roman"/>
        </w:rPr>
      </w:pPr>
      <w:r>
        <w:rPr>
          <w:rFonts w:eastAsia="Times New Roman"/>
          <w:color w:val="000000"/>
          <w:sz w:val="20"/>
          <w:szCs w:val="20"/>
        </w:rPr>
        <w:t>50</w:t>
      </w:r>
    </w:p>
    <w:p w:rsidR="00000000" w:rsidRDefault="005C524C">
      <w:pPr>
        <w:rPr>
          <w:rFonts w:eastAsia="Times New Roman"/>
        </w:rPr>
      </w:pPr>
      <w:r>
        <w:rPr>
          <w:rFonts w:eastAsia="Times New Roman"/>
        </w:rPr>
        <w:pict>
          <v:rect id="_x0000_i1076" style="width:0;height:1.5pt" o:hralign="center" o:hrstd="t" o:hr="t" fillcolor="#a0a0a0" stroked="f"/>
        </w:pict>
      </w:r>
    </w:p>
    <w:p w:rsidR="00000000" w:rsidRDefault="005C524C">
      <w:pPr>
        <w:divId w:val="30967733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32196166"/>
        <w:rPr>
          <w:rFonts w:eastAsia="Times New Roman"/>
        </w:rPr>
      </w:pPr>
      <w:r>
        <w:rPr>
          <w:rFonts w:eastAsia="Times New Roman"/>
          <w:b/>
          <w:bCs/>
          <w:color w:val="000000"/>
          <w:sz w:val="20"/>
          <w:szCs w:val="20"/>
        </w:rPr>
        <w:t>EQUITABLE HOLDINGS, INC.</w:t>
      </w:r>
    </w:p>
    <w:p w:rsidR="00000000" w:rsidRDefault="005C524C">
      <w:pPr>
        <w:jc w:val="center"/>
        <w:divId w:val="3219616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32196166"/>
        <w:rPr>
          <w:rFonts w:eastAsia="Times New Roman"/>
        </w:rPr>
      </w:pPr>
    </w:p>
    <w:p w:rsidR="00000000" w:rsidRDefault="005C524C">
      <w:pPr>
        <w:ind w:hanging="360"/>
        <w:divId w:val="407195671"/>
        <w:rPr>
          <w:rFonts w:eastAsia="Times New Roman"/>
        </w:rPr>
      </w:pPr>
      <w:r>
        <w:rPr>
          <w:rFonts w:eastAsia="Times New Roman"/>
          <w:color w:val="000000"/>
          <w:sz w:val="18"/>
          <w:szCs w:val="18"/>
        </w:rPr>
        <w:t>(2)</w:t>
      </w:r>
      <w:r>
        <w:rPr>
          <w:rFonts w:eastAsia="Times New Roman"/>
          <w:color w:val="000000"/>
          <w:sz w:val="18"/>
          <w:szCs w:val="18"/>
        </w:rPr>
        <w:t>For the GMIB reinsurance contract asset, Amounts Due from Reinsurers and GMxB derivative features liability, represents attributed fee.</w:t>
      </w:r>
    </w:p>
    <w:p w:rsidR="00000000" w:rsidRDefault="005C524C">
      <w:pPr>
        <w:ind w:hanging="360"/>
        <w:divId w:val="291712134"/>
        <w:rPr>
          <w:rFonts w:eastAsia="Times New Roman"/>
        </w:rPr>
      </w:pPr>
      <w:r>
        <w:rPr>
          <w:rFonts w:eastAsia="Times New Roman"/>
          <w:color w:val="000000"/>
          <w:sz w:val="18"/>
          <w:szCs w:val="18"/>
        </w:rPr>
        <w:t>(3)For the GMIB reinsurance contract asset and Amounts Due from Reinsurers, represents recoveries from reinsurers and fo</w:t>
      </w:r>
      <w:r>
        <w:rPr>
          <w:rFonts w:eastAsia="Times New Roman"/>
          <w:color w:val="000000"/>
          <w:sz w:val="18"/>
          <w:szCs w:val="18"/>
        </w:rPr>
        <w:t>r GMxB derivative features liability represents benefits paid.</w:t>
      </w:r>
    </w:p>
    <w:p w:rsidR="00000000" w:rsidRDefault="005C524C">
      <w:pPr>
        <w:ind w:hanging="360"/>
        <w:divId w:val="474832356"/>
        <w:rPr>
          <w:rFonts w:eastAsia="Times New Roman"/>
        </w:rPr>
      </w:pPr>
      <w:r>
        <w:rPr>
          <w:rFonts w:eastAsia="Times New Roman"/>
          <w:color w:val="000000"/>
          <w:sz w:val="18"/>
          <w:szCs w:val="18"/>
        </w:rPr>
        <w:t xml:space="preserve">(4) </w:t>
      </w:r>
      <w:r>
        <w:rPr>
          <w:rFonts w:eastAsia="Times New Roman"/>
          <w:color w:val="000000"/>
          <w:sz w:val="18"/>
          <w:szCs w:val="18"/>
        </w:rPr>
        <w:t>Transfers into/out of the Level 3 classification are reflected at beginning-of-period fair values.</w:t>
      </w:r>
    </w:p>
    <w:p w:rsidR="00000000" w:rsidRDefault="005C524C">
      <w:pPr>
        <w:ind w:firstLine="360"/>
        <w:divId w:val="388267799"/>
        <w:rPr>
          <w:rFonts w:eastAsia="Times New Roman"/>
        </w:rPr>
      </w:pPr>
      <w:r>
        <w:rPr>
          <w:rFonts w:eastAsia="Times New Roman"/>
          <w:color w:val="000000"/>
          <w:sz w:val="18"/>
          <w:szCs w:val="18"/>
        </w:rPr>
        <w:t xml:space="preserve">(5) For the </w:t>
      </w:r>
      <w:r>
        <w:rPr>
          <w:rFonts w:eastAsia="Times New Roman"/>
          <w:color w:val="000000"/>
          <w:sz w:val="20"/>
          <w:szCs w:val="20"/>
        </w:rPr>
        <w:t xml:space="preserve">six months ended June 30, 2021, </w:t>
      </w:r>
      <w:r>
        <w:rPr>
          <w:rFonts w:eastAsia="Times New Roman"/>
          <w:color w:val="000000"/>
          <w:sz w:val="18"/>
          <w:szCs w:val="18"/>
        </w:rPr>
        <w:t xml:space="preserve">GMxB Derivative Features Liability excludes settlement fees on CS Life reinsurance </w:t>
      </w:r>
    </w:p>
    <w:p w:rsidR="00000000" w:rsidRDefault="005C524C">
      <w:pPr>
        <w:ind w:hanging="360"/>
        <w:divId w:val="1304307252"/>
        <w:rPr>
          <w:rFonts w:eastAsia="Times New Roman"/>
        </w:rPr>
      </w:pPr>
      <w:r>
        <w:rPr>
          <w:rFonts w:eastAsia="Times New Roman"/>
          <w:color w:val="000000"/>
          <w:sz w:val="18"/>
          <w:szCs w:val="18"/>
        </w:rPr>
        <w:t>contract of $45 million.</w:t>
      </w:r>
    </w:p>
    <w:p w:rsidR="00000000" w:rsidRDefault="005C524C">
      <w:pPr>
        <w:ind w:firstLine="360"/>
        <w:divId w:val="1037243934"/>
        <w:rPr>
          <w:rFonts w:eastAsia="Times New Roman"/>
        </w:rPr>
      </w:pPr>
      <w:r>
        <w:rPr>
          <w:rFonts w:eastAsia="Times New Roman"/>
          <w:color w:val="000000"/>
          <w:sz w:val="18"/>
          <w:szCs w:val="18"/>
        </w:rPr>
        <w:t xml:space="preserve">(6) </w:t>
      </w:r>
      <w:r>
        <w:rPr>
          <w:rFonts w:eastAsia="Times New Roman"/>
          <w:color w:val="000000"/>
          <w:sz w:val="18"/>
          <w:szCs w:val="18"/>
        </w:rPr>
        <w:t xml:space="preserve">For instruments held as of June 30, 2022 or June 30, 2021, amounts are included in net investment income or net derivative gains </w:t>
      </w:r>
    </w:p>
    <w:p w:rsidR="00000000" w:rsidRDefault="005C524C">
      <w:pPr>
        <w:ind w:hanging="360"/>
        <w:divId w:val="180751285"/>
        <w:rPr>
          <w:rFonts w:eastAsia="Times New Roman"/>
        </w:rPr>
      </w:pPr>
      <w:r>
        <w:rPr>
          <w:rFonts w:eastAsia="Times New Roman"/>
          <w:color w:val="000000"/>
          <w:sz w:val="18"/>
          <w:szCs w:val="18"/>
        </w:rPr>
        <w:t>(losses) in the consolidated statements of income (loss) or unrealized gains (losses) on investments in the consolidated state</w:t>
      </w:r>
      <w:r>
        <w:rPr>
          <w:rFonts w:eastAsia="Times New Roman"/>
          <w:color w:val="000000"/>
          <w:sz w:val="18"/>
          <w:szCs w:val="18"/>
        </w:rPr>
        <w:t xml:space="preserve">ments of comprehensive income. </w:t>
      </w:r>
    </w:p>
    <w:p w:rsidR="00000000" w:rsidRDefault="005C524C">
      <w:pPr>
        <w:ind w:firstLine="360"/>
        <w:divId w:val="781654271"/>
        <w:rPr>
          <w:rFonts w:eastAsia="Times New Roman"/>
        </w:rPr>
      </w:pPr>
      <w:r>
        <w:rPr>
          <w:rFonts w:eastAsia="Times New Roman"/>
          <w:color w:val="000000"/>
          <w:sz w:val="18"/>
          <w:szCs w:val="18"/>
        </w:rPr>
        <w:t xml:space="preserve">(7) Other Equity Investments include other invested assets and short term investments. </w:t>
      </w:r>
    </w:p>
    <w:p w:rsidR="00000000" w:rsidRDefault="005C524C">
      <w:pPr>
        <w:jc w:val="center"/>
        <w:divId w:val="41370449"/>
        <w:rPr>
          <w:rFonts w:eastAsia="Times New Roman"/>
        </w:rPr>
      </w:pPr>
    </w:p>
    <w:p w:rsidR="00000000" w:rsidRDefault="005C524C">
      <w:pPr>
        <w:jc w:val="center"/>
        <w:divId w:val="41370449"/>
        <w:rPr>
          <w:rFonts w:eastAsia="Times New Roman"/>
        </w:rPr>
      </w:pPr>
      <w:r>
        <w:rPr>
          <w:rFonts w:eastAsia="Times New Roman"/>
          <w:color w:val="000000"/>
          <w:sz w:val="20"/>
          <w:szCs w:val="20"/>
        </w:rPr>
        <w:t>51</w:t>
      </w:r>
    </w:p>
    <w:p w:rsidR="00000000" w:rsidRDefault="005C524C">
      <w:pPr>
        <w:rPr>
          <w:rFonts w:eastAsia="Times New Roman"/>
        </w:rPr>
      </w:pPr>
      <w:r>
        <w:rPr>
          <w:rFonts w:eastAsia="Times New Roman"/>
        </w:rPr>
        <w:pict>
          <v:rect id="_x0000_i1077" style="width:0;height:1.5pt" o:hralign="center" o:hrstd="t" o:hr="t" fillcolor="#a0a0a0" stroked="f"/>
        </w:pict>
      </w:r>
    </w:p>
    <w:p w:rsidR="00000000" w:rsidRDefault="005C524C">
      <w:pPr>
        <w:divId w:val="116019317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007292147"/>
        <w:rPr>
          <w:rFonts w:eastAsia="Times New Roman"/>
        </w:rPr>
      </w:pPr>
      <w:r>
        <w:rPr>
          <w:rFonts w:eastAsia="Times New Roman"/>
          <w:b/>
          <w:bCs/>
          <w:color w:val="000000"/>
          <w:sz w:val="20"/>
          <w:szCs w:val="20"/>
        </w:rPr>
        <w:t>EQUITABLE HOLDING</w:t>
      </w:r>
      <w:r>
        <w:rPr>
          <w:rFonts w:eastAsia="Times New Roman"/>
          <w:b/>
          <w:bCs/>
          <w:color w:val="000000"/>
          <w:sz w:val="20"/>
          <w:szCs w:val="20"/>
        </w:rPr>
        <w:t>S, INC.</w:t>
      </w:r>
    </w:p>
    <w:p w:rsidR="00000000" w:rsidRDefault="005C524C">
      <w:pPr>
        <w:jc w:val="center"/>
        <w:divId w:val="100729214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007292147"/>
        <w:rPr>
          <w:rFonts w:eastAsia="Times New Roman"/>
        </w:rPr>
      </w:pPr>
    </w:p>
    <w:p w:rsidR="00000000" w:rsidRDefault="005C524C">
      <w:pPr>
        <w:divId w:val="168251780"/>
        <w:rPr>
          <w:rFonts w:eastAsia="Times New Roman"/>
        </w:rPr>
      </w:pPr>
      <w:r>
        <w:rPr>
          <w:rFonts w:eastAsia="Times New Roman"/>
          <w:color w:val="000000"/>
          <w:sz w:val="20"/>
          <w:szCs w:val="20"/>
          <w:u w:val="single"/>
        </w:rPr>
        <w:t>Quantitative and Qualitative Information about Level 3 Fair Value Measurements</w:t>
      </w:r>
    </w:p>
    <w:p w:rsidR="00000000" w:rsidRDefault="005C524C">
      <w:pPr>
        <w:divId w:val="1464271805"/>
        <w:rPr>
          <w:rFonts w:eastAsia="Times New Roman"/>
        </w:rPr>
      </w:pPr>
      <w:r>
        <w:rPr>
          <w:rFonts w:eastAsia="Times New Roman"/>
          <w:color w:val="000000"/>
          <w:sz w:val="20"/>
          <w:szCs w:val="20"/>
        </w:rPr>
        <w:t>The following tables disclose quantitative information about Level 3 fair value measurements by categ</w:t>
      </w:r>
      <w:r>
        <w:rPr>
          <w:rFonts w:eastAsia="Times New Roman"/>
          <w:color w:val="000000"/>
          <w:sz w:val="20"/>
          <w:szCs w:val="20"/>
        </w:rPr>
        <w:t>ory for assets and liabilities as of June 30, 2022 and December 31, 2021, respectively.</w:t>
      </w:r>
    </w:p>
    <w:p w:rsidR="00000000" w:rsidRDefault="005C524C">
      <w:pPr>
        <w:jc w:val="center"/>
        <w:rPr>
          <w:rFonts w:eastAsia="Times New Roman"/>
        </w:rPr>
      </w:pPr>
      <w:r>
        <w:rPr>
          <w:rFonts w:eastAsia="Times New Roman"/>
          <w:b/>
          <w:bCs/>
          <w:color w:val="000000"/>
          <w:sz w:val="20"/>
          <w:szCs w:val="20"/>
        </w:rPr>
        <w:t>Quantitative Information about Level 3 Fair Value Measurements as of June 30, 2022</w:t>
      </w:r>
    </w:p>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56"/>
        <w:gridCol w:w="36"/>
        <w:gridCol w:w="36"/>
        <w:gridCol w:w="36"/>
        <w:gridCol w:w="36"/>
        <w:gridCol w:w="45"/>
        <w:gridCol w:w="1021"/>
        <w:gridCol w:w="38"/>
        <w:gridCol w:w="36"/>
        <w:gridCol w:w="36"/>
        <w:gridCol w:w="36"/>
        <w:gridCol w:w="45"/>
        <w:gridCol w:w="1155"/>
        <w:gridCol w:w="36"/>
      </w:tblGrid>
      <w:tr w:rsidR="00000000">
        <w:trPr>
          <w:divId w:val="1177111131"/>
          <w:jc w:val="center"/>
        </w:trPr>
        <w:tc>
          <w:tcPr>
            <w:tcW w:w="50" w:type="pct"/>
            <w:vAlign w:val="center"/>
            <w:hideMark/>
          </w:tcPr>
          <w:p w:rsidR="00000000" w:rsidRDefault="005C524C">
            <w:pPr>
              <w:jc w:val="center"/>
              <w:rPr>
                <w:rFonts w:eastAsia="Times New Roman"/>
              </w:rPr>
            </w:pPr>
          </w:p>
        </w:tc>
        <w:tc>
          <w:tcPr>
            <w:tcW w:w="10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3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4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7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w:t>
            </w:r>
          </w:p>
          <w:p w:rsidR="00000000" w:rsidRDefault="005C524C">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Valuation</w:t>
            </w:r>
          </w:p>
          <w:p w:rsidR="00000000" w:rsidRDefault="005C524C">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Significant</w:t>
            </w:r>
          </w:p>
          <w:p w:rsidR="00000000" w:rsidRDefault="005C524C">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Weighted Average (2)</w:t>
            </w:r>
          </w:p>
        </w:tc>
      </w:tr>
      <w:tr w:rsidR="00000000">
        <w:trPr>
          <w:divId w:val="1177111131"/>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247</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20 bps - 803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151 bps</w:t>
            </w:r>
          </w:p>
        </w:tc>
      </w:tr>
      <w:tr w:rsidR="00000000">
        <w:trPr>
          <w:divId w:val="1177111131"/>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885</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EBITDA multiples</w:t>
            </w:r>
          </w:p>
          <w:p w:rsidR="00000000" w:rsidRDefault="005C524C">
            <w:pPr>
              <w:spacing w:after="100"/>
              <w:jc w:val="right"/>
              <w:rPr>
                <w:rFonts w:eastAsia="Times New Roman"/>
              </w:rPr>
            </w:pPr>
            <w:r>
              <w:rPr>
                <w:rFonts w:eastAsia="Times New Roman"/>
                <w:color w:val="000000"/>
                <w:sz w:val="18"/>
                <w:szCs w:val="18"/>
              </w:rPr>
              <w:t>Discount rate</w:t>
            </w:r>
          </w:p>
          <w:p w:rsidR="00000000" w:rsidRDefault="005C524C">
            <w:pPr>
              <w:spacing w:after="100"/>
              <w:jc w:val="right"/>
              <w:rPr>
                <w:rFonts w:eastAsia="Times New Roman"/>
              </w:rPr>
            </w:pPr>
            <w:r>
              <w:rPr>
                <w:rFonts w:eastAsia="Times New Roman"/>
                <w:color w:val="000000"/>
                <w:sz w:val="18"/>
                <w:szCs w:val="18"/>
              </w:rPr>
              <w:t>Cash flow multiples</w:t>
            </w:r>
          </w:p>
          <w:p w:rsidR="00000000" w:rsidRDefault="005C524C">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5.2x - 31.8x</w:t>
            </w:r>
          </w:p>
          <w:p w:rsidR="00000000" w:rsidRDefault="005C524C">
            <w:pPr>
              <w:spacing w:after="100"/>
              <w:jc w:val="center"/>
              <w:rPr>
                <w:rFonts w:eastAsia="Times New Roman"/>
              </w:rPr>
            </w:pPr>
            <w:r>
              <w:rPr>
                <w:rFonts w:eastAsia="Times New Roman"/>
                <w:b/>
                <w:bCs/>
                <w:color w:val="000000"/>
                <w:sz w:val="18"/>
                <w:szCs w:val="18"/>
              </w:rPr>
              <w:t>8.0% - 38.5%</w:t>
            </w:r>
          </w:p>
          <w:p w:rsidR="00000000" w:rsidRDefault="005C524C">
            <w:pPr>
              <w:spacing w:after="100"/>
              <w:jc w:val="center"/>
              <w:rPr>
                <w:rFonts w:eastAsia="Times New Roman"/>
              </w:rPr>
            </w:pPr>
            <w:r>
              <w:rPr>
                <w:rFonts w:eastAsia="Times New Roman"/>
                <w:b/>
                <w:bCs/>
                <w:color w:val="000000"/>
                <w:sz w:val="18"/>
                <w:szCs w:val="18"/>
              </w:rPr>
              <w:t>1.2x - 11.6x</w:t>
            </w:r>
          </w:p>
          <w:p w:rsidR="00000000" w:rsidRDefault="005C524C">
            <w:pPr>
              <w:spacing w:after="100"/>
              <w:jc w:val="center"/>
              <w:rPr>
                <w:rFonts w:eastAsia="Times New Roman"/>
              </w:rPr>
            </w:pPr>
            <w:r>
              <w:rPr>
                <w:rFonts w:eastAsia="Times New Roman"/>
                <w:b/>
                <w:bCs/>
                <w:color w:val="000000"/>
                <w:sz w:val="18"/>
                <w:szCs w:val="18"/>
              </w:rPr>
              <w:t>0.0% - 44.4%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13.4x</w:t>
            </w:r>
          </w:p>
          <w:p w:rsidR="00000000" w:rsidRDefault="005C524C">
            <w:pPr>
              <w:spacing w:after="100"/>
              <w:jc w:val="center"/>
              <w:rPr>
                <w:rFonts w:eastAsia="Times New Roman"/>
              </w:rPr>
            </w:pPr>
            <w:r>
              <w:rPr>
                <w:rFonts w:eastAsia="Times New Roman"/>
                <w:b/>
                <w:bCs/>
                <w:color w:val="000000"/>
                <w:sz w:val="18"/>
                <w:szCs w:val="18"/>
              </w:rPr>
              <w:t>10.2%</w:t>
            </w:r>
          </w:p>
          <w:p w:rsidR="00000000" w:rsidRDefault="005C524C">
            <w:pPr>
              <w:spacing w:after="100"/>
              <w:jc w:val="center"/>
              <w:rPr>
                <w:rFonts w:eastAsia="Times New Roman"/>
              </w:rPr>
            </w:pPr>
            <w:r>
              <w:rPr>
                <w:rFonts w:eastAsia="Times New Roman"/>
                <w:b/>
                <w:bCs/>
                <w:color w:val="000000"/>
                <w:sz w:val="18"/>
                <w:szCs w:val="18"/>
              </w:rPr>
              <w:t>6.6x</w:t>
            </w:r>
          </w:p>
          <w:p w:rsidR="00000000" w:rsidRDefault="005C524C">
            <w:pPr>
              <w:spacing w:after="100"/>
              <w:jc w:val="center"/>
              <w:rPr>
                <w:rFonts w:eastAsia="Times New Roman"/>
              </w:rPr>
            </w:pPr>
            <w:r>
              <w:rPr>
                <w:rFonts w:eastAsia="Times New Roman"/>
                <w:b/>
                <w:bCs/>
                <w:color w:val="000000"/>
                <w:sz w:val="18"/>
                <w:szCs w:val="18"/>
              </w:rPr>
              <w:t>25.9%</w:t>
            </w:r>
          </w:p>
        </w:tc>
      </w:tr>
      <w:tr w:rsidR="00000000">
        <w:trPr>
          <w:divId w:val="1177111131"/>
          <w:jc w:val="center"/>
        </w:trPr>
        <w:tc>
          <w:tcPr>
            <w:tcW w:w="0" w:type="auto"/>
            <w:gridSpan w:val="3"/>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Earnings multiple</w:t>
            </w:r>
          </w:p>
          <w:p w:rsidR="00000000" w:rsidRDefault="005C524C">
            <w:pPr>
              <w:spacing w:after="100"/>
              <w:jc w:val="right"/>
              <w:rPr>
                <w:rFonts w:eastAsia="Times New Roman"/>
              </w:rPr>
            </w:pPr>
            <w:r>
              <w:rPr>
                <w:rFonts w:eastAsia="Times New Roman"/>
                <w:color w:val="000000"/>
                <w:sz w:val="18"/>
                <w:szCs w:val="18"/>
              </w:rPr>
              <w:t>Discount factor</w:t>
            </w:r>
          </w:p>
          <w:p w:rsidR="00000000" w:rsidRDefault="005C524C">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7.3x</w:t>
            </w:r>
          </w:p>
          <w:p w:rsidR="00000000" w:rsidRDefault="005C524C">
            <w:pPr>
              <w:spacing w:after="100"/>
              <w:jc w:val="center"/>
              <w:rPr>
                <w:rFonts w:eastAsia="Times New Roman"/>
              </w:rPr>
            </w:pPr>
            <w:r>
              <w:rPr>
                <w:rFonts w:eastAsia="Times New Roman"/>
                <w:b/>
                <w:bCs/>
                <w:color w:val="000000"/>
                <w:sz w:val="18"/>
                <w:szCs w:val="18"/>
              </w:rPr>
              <w:t>10.0%</w:t>
            </w:r>
          </w:p>
          <w:p w:rsidR="00000000" w:rsidRDefault="005C524C">
            <w:pPr>
              <w:spacing w:after="100"/>
              <w:jc w:val="center"/>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111131"/>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7.1x - 9.5x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8.5x</w:t>
            </w:r>
          </w:p>
        </w:tc>
      </w:tr>
      <w:tr w:rsidR="00000000">
        <w:trPr>
          <w:divId w:val="1177111131"/>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1,498</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GMIB Utilization Rates</w:t>
            </w:r>
          </w:p>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Mortality: Ages 0-40</w:t>
            </w:r>
          </w:p>
          <w:p w:rsidR="00000000" w:rsidRDefault="005C524C">
            <w:pPr>
              <w:spacing w:after="100"/>
              <w:jc w:val="right"/>
              <w:rPr>
                <w:rFonts w:eastAsia="Times New Roman"/>
              </w:rPr>
            </w:pPr>
            <w:r>
              <w:rPr>
                <w:rFonts w:eastAsia="Times New Roman"/>
                <w:color w:val="000000"/>
                <w:sz w:val="18"/>
                <w:szCs w:val="18"/>
              </w:rPr>
              <w:t>Ages 41-60</w:t>
            </w:r>
          </w:p>
          <w:p w:rsidR="00000000" w:rsidRDefault="005C524C">
            <w:pPr>
              <w:spacing w:after="100"/>
              <w:jc w:val="right"/>
              <w:rPr>
                <w:rFonts w:eastAsia="Times New Roman"/>
              </w:rPr>
            </w:pPr>
            <w:r>
              <w:rPr>
                <w:rFonts w:eastAsia="Times New Roman"/>
                <w:color w:val="000000"/>
                <w:sz w:val="18"/>
                <w:szCs w:val="18"/>
              </w:rPr>
              <w:t>Ages 61-115</w:t>
            </w:r>
          </w:p>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0.45%-20.86%</w:t>
            </w:r>
          </w:p>
          <w:p w:rsidR="00000000" w:rsidRDefault="005C524C">
            <w:pPr>
              <w:spacing w:after="100"/>
              <w:jc w:val="center"/>
              <w:rPr>
                <w:rFonts w:eastAsia="Times New Roman"/>
              </w:rPr>
            </w:pPr>
            <w:r>
              <w:rPr>
                <w:rFonts w:eastAsia="Times New Roman"/>
                <w:b/>
                <w:bCs/>
                <w:color w:val="000000"/>
                <w:sz w:val="18"/>
                <w:szCs w:val="18"/>
              </w:rPr>
              <w:t>0.27%-8.66%</w:t>
            </w:r>
          </w:p>
          <w:p w:rsidR="00000000" w:rsidRDefault="005C524C">
            <w:pPr>
              <w:spacing w:after="100"/>
              <w:jc w:val="center"/>
              <w:rPr>
                <w:rFonts w:eastAsia="Times New Roman"/>
              </w:rPr>
            </w:pPr>
            <w:r>
              <w:rPr>
                <w:rFonts w:eastAsia="Times New Roman"/>
                <w:b/>
                <w:bCs/>
                <w:color w:val="000000"/>
                <w:sz w:val="18"/>
                <w:szCs w:val="18"/>
              </w:rPr>
              <w:t>0.04%-60.44%</w:t>
            </w:r>
          </w:p>
          <w:p w:rsidR="00000000" w:rsidRDefault="005C524C">
            <w:pPr>
              <w:spacing w:after="100"/>
              <w:jc w:val="center"/>
              <w:rPr>
                <w:rFonts w:eastAsia="Times New Roman"/>
              </w:rPr>
            </w:pPr>
            <w:r>
              <w:rPr>
                <w:rFonts w:eastAsia="Times New Roman"/>
                <w:b/>
                <w:bCs/>
                <w:color w:val="000000"/>
                <w:sz w:val="18"/>
                <w:szCs w:val="18"/>
              </w:rPr>
              <w:t>111 bps - 169 bps</w:t>
            </w:r>
          </w:p>
          <w:p w:rsidR="00000000" w:rsidRDefault="005C524C">
            <w:pPr>
              <w:spacing w:after="100"/>
              <w:jc w:val="center"/>
              <w:rPr>
                <w:rFonts w:eastAsia="Times New Roman"/>
              </w:rPr>
            </w:pPr>
            <w:r>
              <w:rPr>
                <w:rFonts w:eastAsia="Times New Roman"/>
                <w:b/>
                <w:bCs/>
                <w:color w:val="000000"/>
                <w:sz w:val="18"/>
                <w:szCs w:val="18"/>
              </w:rPr>
              <w:t>15%-34%</w:t>
            </w:r>
          </w:p>
          <w:p w:rsidR="00000000" w:rsidRDefault="005C524C">
            <w:pPr>
              <w:spacing w:after="100"/>
              <w:jc w:val="center"/>
              <w:rPr>
                <w:rFonts w:eastAsia="Times New Roman"/>
              </w:rPr>
            </w:pPr>
            <w:r>
              <w:rPr>
                <w:rFonts w:eastAsia="Times New Roman"/>
                <w:b/>
                <w:bCs/>
                <w:color w:val="000000"/>
                <w:sz w:val="18"/>
                <w:szCs w:val="18"/>
              </w:rPr>
              <w:t>0.01%-0.17%</w:t>
            </w:r>
          </w:p>
          <w:p w:rsidR="00000000" w:rsidRDefault="005C524C">
            <w:pPr>
              <w:spacing w:after="100"/>
              <w:jc w:val="center"/>
              <w:rPr>
                <w:rFonts w:eastAsia="Times New Roman"/>
              </w:rPr>
            </w:pPr>
            <w:r>
              <w:rPr>
                <w:rFonts w:eastAsia="Times New Roman"/>
                <w:b/>
                <w:bCs/>
                <w:color w:val="000000"/>
                <w:sz w:val="18"/>
                <w:szCs w:val="18"/>
              </w:rPr>
              <w:t>0.06%-0.53%</w:t>
            </w:r>
          </w:p>
          <w:p w:rsidR="00000000" w:rsidRDefault="005C524C">
            <w:pPr>
              <w:spacing w:after="100"/>
              <w:jc w:val="center"/>
              <w:rPr>
                <w:rFonts w:eastAsia="Times New Roman"/>
              </w:rPr>
            </w:pPr>
            <w:r>
              <w:rPr>
                <w:rFonts w:eastAsia="Times New Roman"/>
                <w:b/>
                <w:bCs/>
                <w:color w:val="000000"/>
                <w:sz w:val="18"/>
                <w:szCs w:val="18"/>
              </w:rPr>
              <w:t>0.31%-40.00%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2.80%</w:t>
            </w:r>
          </w:p>
          <w:p w:rsidR="00000000" w:rsidRDefault="005C524C">
            <w:pPr>
              <w:spacing w:after="100"/>
              <w:jc w:val="center"/>
              <w:rPr>
                <w:rFonts w:eastAsia="Times New Roman"/>
              </w:rPr>
            </w:pPr>
            <w:r>
              <w:rPr>
                <w:rFonts w:eastAsia="Times New Roman"/>
                <w:b/>
                <w:bCs/>
                <w:color w:val="000000"/>
                <w:sz w:val="18"/>
                <w:szCs w:val="18"/>
              </w:rPr>
              <w:t>0.98%</w:t>
            </w:r>
          </w:p>
          <w:p w:rsidR="00000000" w:rsidRDefault="005C524C">
            <w:pPr>
              <w:spacing w:after="100"/>
              <w:jc w:val="center"/>
              <w:rPr>
                <w:rFonts w:eastAsia="Times New Roman"/>
              </w:rPr>
            </w:pPr>
            <w:r>
              <w:rPr>
                <w:rFonts w:eastAsia="Times New Roman"/>
                <w:b/>
                <w:bCs/>
                <w:color w:val="000000"/>
                <w:sz w:val="18"/>
                <w:szCs w:val="18"/>
              </w:rPr>
              <w:t>5.87%</w:t>
            </w:r>
          </w:p>
          <w:p w:rsidR="00000000" w:rsidRDefault="005C524C">
            <w:pPr>
              <w:spacing w:after="100"/>
              <w:jc w:val="center"/>
              <w:rPr>
                <w:rFonts w:eastAsia="Times New Roman"/>
              </w:rPr>
            </w:pPr>
            <w:r>
              <w:rPr>
                <w:rFonts w:eastAsia="Times New Roman"/>
                <w:b/>
                <w:bCs/>
                <w:color w:val="000000"/>
                <w:sz w:val="18"/>
                <w:szCs w:val="18"/>
              </w:rPr>
              <w:t>113 bps</w:t>
            </w:r>
          </w:p>
          <w:p w:rsidR="00000000" w:rsidRDefault="005C524C">
            <w:pPr>
              <w:spacing w:after="100"/>
              <w:jc w:val="center"/>
              <w:rPr>
                <w:rFonts w:eastAsia="Times New Roman"/>
              </w:rPr>
            </w:pPr>
            <w:r>
              <w:rPr>
                <w:rFonts w:eastAsia="Times New Roman"/>
                <w:b/>
                <w:bCs/>
                <w:color w:val="000000"/>
                <w:sz w:val="18"/>
                <w:szCs w:val="18"/>
              </w:rPr>
              <w:t>24%</w:t>
            </w:r>
          </w:p>
          <w:p w:rsidR="00000000" w:rsidRDefault="005C524C">
            <w:pPr>
              <w:spacing w:after="100"/>
              <w:jc w:val="center"/>
              <w:rPr>
                <w:rFonts w:eastAsia="Times New Roman"/>
              </w:rPr>
            </w:pPr>
            <w:r>
              <w:rPr>
                <w:rFonts w:eastAsia="Times New Roman"/>
                <w:b/>
                <w:bCs/>
                <w:color w:val="000000"/>
                <w:sz w:val="18"/>
                <w:szCs w:val="18"/>
              </w:rPr>
              <w:t>2.83%</w:t>
            </w:r>
          </w:p>
          <w:p w:rsidR="00000000" w:rsidRDefault="005C524C">
            <w:pPr>
              <w:spacing w:after="100"/>
              <w:jc w:val="center"/>
              <w:rPr>
                <w:rFonts w:eastAsia="Times New Roman"/>
              </w:rPr>
            </w:pPr>
            <w:r>
              <w:rPr>
                <w:rFonts w:eastAsia="Times New Roman"/>
                <w:b/>
                <w:bCs/>
                <w:color w:val="000000"/>
                <w:sz w:val="18"/>
                <w:szCs w:val="18"/>
              </w:rPr>
              <w:t>(same for all ages)</w:t>
            </w:r>
          </w:p>
          <w:p w:rsidR="00000000" w:rsidRDefault="005C524C">
            <w:pPr>
              <w:spacing w:after="100"/>
              <w:jc w:val="center"/>
              <w:rPr>
                <w:rFonts w:eastAsia="Times New Roman"/>
              </w:rPr>
            </w:pPr>
            <w:r>
              <w:rPr>
                <w:rFonts w:eastAsia="Times New Roman"/>
                <w:b/>
                <w:bCs/>
                <w:color w:val="000000"/>
                <w:sz w:val="18"/>
                <w:szCs w:val="18"/>
              </w:rPr>
              <w:t>(same for all ages)</w:t>
            </w:r>
          </w:p>
        </w:tc>
      </w:tr>
      <w:tr w:rsidR="00000000">
        <w:trPr>
          <w:divId w:val="1177111131"/>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4,681</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GMIB Utilization Rates</w:t>
            </w:r>
          </w:p>
          <w:p w:rsidR="00000000" w:rsidRDefault="005C524C">
            <w:pPr>
              <w:spacing w:after="100"/>
              <w:jc w:val="right"/>
              <w:rPr>
                <w:rFonts w:eastAsia="Times New Roman"/>
              </w:rPr>
            </w:pPr>
            <w:r>
              <w:rPr>
                <w:rFonts w:eastAsia="Times New Roman"/>
                <w:color w:val="000000"/>
                <w:sz w:val="18"/>
                <w:szCs w:val="18"/>
              </w:rPr>
              <w:t>Non-performance risk (bps)</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Mortality: Ages 0-40</w:t>
            </w:r>
          </w:p>
          <w:p w:rsidR="00000000" w:rsidRDefault="005C524C">
            <w:pPr>
              <w:spacing w:after="100"/>
              <w:jc w:val="right"/>
              <w:rPr>
                <w:rFonts w:eastAsia="Times New Roman"/>
              </w:rPr>
            </w:pPr>
            <w:r>
              <w:rPr>
                <w:rFonts w:eastAsia="Times New Roman"/>
                <w:color w:val="000000"/>
                <w:sz w:val="18"/>
                <w:szCs w:val="18"/>
              </w:rPr>
              <w:t>Ages 41-60</w:t>
            </w:r>
          </w:p>
          <w:p w:rsidR="00000000" w:rsidRDefault="005C524C">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0.45%-20.86%</w:t>
            </w:r>
          </w:p>
          <w:p w:rsidR="00000000" w:rsidRDefault="005C524C">
            <w:pPr>
              <w:spacing w:after="100"/>
              <w:jc w:val="center"/>
              <w:rPr>
                <w:rFonts w:eastAsia="Times New Roman"/>
              </w:rPr>
            </w:pPr>
            <w:r>
              <w:rPr>
                <w:rFonts w:eastAsia="Times New Roman"/>
                <w:b/>
                <w:bCs/>
                <w:color w:val="000000"/>
                <w:sz w:val="18"/>
                <w:szCs w:val="18"/>
              </w:rPr>
              <w:t>0.27%-8.66%</w:t>
            </w:r>
          </w:p>
          <w:p w:rsidR="00000000" w:rsidRDefault="005C524C">
            <w:pPr>
              <w:spacing w:after="100"/>
              <w:jc w:val="center"/>
              <w:rPr>
                <w:rFonts w:eastAsia="Times New Roman"/>
              </w:rPr>
            </w:pPr>
            <w:r>
              <w:rPr>
                <w:rFonts w:eastAsia="Times New Roman"/>
                <w:b/>
                <w:bCs/>
                <w:color w:val="000000"/>
                <w:sz w:val="18"/>
                <w:szCs w:val="18"/>
              </w:rPr>
              <w:t>0.04%-60.44%</w:t>
            </w:r>
          </w:p>
          <w:p w:rsidR="00000000" w:rsidRDefault="005C524C">
            <w:pPr>
              <w:spacing w:after="100"/>
              <w:jc w:val="center"/>
              <w:rPr>
                <w:rFonts w:eastAsia="Times New Roman"/>
              </w:rPr>
            </w:pPr>
            <w:r>
              <w:rPr>
                <w:rFonts w:eastAsia="Times New Roman"/>
                <w:b/>
                <w:bCs/>
                <w:color w:val="000000"/>
                <w:sz w:val="18"/>
                <w:szCs w:val="18"/>
              </w:rPr>
              <w:t>59 bps</w:t>
            </w:r>
          </w:p>
          <w:p w:rsidR="00000000" w:rsidRDefault="005C524C">
            <w:pPr>
              <w:spacing w:after="100"/>
              <w:jc w:val="center"/>
              <w:rPr>
                <w:rFonts w:eastAsia="Times New Roman"/>
              </w:rPr>
            </w:pPr>
            <w:r>
              <w:rPr>
                <w:rFonts w:eastAsia="Times New Roman"/>
                <w:b/>
                <w:bCs/>
                <w:color w:val="000000"/>
                <w:sz w:val="18"/>
                <w:szCs w:val="18"/>
              </w:rPr>
              <w:t>15%-34%</w:t>
            </w:r>
          </w:p>
          <w:p w:rsidR="00000000" w:rsidRDefault="005C524C">
            <w:pPr>
              <w:spacing w:after="100"/>
              <w:jc w:val="center"/>
              <w:rPr>
                <w:rFonts w:eastAsia="Times New Roman"/>
              </w:rPr>
            </w:pPr>
            <w:r>
              <w:rPr>
                <w:rFonts w:eastAsia="Times New Roman"/>
                <w:b/>
                <w:bCs/>
                <w:color w:val="000000"/>
                <w:sz w:val="18"/>
                <w:szCs w:val="18"/>
              </w:rPr>
              <w:t>0.01%-0.17%</w:t>
            </w:r>
          </w:p>
          <w:p w:rsidR="00000000" w:rsidRDefault="005C524C">
            <w:pPr>
              <w:spacing w:after="100"/>
              <w:jc w:val="center"/>
              <w:rPr>
                <w:rFonts w:eastAsia="Times New Roman"/>
              </w:rPr>
            </w:pPr>
            <w:r>
              <w:rPr>
                <w:rFonts w:eastAsia="Times New Roman"/>
                <w:b/>
                <w:bCs/>
                <w:color w:val="000000"/>
                <w:sz w:val="18"/>
                <w:szCs w:val="18"/>
              </w:rPr>
              <w:t>0.06%-0.53%</w:t>
            </w:r>
          </w:p>
          <w:p w:rsidR="00000000" w:rsidRDefault="005C524C">
            <w:pPr>
              <w:spacing w:after="100"/>
              <w:jc w:val="center"/>
              <w:rPr>
                <w:rFonts w:eastAsia="Times New Roman"/>
              </w:rPr>
            </w:pPr>
            <w:r>
              <w:rPr>
                <w:rFonts w:eastAsia="Times New Roman"/>
                <w:b/>
                <w:bCs/>
                <w:color w:val="000000"/>
                <w:sz w:val="18"/>
                <w:szCs w:val="18"/>
              </w:rPr>
              <w:t>0.31%-40.00%</w:t>
            </w:r>
          </w:p>
          <w:p w:rsidR="00000000" w:rsidRDefault="005C524C">
            <w:pPr>
              <w:spacing w:after="100"/>
              <w:jc w:val="center"/>
              <w:rPr>
                <w:rFonts w:eastAsia="Times New Roman"/>
              </w:rPr>
            </w:pPr>
          </w:p>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1.80%</w:t>
            </w:r>
          </w:p>
          <w:p w:rsidR="00000000" w:rsidRDefault="005C524C">
            <w:pPr>
              <w:spacing w:after="100"/>
              <w:jc w:val="center"/>
              <w:rPr>
                <w:rFonts w:eastAsia="Times New Roman"/>
              </w:rPr>
            </w:pPr>
            <w:r>
              <w:rPr>
                <w:rFonts w:eastAsia="Times New Roman"/>
                <w:b/>
                <w:bCs/>
                <w:color w:val="000000"/>
                <w:sz w:val="18"/>
                <w:szCs w:val="18"/>
              </w:rPr>
              <w:t>1.24%</w:t>
            </w:r>
          </w:p>
          <w:p w:rsidR="00000000" w:rsidRDefault="005C524C">
            <w:pPr>
              <w:spacing w:after="100"/>
              <w:jc w:val="center"/>
              <w:rPr>
                <w:rFonts w:eastAsia="Times New Roman"/>
              </w:rPr>
            </w:pPr>
            <w:r>
              <w:rPr>
                <w:rFonts w:eastAsia="Times New Roman"/>
                <w:b/>
                <w:bCs/>
                <w:color w:val="000000"/>
                <w:sz w:val="18"/>
                <w:szCs w:val="18"/>
              </w:rPr>
              <w:t>8.19%</w:t>
            </w:r>
          </w:p>
          <w:p w:rsidR="00000000" w:rsidRDefault="005C524C">
            <w:pPr>
              <w:spacing w:after="100"/>
              <w:jc w:val="center"/>
              <w:rPr>
                <w:rFonts w:eastAsia="Times New Roman"/>
              </w:rPr>
            </w:pPr>
            <w:r>
              <w:rPr>
                <w:rFonts w:eastAsia="Times New Roman"/>
                <w:b/>
                <w:bCs/>
                <w:color w:val="000000"/>
                <w:sz w:val="18"/>
                <w:szCs w:val="18"/>
              </w:rPr>
              <w:t>59 bps</w:t>
            </w:r>
          </w:p>
          <w:p w:rsidR="00000000" w:rsidRDefault="005C524C">
            <w:pPr>
              <w:spacing w:after="100"/>
              <w:jc w:val="center"/>
              <w:rPr>
                <w:rFonts w:eastAsia="Times New Roman"/>
              </w:rPr>
            </w:pPr>
            <w:r>
              <w:rPr>
                <w:rFonts w:eastAsia="Times New Roman"/>
                <w:b/>
                <w:bCs/>
                <w:color w:val="000000"/>
                <w:sz w:val="18"/>
                <w:szCs w:val="18"/>
              </w:rPr>
              <w:t>24%</w:t>
            </w:r>
          </w:p>
          <w:p w:rsidR="00000000" w:rsidRDefault="005C524C">
            <w:pPr>
              <w:spacing w:after="100"/>
              <w:jc w:val="center"/>
              <w:rPr>
                <w:rFonts w:eastAsia="Times New Roman"/>
              </w:rPr>
            </w:pPr>
            <w:r>
              <w:rPr>
                <w:rFonts w:eastAsia="Times New Roman"/>
                <w:b/>
                <w:bCs/>
                <w:color w:val="000000"/>
                <w:sz w:val="18"/>
                <w:szCs w:val="18"/>
              </w:rPr>
              <w:t>2.13%</w:t>
            </w:r>
          </w:p>
          <w:p w:rsidR="00000000" w:rsidRDefault="005C524C">
            <w:pPr>
              <w:spacing w:after="100"/>
              <w:jc w:val="center"/>
              <w:rPr>
                <w:rFonts w:eastAsia="Times New Roman"/>
              </w:rPr>
            </w:pPr>
            <w:r>
              <w:rPr>
                <w:rFonts w:eastAsia="Times New Roman"/>
                <w:b/>
                <w:bCs/>
                <w:color w:val="000000"/>
                <w:sz w:val="18"/>
                <w:szCs w:val="18"/>
              </w:rPr>
              <w:t>(same for all ages)</w:t>
            </w:r>
          </w:p>
          <w:p w:rsidR="00000000" w:rsidRDefault="005C524C">
            <w:pPr>
              <w:spacing w:after="100"/>
              <w:jc w:val="center"/>
              <w:rPr>
                <w:rFonts w:eastAsia="Times New Roman"/>
              </w:rPr>
            </w:pPr>
            <w:r>
              <w:rPr>
                <w:rFonts w:eastAsia="Times New Roman"/>
                <w:b/>
                <w:bCs/>
                <w:color w:val="000000"/>
                <w:sz w:val="18"/>
                <w:szCs w:val="18"/>
              </w:rPr>
              <w:t>(same for all ages)</w:t>
            </w:r>
          </w:p>
        </w:tc>
      </w:tr>
      <w:tr w:rsidR="00000000">
        <w:trPr>
          <w:divId w:val="1177111131"/>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729574976"/>
        <w:rPr>
          <w:rFonts w:eastAsia="Times New Roman"/>
        </w:rPr>
      </w:pPr>
    </w:p>
    <w:p w:rsidR="00000000" w:rsidRDefault="005C524C">
      <w:pPr>
        <w:jc w:val="center"/>
        <w:divId w:val="729574976"/>
        <w:rPr>
          <w:rFonts w:eastAsia="Times New Roman"/>
        </w:rPr>
      </w:pPr>
      <w:r>
        <w:rPr>
          <w:rFonts w:eastAsia="Times New Roman"/>
          <w:color w:val="000000"/>
          <w:sz w:val="20"/>
          <w:szCs w:val="20"/>
        </w:rPr>
        <w:t>52</w:t>
      </w:r>
    </w:p>
    <w:p w:rsidR="00000000" w:rsidRDefault="005C524C">
      <w:pPr>
        <w:rPr>
          <w:rFonts w:eastAsia="Times New Roman"/>
        </w:rPr>
      </w:pPr>
      <w:r>
        <w:rPr>
          <w:rFonts w:eastAsia="Times New Roman"/>
        </w:rPr>
        <w:pict>
          <v:rect id="_x0000_i1078" style="width:0;height:1.5pt" o:hralign="center" o:hrstd="t" o:hr="t" fillcolor="#a0a0a0" stroked="f"/>
        </w:pict>
      </w:r>
    </w:p>
    <w:p w:rsidR="00000000" w:rsidRDefault="005C524C">
      <w:pPr>
        <w:divId w:val="197050265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704669150"/>
        <w:rPr>
          <w:rFonts w:eastAsia="Times New Roman"/>
        </w:rPr>
      </w:pPr>
      <w:r>
        <w:rPr>
          <w:rFonts w:eastAsia="Times New Roman"/>
          <w:b/>
          <w:bCs/>
          <w:color w:val="000000"/>
          <w:sz w:val="20"/>
          <w:szCs w:val="20"/>
        </w:rPr>
        <w:t>EQUITABLE HOLDINGS, INC.</w:t>
      </w:r>
    </w:p>
    <w:p w:rsidR="00000000" w:rsidRDefault="005C524C">
      <w:pPr>
        <w:jc w:val="center"/>
        <w:divId w:val="1704669150"/>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70466915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85"/>
        <w:gridCol w:w="37"/>
        <w:gridCol w:w="36"/>
        <w:gridCol w:w="36"/>
        <w:gridCol w:w="36"/>
        <w:gridCol w:w="51"/>
        <w:gridCol w:w="1042"/>
        <w:gridCol w:w="37"/>
        <w:gridCol w:w="36"/>
        <w:gridCol w:w="36"/>
        <w:gridCol w:w="36"/>
        <w:gridCol w:w="45"/>
        <w:gridCol w:w="1182"/>
        <w:gridCol w:w="36"/>
      </w:tblGrid>
      <w:tr w:rsidR="00000000">
        <w:trPr>
          <w:divId w:val="1065645277"/>
          <w:jc w:val="center"/>
        </w:trPr>
        <w:tc>
          <w:tcPr>
            <w:tcW w:w="50" w:type="pct"/>
            <w:vAlign w:val="center"/>
            <w:hideMark/>
          </w:tcPr>
          <w:p w:rsidR="00000000" w:rsidRDefault="005C524C">
            <w:pPr>
              <w:jc w:val="center"/>
              <w:rPr>
                <w:rFonts w:eastAsia="Times New Roman"/>
              </w:rPr>
            </w:pPr>
          </w:p>
        </w:tc>
        <w:tc>
          <w:tcPr>
            <w:tcW w:w="10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3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4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7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065645277"/>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w:t>
            </w:r>
          </w:p>
          <w:p w:rsidR="00000000" w:rsidRDefault="005C524C">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Valuation</w:t>
            </w:r>
          </w:p>
          <w:p w:rsidR="00000000" w:rsidRDefault="005C524C">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Significant</w:t>
            </w:r>
          </w:p>
          <w:p w:rsidR="00000000" w:rsidRDefault="005C524C">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Weighted Average (2)</w:t>
            </w:r>
          </w:p>
        </w:tc>
      </w:tr>
      <w:tr w:rsidR="00000000">
        <w:trPr>
          <w:divId w:val="1065645277"/>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Expected revenue growth rates</w:t>
            </w:r>
          </w:p>
          <w:p w:rsidR="00000000" w:rsidRDefault="005C524C">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2.0% - 83.9%</w:t>
            </w:r>
          </w:p>
          <w:p w:rsidR="00000000" w:rsidRDefault="005C524C">
            <w:pPr>
              <w:spacing w:after="100"/>
              <w:jc w:val="center"/>
              <w:rPr>
                <w:rFonts w:eastAsia="Times New Roman"/>
              </w:rPr>
            </w:pPr>
            <w:r>
              <w:rPr>
                <w:rFonts w:eastAsia="Times New Roman"/>
                <w:b/>
                <w:bCs/>
                <w:color w:val="000000"/>
                <w:sz w:val="18"/>
                <w:szCs w:val="18"/>
              </w:rPr>
              <w:t xml:space="preserve">1.9% - </w:t>
            </w:r>
            <w:r>
              <w:rPr>
                <w:rFonts w:eastAsia="Times New Roman"/>
                <w:b/>
                <w:bCs/>
                <w:color w:val="000000"/>
                <w:sz w:val="18"/>
                <w:szCs w:val="18"/>
              </w:rPr>
              <w:t>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7.9%</w:t>
            </w:r>
          </w:p>
          <w:p w:rsidR="00000000" w:rsidRDefault="005C524C">
            <w:pPr>
              <w:spacing w:after="100"/>
              <w:jc w:val="center"/>
              <w:rPr>
                <w:rFonts w:eastAsia="Times New Roman"/>
              </w:rPr>
            </w:pPr>
            <w:r>
              <w:rPr>
                <w:rFonts w:eastAsia="Times New Roman"/>
                <w:b/>
                <w:bCs/>
                <w:color w:val="000000"/>
                <w:sz w:val="18"/>
                <w:szCs w:val="18"/>
              </w:rPr>
              <w:t>7.0%</w:t>
            </w:r>
          </w:p>
        </w:tc>
      </w:tr>
      <w:tr w:rsidR="00000000">
        <w:trPr>
          <w:divId w:val="1065645277"/>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6,198</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Annuitization rates</w:t>
            </w:r>
          </w:p>
          <w:p w:rsidR="00000000" w:rsidRDefault="005C524C">
            <w:pPr>
              <w:spacing w:after="100"/>
              <w:jc w:val="right"/>
              <w:rPr>
                <w:rFonts w:eastAsia="Times New Roman"/>
              </w:rPr>
            </w:pPr>
            <w:r>
              <w:rPr>
                <w:rFonts w:eastAsia="Times New Roman"/>
                <w:color w:val="000000"/>
                <w:sz w:val="18"/>
                <w:szCs w:val="18"/>
              </w:rPr>
              <w:t>Mortality rates (1):</w:t>
            </w:r>
          </w:p>
          <w:p w:rsidR="00000000" w:rsidRDefault="005C524C">
            <w:pPr>
              <w:spacing w:after="100"/>
              <w:jc w:val="right"/>
              <w:rPr>
                <w:rFonts w:eastAsia="Times New Roman"/>
              </w:rPr>
            </w:pPr>
            <w:r>
              <w:rPr>
                <w:rFonts w:eastAsia="Times New Roman"/>
                <w:color w:val="000000"/>
                <w:sz w:val="18"/>
                <w:szCs w:val="18"/>
              </w:rPr>
              <w:t>Ages 0 - 40</w:t>
            </w:r>
          </w:p>
          <w:p w:rsidR="00000000" w:rsidRDefault="005C524C">
            <w:pPr>
              <w:spacing w:after="100"/>
              <w:jc w:val="right"/>
              <w:rPr>
                <w:rFonts w:eastAsia="Times New Roman"/>
              </w:rPr>
            </w:pPr>
            <w:r>
              <w:rPr>
                <w:rFonts w:eastAsia="Times New Roman"/>
                <w:color w:val="000000"/>
                <w:sz w:val="18"/>
                <w:szCs w:val="18"/>
              </w:rPr>
              <w:t>Ages 41-60</w:t>
            </w:r>
          </w:p>
          <w:p w:rsidR="00000000" w:rsidRDefault="005C524C">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191 bps</w:t>
            </w:r>
          </w:p>
          <w:p w:rsidR="00000000" w:rsidRDefault="005C524C">
            <w:pPr>
              <w:spacing w:after="100"/>
              <w:jc w:val="center"/>
              <w:rPr>
                <w:rFonts w:eastAsia="Times New Roman"/>
              </w:rPr>
            </w:pPr>
            <w:r>
              <w:rPr>
                <w:rFonts w:eastAsia="Times New Roman"/>
                <w:b/>
                <w:bCs/>
                <w:color w:val="000000"/>
                <w:sz w:val="18"/>
                <w:szCs w:val="18"/>
              </w:rPr>
              <w:t>1.04%-23.57%</w:t>
            </w:r>
          </w:p>
          <w:p w:rsidR="00000000" w:rsidRDefault="005C524C">
            <w:pPr>
              <w:spacing w:after="100"/>
              <w:jc w:val="center"/>
              <w:rPr>
                <w:rFonts w:eastAsia="Times New Roman"/>
              </w:rPr>
            </w:pPr>
            <w:r>
              <w:rPr>
                <w:rFonts w:eastAsia="Times New Roman"/>
                <w:b/>
                <w:bCs/>
                <w:color w:val="000000"/>
                <w:sz w:val="18"/>
                <w:szCs w:val="18"/>
              </w:rPr>
              <w:t>0.27%-8.66%</w:t>
            </w:r>
          </w:p>
          <w:p w:rsidR="00000000" w:rsidRDefault="005C524C">
            <w:pPr>
              <w:spacing w:after="100"/>
              <w:jc w:val="center"/>
              <w:rPr>
                <w:rFonts w:eastAsia="Times New Roman"/>
              </w:rPr>
            </w:pPr>
            <w:r>
              <w:rPr>
                <w:rFonts w:eastAsia="Times New Roman"/>
                <w:b/>
                <w:bCs/>
                <w:color w:val="000000"/>
                <w:sz w:val="18"/>
                <w:szCs w:val="18"/>
              </w:rPr>
              <w:t>0.03%-100.00%</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b/>
                <w:bCs/>
                <w:color w:val="000000"/>
                <w:sz w:val="18"/>
                <w:szCs w:val="18"/>
              </w:rPr>
              <w:t>0.01%-0.19%</w:t>
            </w:r>
          </w:p>
          <w:p w:rsidR="00000000" w:rsidRDefault="005C524C">
            <w:pPr>
              <w:spacing w:after="100"/>
              <w:jc w:val="center"/>
              <w:rPr>
                <w:rFonts w:eastAsia="Times New Roman"/>
              </w:rPr>
            </w:pPr>
            <w:r>
              <w:rPr>
                <w:rFonts w:eastAsia="Times New Roman"/>
                <w:b/>
                <w:bCs/>
                <w:color w:val="000000"/>
                <w:sz w:val="18"/>
                <w:szCs w:val="18"/>
              </w:rPr>
              <w:t>0.07%-0.57%</w:t>
            </w:r>
          </w:p>
          <w:p w:rsidR="00000000" w:rsidRDefault="005C524C">
            <w:pPr>
              <w:spacing w:after="100"/>
              <w:jc w:val="center"/>
              <w:rPr>
                <w:rFonts w:eastAsia="Times New Roman"/>
              </w:rPr>
            </w:pPr>
            <w:r>
              <w:rPr>
                <w:rFonts w:eastAsia="Times New Roman"/>
                <w:b/>
                <w:bCs/>
                <w:color w:val="000000"/>
                <w:sz w:val="18"/>
                <w:szCs w:val="18"/>
              </w:rPr>
              <w:t>0.44%-43.60%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191 bps</w:t>
            </w:r>
          </w:p>
          <w:p w:rsidR="00000000" w:rsidRDefault="005C524C">
            <w:pPr>
              <w:spacing w:after="100"/>
              <w:jc w:val="center"/>
              <w:rPr>
                <w:rFonts w:eastAsia="Times New Roman"/>
              </w:rPr>
            </w:pPr>
            <w:r>
              <w:rPr>
                <w:rFonts w:eastAsia="Times New Roman"/>
                <w:b/>
                <w:bCs/>
                <w:color w:val="000000"/>
                <w:sz w:val="18"/>
                <w:szCs w:val="18"/>
              </w:rPr>
              <w:t>3.73%</w:t>
            </w:r>
          </w:p>
          <w:p w:rsidR="00000000" w:rsidRDefault="005C524C">
            <w:pPr>
              <w:spacing w:after="100"/>
              <w:jc w:val="center"/>
              <w:rPr>
                <w:rFonts w:eastAsia="Times New Roman"/>
              </w:rPr>
            </w:pPr>
            <w:r>
              <w:rPr>
                <w:rFonts w:eastAsia="Times New Roman"/>
                <w:b/>
                <w:bCs/>
                <w:color w:val="000000"/>
                <w:sz w:val="18"/>
                <w:szCs w:val="18"/>
              </w:rPr>
              <w:t>1.14%</w:t>
            </w:r>
          </w:p>
          <w:p w:rsidR="00000000" w:rsidRDefault="005C524C">
            <w:pPr>
              <w:spacing w:after="100"/>
              <w:jc w:val="center"/>
              <w:rPr>
                <w:rFonts w:eastAsia="Times New Roman"/>
              </w:rPr>
            </w:pPr>
            <w:r>
              <w:rPr>
                <w:rFonts w:eastAsia="Times New Roman"/>
                <w:b/>
                <w:bCs/>
                <w:color w:val="000000"/>
                <w:sz w:val="18"/>
                <w:szCs w:val="18"/>
              </w:rPr>
              <w:t>5.94%</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b/>
                <w:bCs/>
                <w:color w:val="000000"/>
                <w:sz w:val="18"/>
                <w:szCs w:val="18"/>
              </w:rPr>
              <w:t>1.60%</w:t>
            </w:r>
          </w:p>
          <w:p w:rsidR="00000000" w:rsidRDefault="005C524C">
            <w:pPr>
              <w:spacing w:after="100"/>
              <w:jc w:val="center"/>
              <w:rPr>
                <w:rFonts w:eastAsia="Times New Roman"/>
              </w:rPr>
            </w:pPr>
            <w:r>
              <w:rPr>
                <w:rFonts w:eastAsia="Times New Roman"/>
                <w:b/>
                <w:bCs/>
                <w:color w:val="000000"/>
                <w:sz w:val="18"/>
                <w:szCs w:val="18"/>
              </w:rPr>
              <w:t>(same for all ages)</w:t>
            </w:r>
          </w:p>
          <w:p w:rsidR="00000000" w:rsidRDefault="005C524C">
            <w:pPr>
              <w:spacing w:after="100"/>
              <w:jc w:val="center"/>
              <w:rPr>
                <w:rFonts w:eastAsia="Times New Roman"/>
              </w:rPr>
            </w:pPr>
            <w:r>
              <w:rPr>
                <w:rFonts w:eastAsia="Times New Roman"/>
                <w:b/>
                <w:bCs/>
                <w:color w:val="000000"/>
                <w:sz w:val="18"/>
                <w:szCs w:val="18"/>
              </w:rPr>
              <w:t>(same for all ages)</w:t>
            </w:r>
          </w:p>
        </w:tc>
      </w:tr>
      <w:tr w:rsidR="00000000">
        <w:trPr>
          <w:divId w:val="1065645277"/>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Utilization Rates</w:t>
            </w:r>
          </w:p>
          <w:p w:rsidR="00000000" w:rsidRDefault="005C524C">
            <w:pPr>
              <w:spacing w:after="100"/>
              <w:jc w:val="right"/>
              <w:rPr>
                <w:rFonts w:eastAsia="Times New Roman"/>
              </w:rPr>
            </w:pP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0.60%-20.86%</w:t>
            </w:r>
          </w:p>
          <w:p w:rsidR="00000000" w:rsidRDefault="005C524C">
            <w:pPr>
              <w:spacing w:after="100"/>
              <w:jc w:val="center"/>
              <w:rPr>
                <w:rFonts w:eastAsia="Times New Roman"/>
              </w:rPr>
            </w:pPr>
            <w:r>
              <w:rPr>
                <w:rFonts w:eastAsia="Times New Roman"/>
                <w:b/>
                <w:bCs/>
                <w:color w:val="000000"/>
                <w:sz w:val="18"/>
                <w:szCs w:val="18"/>
              </w:rPr>
              <w:t>0.00%-8.00%</w:t>
            </w:r>
          </w:p>
          <w:p w:rsidR="00000000" w:rsidRDefault="005C524C">
            <w:pPr>
              <w:spacing w:after="100"/>
              <w:jc w:val="center"/>
              <w:rPr>
                <w:rFonts w:eastAsia="Times New Roman"/>
              </w:rPr>
            </w:pPr>
            <w:r>
              <w:rPr>
                <w:rFonts w:eastAsia="Times New Roman"/>
                <w:b/>
                <w:bCs/>
                <w:color w:val="000000"/>
                <w:sz w:val="18"/>
                <w:szCs w:val="18"/>
              </w:rPr>
              <w:t>100% once starting</w:t>
            </w:r>
          </w:p>
          <w:p w:rsidR="00000000" w:rsidRDefault="005C524C">
            <w:pPr>
              <w:spacing w:after="100"/>
              <w:jc w:val="center"/>
              <w:rPr>
                <w:rFonts w:eastAsia="Times New Roman"/>
              </w:rPr>
            </w:pPr>
            <w:r>
              <w:rPr>
                <w:rFonts w:eastAsia="Times New Roman"/>
                <w:b/>
                <w:bCs/>
                <w:color w:val="000000"/>
                <w:sz w:val="18"/>
                <w:szCs w:val="18"/>
              </w:rPr>
              <w:t>15%-34%</w:t>
            </w:r>
          </w:p>
          <w:p w:rsidR="00000000" w:rsidRDefault="005C524C">
            <w:pPr>
              <w:spacing w:after="100"/>
              <w:jc w:val="center"/>
              <w:rPr>
                <w:rFonts w:eastAsia="Times New Roman"/>
              </w:rPr>
            </w:pPr>
            <w:r>
              <w:rPr>
                <w:rFonts w:eastAsia="Times New Roman"/>
                <w:b/>
                <w:bCs/>
                <w:color w:val="000000"/>
                <w:sz w:val="18"/>
                <w:szCs w:val="18"/>
              </w:rPr>
              <w:t>191 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2.80%</w:t>
            </w:r>
          </w:p>
          <w:p w:rsidR="00000000" w:rsidRDefault="005C524C">
            <w:pPr>
              <w:spacing w:after="100"/>
              <w:jc w:val="center"/>
              <w:rPr>
                <w:rFonts w:eastAsia="Times New Roman"/>
              </w:rPr>
            </w:pPr>
            <w:r>
              <w:rPr>
                <w:rFonts w:eastAsia="Times New Roman"/>
                <w:b/>
                <w:bCs/>
                <w:color w:val="000000"/>
                <w:sz w:val="18"/>
                <w:szCs w:val="18"/>
              </w:rPr>
              <w:t>0.98%</w:t>
            </w:r>
          </w:p>
          <w:p w:rsidR="00000000" w:rsidRDefault="005C524C">
            <w:pPr>
              <w:spacing w:after="100"/>
              <w:jc w:val="center"/>
              <w:rPr>
                <w:rFonts w:eastAsia="Times New Roman"/>
              </w:rPr>
            </w:pP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b/>
                <w:bCs/>
                <w:color w:val="000000"/>
                <w:sz w:val="18"/>
                <w:szCs w:val="18"/>
              </w:rPr>
              <w:t>24%</w:t>
            </w:r>
          </w:p>
        </w:tc>
      </w:tr>
      <w:tr w:rsidR="00000000">
        <w:trPr>
          <w:divId w:val="1065645277"/>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(82)</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Utilization Rates</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0.60%-20.86%</w:t>
            </w:r>
          </w:p>
          <w:p w:rsidR="00000000" w:rsidRDefault="005C524C">
            <w:pPr>
              <w:spacing w:after="100"/>
              <w:jc w:val="center"/>
              <w:rPr>
                <w:rFonts w:eastAsia="Times New Roman"/>
              </w:rPr>
            </w:pPr>
            <w:r>
              <w:rPr>
                <w:rFonts w:eastAsia="Times New Roman"/>
                <w:b/>
                <w:bCs/>
                <w:color w:val="000000"/>
                <w:sz w:val="18"/>
                <w:szCs w:val="18"/>
              </w:rPr>
              <w:t>0.13%-8.66%</w:t>
            </w:r>
          </w:p>
          <w:p w:rsidR="00000000" w:rsidRDefault="005C524C">
            <w:pPr>
              <w:spacing w:after="100"/>
              <w:jc w:val="center"/>
              <w:rPr>
                <w:rFonts w:eastAsia="Times New Roman"/>
              </w:rPr>
            </w:pPr>
            <w:r>
              <w:rPr>
                <w:rFonts w:eastAsia="Times New Roman"/>
                <w:b/>
                <w:bCs/>
                <w:color w:val="000000"/>
                <w:sz w:val="18"/>
                <w:szCs w:val="18"/>
              </w:rPr>
              <w:t>0.04%-100.00%</w:t>
            </w:r>
          </w:p>
          <w:p w:rsidR="00000000" w:rsidRDefault="005C524C">
            <w:pPr>
              <w:spacing w:after="100"/>
              <w:jc w:val="center"/>
              <w:rPr>
                <w:rFonts w:eastAsia="Times New Roman"/>
              </w:rPr>
            </w:pPr>
            <w:r>
              <w:rPr>
                <w:rFonts w:eastAsia="Times New Roman"/>
                <w:b/>
                <w:bCs/>
                <w:color w:val="000000"/>
                <w:sz w:val="18"/>
                <w:szCs w:val="18"/>
              </w:rPr>
              <w:t>15% - 34%</w:t>
            </w:r>
          </w:p>
          <w:p w:rsidR="00000000" w:rsidRDefault="005C524C">
            <w:pPr>
              <w:spacing w:after="100"/>
              <w:jc w:val="center"/>
              <w:rPr>
                <w:rFonts w:eastAsia="Times New Roman"/>
              </w:rPr>
            </w:pPr>
            <w:r>
              <w:rPr>
                <w:rFonts w:eastAsia="Times New Roman"/>
                <w:b/>
                <w:bCs/>
                <w:color w:val="000000"/>
                <w:sz w:val="18"/>
                <w:szCs w:val="18"/>
              </w:rPr>
              <w:t xml:space="preserve">191 bps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2.80%</w:t>
            </w:r>
          </w:p>
          <w:p w:rsidR="00000000" w:rsidRDefault="005C524C">
            <w:pPr>
              <w:spacing w:after="100"/>
              <w:jc w:val="center"/>
              <w:rPr>
                <w:rFonts w:eastAsia="Times New Roman"/>
              </w:rPr>
            </w:pPr>
            <w:r>
              <w:rPr>
                <w:rFonts w:eastAsia="Times New Roman"/>
                <w:b/>
                <w:bCs/>
                <w:color w:val="000000"/>
                <w:sz w:val="18"/>
                <w:szCs w:val="18"/>
              </w:rPr>
              <w:t>0.98%</w:t>
            </w:r>
          </w:p>
          <w:p w:rsidR="00000000" w:rsidRDefault="005C524C">
            <w:pPr>
              <w:spacing w:after="100"/>
              <w:jc w:val="center"/>
              <w:rPr>
                <w:rFonts w:eastAsia="Times New Roman"/>
              </w:rPr>
            </w:pPr>
            <w:r>
              <w:rPr>
                <w:rFonts w:eastAsia="Times New Roman"/>
                <w:b/>
                <w:bCs/>
                <w:color w:val="000000"/>
                <w:sz w:val="18"/>
                <w:szCs w:val="18"/>
              </w:rPr>
              <w:t>5.87%</w:t>
            </w:r>
          </w:p>
          <w:p w:rsidR="00000000" w:rsidRDefault="005C524C">
            <w:pPr>
              <w:spacing w:after="100"/>
              <w:jc w:val="center"/>
              <w:rPr>
                <w:rFonts w:eastAsia="Times New Roman"/>
              </w:rPr>
            </w:pPr>
            <w:r>
              <w:rPr>
                <w:rFonts w:eastAsia="Times New Roman"/>
                <w:b/>
                <w:bCs/>
                <w:color w:val="000000"/>
                <w:sz w:val="18"/>
                <w:szCs w:val="18"/>
              </w:rPr>
              <w:t>24%</w:t>
            </w:r>
          </w:p>
        </w:tc>
      </w:tr>
      <w:tr w:rsidR="00000000">
        <w:trPr>
          <w:divId w:val="1065645277"/>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18"/>
                <w:szCs w:val="18"/>
              </w:rPr>
              <w:t>(1)</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0.60%-20.86%</w:t>
            </w:r>
          </w:p>
          <w:p w:rsidR="00000000" w:rsidRDefault="005C524C">
            <w:pPr>
              <w:spacing w:after="100"/>
              <w:jc w:val="center"/>
              <w:rPr>
                <w:rFonts w:eastAsia="Times New Roman"/>
              </w:rPr>
            </w:pPr>
            <w:r>
              <w:rPr>
                <w:rFonts w:eastAsia="Times New Roman"/>
                <w:b/>
                <w:bCs/>
                <w:color w:val="000000"/>
                <w:sz w:val="18"/>
                <w:szCs w:val="18"/>
              </w:rPr>
              <w:t>15%-34%</w:t>
            </w:r>
          </w:p>
          <w:p w:rsidR="00000000" w:rsidRDefault="005C524C">
            <w:pPr>
              <w:spacing w:after="100"/>
              <w:jc w:val="center"/>
              <w:rPr>
                <w:rFonts w:eastAsia="Times New Roman"/>
              </w:rPr>
            </w:pPr>
            <w:r>
              <w:rPr>
                <w:rFonts w:eastAsia="Times New Roman"/>
                <w:b/>
                <w:bCs/>
                <w:color w:val="000000"/>
                <w:sz w:val="18"/>
                <w:szCs w:val="18"/>
              </w:rPr>
              <w:t xml:space="preserve">191 bps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b/>
                <w:bCs/>
                <w:color w:val="000000"/>
                <w:sz w:val="18"/>
                <w:szCs w:val="18"/>
              </w:rPr>
              <w:t>2.80%</w:t>
            </w:r>
          </w:p>
          <w:p w:rsidR="00000000" w:rsidRDefault="005C524C">
            <w:pPr>
              <w:spacing w:after="100"/>
              <w:jc w:val="center"/>
              <w:rPr>
                <w:rFonts w:eastAsia="Times New Roman"/>
              </w:rPr>
            </w:pPr>
            <w:r>
              <w:rPr>
                <w:rFonts w:eastAsia="Times New Roman"/>
                <w:b/>
                <w:bCs/>
                <w:color w:val="000000"/>
                <w:sz w:val="18"/>
                <w:szCs w:val="18"/>
              </w:rPr>
              <w:t>24%</w:t>
            </w:r>
          </w:p>
        </w:tc>
      </w:tr>
    </w:tbl>
    <w:p w:rsidR="00000000" w:rsidRDefault="005C524C">
      <w:pPr>
        <w:ind w:hanging="360"/>
        <w:divId w:val="1854609247"/>
        <w:rPr>
          <w:rFonts w:eastAsia="Times New Roman"/>
        </w:rPr>
      </w:pPr>
      <w:r>
        <w:rPr>
          <w:rFonts w:eastAsia="Times New Roman"/>
          <w:color w:val="000000"/>
          <w:sz w:val="20"/>
          <w:szCs w:val="20"/>
        </w:rPr>
        <w:t>______________</w:t>
      </w:r>
    </w:p>
    <w:p w:rsidR="00000000" w:rsidRDefault="005C524C">
      <w:pPr>
        <w:ind w:hanging="360"/>
        <w:divId w:val="518467421"/>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5C524C">
      <w:pPr>
        <w:ind w:hanging="360"/>
        <w:divId w:val="699823166"/>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5C524C">
      <w:pPr>
        <w:jc w:val="center"/>
        <w:rPr>
          <w:rFonts w:eastAsia="Times New Roman"/>
        </w:rPr>
      </w:pPr>
      <w:r>
        <w:rPr>
          <w:rFonts w:eastAsia="Times New Roman"/>
          <w:color w:val="000000"/>
          <w:sz w:val="20"/>
          <w:szCs w:val="20"/>
        </w:rPr>
        <w:t>Quantitative Information about Level 3 Fair Value Measurements as of December 31, 2021</w:t>
      </w:r>
    </w:p>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03"/>
        <w:gridCol w:w="36"/>
        <w:gridCol w:w="110"/>
        <w:gridCol w:w="402"/>
        <w:gridCol w:w="36"/>
        <w:gridCol w:w="36"/>
        <w:gridCol w:w="36"/>
        <w:gridCol w:w="36"/>
        <w:gridCol w:w="52"/>
        <w:gridCol w:w="1285"/>
        <w:gridCol w:w="37"/>
        <w:gridCol w:w="36"/>
        <w:gridCol w:w="36"/>
        <w:gridCol w:w="36"/>
        <w:gridCol w:w="55"/>
        <w:gridCol w:w="1840"/>
        <w:gridCol w:w="36"/>
        <w:gridCol w:w="36"/>
        <w:gridCol w:w="36"/>
        <w:gridCol w:w="36"/>
        <w:gridCol w:w="47"/>
        <w:gridCol w:w="936"/>
        <w:gridCol w:w="38"/>
        <w:gridCol w:w="36"/>
        <w:gridCol w:w="36"/>
        <w:gridCol w:w="36"/>
        <w:gridCol w:w="44"/>
        <w:gridCol w:w="1126"/>
        <w:gridCol w:w="36"/>
      </w:tblGrid>
      <w:tr w:rsidR="00000000">
        <w:trPr>
          <w:divId w:val="1177845229"/>
          <w:jc w:val="center"/>
        </w:trPr>
        <w:tc>
          <w:tcPr>
            <w:tcW w:w="50" w:type="pct"/>
            <w:vAlign w:val="center"/>
            <w:hideMark/>
          </w:tcPr>
          <w:p w:rsidR="00000000" w:rsidRDefault="005C524C">
            <w:pPr>
              <w:jc w:val="center"/>
              <w:rPr>
                <w:rFonts w:eastAsia="Times New Roman"/>
              </w:rPr>
            </w:pPr>
          </w:p>
        </w:tc>
        <w:tc>
          <w:tcPr>
            <w:tcW w:w="10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9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Weighted Average (2)</w:t>
            </w:r>
          </w:p>
        </w:tc>
      </w:tr>
      <w:tr w:rsidR="00000000">
        <w:trPr>
          <w:divId w:val="1177845229"/>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Mar>
              <w:top w:w="30" w:type="dxa"/>
              <w:left w:w="155"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258 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8"/>
                <w:szCs w:val="18"/>
              </w:rPr>
              <w:t>20 bps - 270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20"/>
                <w:szCs w:val="20"/>
              </w:rPr>
              <w:t>144 bps</w:t>
            </w:r>
          </w:p>
        </w:tc>
      </w:tr>
      <w:tr w:rsidR="00000000">
        <w:trPr>
          <w:divId w:val="1177845229"/>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888 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EBITDA multiples</w:t>
            </w:r>
          </w:p>
          <w:p w:rsidR="00000000" w:rsidRDefault="005C524C">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rsidR="00000000" w:rsidRDefault="005C524C">
            <w:pPr>
              <w:spacing w:after="100"/>
              <w:jc w:val="right"/>
              <w:rPr>
                <w:rFonts w:eastAsia="Times New Roman"/>
              </w:rPr>
            </w:pPr>
            <w:r>
              <w:rPr>
                <w:rFonts w:eastAsia="Times New Roman"/>
                <w:color w:val="000000"/>
                <w:sz w:val="18"/>
                <w:szCs w:val="18"/>
              </w:rPr>
              <w:t> Cash flow multiples</w:t>
            </w:r>
          </w:p>
          <w:p w:rsidR="00000000" w:rsidRDefault="005C524C">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4.9x - 62.3x</w:t>
            </w:r>
          </w:p>
          <w:p w:rsidR="00000000" w:rsidRDefault="005C524C">
            <w:pPr>
              <w:spacing w:after="100"/>
              <w:jc w:val="center"/>
              <w:rPr>
                <w:rFonts w:eastAsia="Times New Roman"/>
              </w:rPr>
            </w:pPr>
            <w:r>
              <w:rPr>
                <w:rFonts w:eastAsia="Times New Roman"/>
                <w:color w:val="000000"/>
                <w:sz w:val="18"/>
                <w:szCs w:val="18"/>
              </w:rPr>
              <w:t xml:space="preserve">6.2% - 21.5% </w:t>
            </w:r>
          </w:p>
          <w:p w:rsidR="00000000" w:rsidRDefault="005C524C">
            <w:pPr>
              <w:spacing w:after="100"/>
              <w:jc w:val="center"/>
              <w:rPr>
                <w:rFonts w:eastAsia="Times New Roman"/>
              </w:rPr>
            </w:pPr>
            <w:r>
              <w:rPr>
                <w:rFonts w:eastAsia="Times New Roman"/>
                <w:color w:val="000000"/>
                <w:sz w:val="18"/>
                <w:szCs w:val="18"/>
              </w:rPr>
              <w:t>0.5x-10.0x</w:t>
            </w:r>
          </w:p>
          <w:p w:rsidR="00000000" w:rsidRDefault="005C524C">
            <w:pPr>
              <w:spacing w:after="100"/>
              <w:jc w:val="center"/>
              <w:rPr>
                <w:rFonts w:eastAsia="Times New Roman"/>
              </w:rPr>
            </w:pPr>
            <w:r>
              <w:rPr>
                <w:rFonts w:eastAsia="Times New Roman"/>
                <w:color w:val="000000"/>
                <w:sz w:val="18"/>
                <w:szCs w:val="18"/>
              </w:rPr>
              <w:t>3.1%-63.4%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13.0x</w:t>
            </w:r>
          </w:p>
          <w:p w:rsidR="00000000" w:rsidRDefault="005C524C">
            <w:pPr>
              <w:spacing w:after="100"/>
              <w:jc w:val="center"/>
              <w:rPr>
                <w:rFonts w:eastAsia="Times New Roman"/>
              </w:rPr>
            </w:pPr>
            <w:r>
              <w:rPr>
                <w:rFonts w:eastAsia="Times New Roman"/>
                <w:color w:val="000000"/>
                <w:sz w:val="18"/>
                <w:szCs w:val="18"/>
              </w:rPr>
              <w:t>9.1%</w:t>
            </w:r>
          </w:p>
          <w:p w:rsidR="00000000" w:rsidRDefault="005C524C">
            <w:pPr>
              <w:spacing w:after="100"/>
              <w:jc w:val="center"/>
              <w:rPr>
                <w:rFonts w:eastAsia="Times New Roman"/>
              </w:rPr>
            </w:pPr>
            <w:r>
              <w:rPr>
                <w:rFonts w:eastAsia="Times New Roman"/>
                <w:color w:val="000000"/>
                <w:sz w:val="18"/>
                <w:szCs w:val="18"/>
              </w:rPr>
              <w:t>5.5x</w:t>
            </w:r>
          </w:p>
          <w:p w:rsidR="00000000" w:rsidRDefault="005C524C">
            <w:pPr>
              <w:spacing w:after="100"/>
              <w:jc w:val="center"/>
              <w:rPr>
                <w:rFonts w:eastAsia="Times New Roman"/>
              </w:rPr>
            </w:pPr>
            <w:r>
              <w:rPr>
                <w:rFonts w:eastAsia="Times New Roman"/>
                <w:color w:val="000000"/>
                <w:sz w:val="18"/>
                <w:szCs w:val="18"/>
              </w:rPr>
              <w:t>30.8%</w:t>
            </w:r>
          </w:p>
        </w:tc>
      </w:tr>
      <w:tr w:rsidR="00000000">
        <w:trPr>
          <w:divId w:val="117784522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65 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jc w:val="right"/>
              <w:rPr>
                <w:rFonts w:eastAsia="Times New Roman"/>
              </w:rPr>
            </w:pPr>
            <w:r>
              <w:rPr>
                <w:rFonts w:eastAsia="Times New Roman"/>
                <w:color w:val="000000"/>
                <w:sz w:val="18"/>
                <w:szCs w:val="18"/>
              </w:rPr>
              <w:t>Earnings multiple</w:t>
            </w:r>
          </w:p>
          <w:p w:rsidR="00000000" w:rsidRDefault="005C524C">
            <w:pPr>
              <w:spacing w:after="100"/>
              <w:jc w:val="right"/>
              <w:rPr>
                <w:rFonts w:eastAsia="Times New Roman"/>
              </w:rPr>
            </w:pPr>
            <w:r>
              <w:rPr>
                <w:rFonts w:eastAsia="Times New Roman"/>
                <w:color w:val="000000"/>
                <w:sz w:val="18"/>
                <w:szCs w:val="18"/>
              </w:rPr>
              <w:t>Discounts factor</w:t>
            </w:r>
          </w:p>
          <w:p w:rsidR="00000000" w:rsidRDefault="005C524C">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8"/>
                <w:szCs w:val="18"/>
              </w:rPr>
              <w:t>7.3x</w:t>
            </w:r>
          </w:p>
          <w:p w:rsidR="00000000" w:rsidRDefault="005C524C">
            <w:pPr>
              <w:spacing w:after="100"/>
              <w:jc w:val="center"/>
              <w:rPr>
                <w:rFonts w:eastAsia="Times New Roman"/>
              </w:rPr>
            </w:pPr>
            <w:r>
              <w:rPr>
                <w:rFonts w:eastAsia="Times New Roman"/>
                <w:color w:val="000000"/>
                <w:sz w:val="18"/>
                <w:szCs w:val="18"/>
              </w:rPr>
              <w:t>10.00%</w:t>
            </w:r>
          </w:p>
          <w:p w:rsidR="00000000" w:rsidRDefault="005C524C">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77845229"/>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4 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8"/>
                <w:szCs w:val="18"/>
              </w:rPr>
              <w:t xml:space="preserve">7.8x - 10.3x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color w:val="000000"/>
                <w:sz w:val="18"/>
                <w:szCs w:val="18"/>
              </w:rPr>
              <w:t>9.5x</w:t>
            </w:r>
          </w:p>
        </w:tc>
      </w:tr>
    </w:tbl>
    <w:p w:rsidR="00000000" w:rsidRDefault="005C524C">
      <w:pPr>
        <w:jc w:val="center"/>
        <w:divId w:val="261643065"/>
        <w:rPr>
          <w:rFonts w:eastAsia="Times New Roman"/>
        </w:rPr>
      </w:pPr>
    </w:p>
    <w:p w:rsidR="00000000" w:rsidRDefault="005C524C">
      <w:pPr>
        <w:jc w:val="center"/>
        <w:divId w:val="261643065"/>
        <w:rPr>
          <w:rFonts w:eastAsia="Times New Roman"/>
        </w:rPr>
      </w:pPr>
      <w:r>
        <w:rPr>
          <w:rFonts w:eastAsia="Times New Roman"/>
          <w:color w:val="000000"/>
          <w:sz w:val="20"/>
          <w:szCs w:val="20"/>
        </w:rPr>
        <w:t>53</w:t>
      </w:r>
    </w:p>
    <w:p w:rsidR="00000000" w:rsidRDefault="005C524C">
      <w:pPr>
        <w:rPr>
          <w:rFonts w:eastAsia="Times New Roman"/>
        </w:rPr>
      </w:pPr>
      <w:r>
        <w:rPr>
          <w:rFonts w:eastAsia="Times New Roman"/>
        </w:rPr>
        <w:pict>
          <v:rect id="_x0000_i1079" style="width:0;height:1.5pt" o:hralign="center" o:hrstd="t" o:hr="t" fillcolor="#a0a0a0" stroked="f"/>
        </w:pict>
      </w:r>
    </w:p>
    <w:p w:rsidR="00000000" w:rsidRDefault="005C524C">
      <w:pPr>
        <w:divId w:val="138051858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14484998"/>
        <w:rPr>
          <w:rFonts w:eastAsia="Times New Roman"/>
        </w:rPr>
      </w:pPr>
      <w:r>
        <w:rPr>
          <w:rFonts w:eastAsia="Times New Roman"/>
          <w:b/>
          <w:bCs/>
          <w:color w:val="000000"/>
          <w:sz w:val="20"/>
          <w:szCs w:val="20"/>
        </w:rPr>
        <w:t>EQUITABLE HOLDINGS, INC.</w:t>
      </w:r>
    </w:p>
    <w:p w:rsidR="00000000" w:rsidRDefault="005C524C">
      <w:pPr>
        <w:jc w:val="center"/>
        <w:divId w:val="614484998"/>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1448499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06"/>
        <w:gridCol w:w="38"/>
        <w:gridCol w:w="77"/>
        <w:gridCol w:w="393"/>
        <w:gridCol w:w="36"/>
        <w:gridCol w:w="36"/>
        <w:gridCol w:w="36"/>
        <w:gridCol w:w="36"/>
        <w:gridCol w:w="51"/>
        <w:gridCol w:w="1289"/>
        <w:gridCol w:w="36"/>
        <w:gridCol w:w="36"/>
        <w:gridCol w:w="36"/>
        <w:gridCol w:w="36"/>
        <w:gridCol w:w="55"/>
        <w:gridCol w:w="1852"/>
        <w:gridCol w:w="36"/>
        <w:gridCol w:w="36"/>
        <w:gridCol w:w="36"/>
        <w:gridCol w:w="36"/>
        <w:gridCol w:w="54"/>
        <w:gridCol w:w="941"/>
        <w:gridCol w:w="37"/>
        <w:gridCol w:w="36"/>
        <w:gridCol w:w="36"/>
        <w:gridCol w:w="36"/>
        <w:gridCol w:w="44"/>
        <w:gridCol w:w="1135"/>
        <w:gridCol w:w="36"/>
      </w:tblGrid>
      <w:tr w:rsidR="00000000">
        <w:trPr>
          <w:divId w:val="395980024"/>
          <w:jc w:val="center"/>
        </w:trPr>
        <w:tc>
          <w:tcPr>
            <w:tcW w:w="50" w:type="pct"/>
            <w:vAlign w:val="center"/>
            <w:hideMark/>
          </w:tcPr>
          <w:p w:rsidR="00000000" w:rsidRDefault="005C524C">
            <w:pPr>
              <w:jc w:val="center"/>
              <w:rPr>
                <w:rFonts w:eastAsia="Times New Roman"/>
              </w:rPr>
            </w:pPr>
          </w:p>
        </w:tc>
        <w:tc>
          <w:tcPr>
            <w:tcW w:w="10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0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9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395980024"/>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Weighted Average (2)</w:t>
            </w:r>
          </w:p>
        </w:tc>
      </w:tr>
      <w:tr w:rsidR="00000000">
        <w:trPr>
          <w:divId w:val="395980024"/>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9598002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1,848 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Utilization rates</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Mortality rates (1):</w:t>
            </w:r>
          </w:p>
          <w:p w:rsidR="00000000" w:rsidRDefault="005C524C">
            <w:pPr>
              <w:spacing w:after="100"/>
              <w:jc w:val="right"/>
              <w:rPr>
                <w:rFonts w:eastAsia="Times New Roman"/>
              </w:rPr>
            </w:pPr>
            <w:r>
              <w:rPr>
                <w:rFonts w:eastAsia="Times New Roman"/>
                <w:color w:val="000000"/>
                <w:sz w:val="18"/>
                <w:szCs w:val="18"/>
              </w:rPr>
              <w:t>Ages 0 - 40</w:t>
            </w:r>
          </w:p>
          <w:p w:rsidR="00000000" w:rsidRDefault="005C524C">
            <w:pPr>
              <w:spacing w:after="100"/>
              <w:jc w:val="right"/>
              <w:rPr>
                <w:rFonts w:eastAsia="Times New Roman"/>
              </w:rPr>
            </w:pPr>
            <w:r>
              <w:rPr>
                <w:rFonts w:eastAsia="Times New Roman"/>
                <w:color w:val="000000"/>
                <w:sz w:val="18"/>
                <w:szCs w:val="18"/>
              </w:rPr>
              <w:t>Ages 41 - 60</w:t>
            </w:r>
          </w:p>
          <w:p w:rsidR="00000000" w:rsidRDefault="005C524C">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57 bps - 93 bps</w:t>
            </w:r>
          </w:p>
          <w:p w:rsidR="00000000" w:rsidRDefault="005C524C">
            <w:pPr>
              <w:spacing w:after="100"/>
              <w:jc w:val="center"/>
              <w:rPr>
                <w:rFonts w:eastAsia="Times New Roman"/>
              </w:rPr>
            </w:pPr>
            <w:r>
              <w:rPr>
                <w:rFonts w:eastAsia="Times New Roman"/>
                <w:color w:val="000000"/>
                <w:sz w:val="18"/>
                <w:szCs w:val="18"/>
              </w:rPr>
              <w:t>0.45% - 20.86%</w:t>
            </w:r>
          </w:p>
          <w:p w:rsidR="00000000" w:rsidRDefault="005C524C">
            <w:pPr>
              <w:spacing w:after="100"/>
              <w:jc w:val="center"/>
              <w:rPr>
                <w:rFonts w:eastAsia="Times New Roman"/>
              </w:rPr>
            </w:pPr>
            <w:r>
              <w:rPr>
                <w:rFonts w:eastAsia="Times New Roman"/>
                <w:color w:val="000000"/>
                <w:sz w:val="18"/>
                <w:szCs w:val="18"/>
              </w:rPr>
              <w:t>0.27% - 8.66%</w:t>
            </w:r>
          </w:p>
          <w:p w:rsidR="00000000" w:rsidRDefault="005C524C">
            <w:pPr>
              <w:spacing w:after="100"/>
              <w:jc w:val="center"/>
              <w:rPr>
                <w:rFonts w:eastAsia="Times New Roman"/>
              </w:rPr>
            </w:pPr>
            <w:r>
              <w:rPr>
                <w:rFonts w:eastAsia="Times New Roman"/>
                <w:color w:val="000000"/>
                <w:sz w:val="18"/>
                <w:szCs w:val="18"/>
              </w:rPr>
              <w:t>0.04% - 60.44%</w:t>
            </w:r>
          </w:p>
          <w:p w:rsidR="00000000" w:rsidRDefault="005C524C">
            <w:pPr>
              <w:spacing w:after="100"/>
              <w:jc w:val="center"/>
              <w:rPr>
                <w:rFonts w:eastAsia="Times New Roman"/>
              </w:rPr>
            </w:pPr>
            <w:r>
              <w:rPr>
                <w:rFonts w:eastAsia="Times New Roman"/>
                <w:color w:val="000000"/>
                <w:sz w:val="18"/>
                <w:szCs w:val="18"/>
              </w:rPr>
              <w:t>11% - 31%</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0.01% - 0.17%</w:t>
            </w:r>
          </w:p>
          <w:p w:rsidR="00000000" w:rsidRDefault="005C524C">
            <w:pPr>
              <w:spacing w:after="100"/>
              <w:jc w:val="center"/>
              <w:rPr>
                <w:rFonts w:eastAsia="Times New Roman"/>
              </w:rPr>
            </w:pPr>
            <w:r>
              <w:rPr>
                <w:rFonts w:eastAsia="Times New Roman"/>
                <w:color w:val="000000"/>
                <w:sz w:val="18"/>
                <w:szCs w:val="18"/>
              </w:rPr>
              <w:t>0.06% - 0.53%</w:t>
            </w:r>
          </w:p>
          <w:p w:rsidR="00000000" w:rsidRDefault="005C524C">
            <w:pPr>
              <w:spacing w:after="100"/>
              <w:jc w:val="center"/>
              <w:rPr>
                <w:rFonts w:eastAsia="Times New Roman"/>
              </w:rPr>
            </w:pPr>
            <w:r>
              <w:rPr>
                <w:rFonts w:eastAsia="Times New Roman"/>
                <w:color w:val="000000"/>
                <w:sz w:val="18"/>
                <w:szCs w:val="18"/>
              </w:rPr>
              <w:t>0.31% - 40.00%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60 bps</w:t>
            </w:r>
          </w:p>
          <w:p w:rsidR="00000000" w:rsidRDefault="005C524C">
            <w:pPr>
              <w:spacing w:after="100"/>
              <w:jc w:val="center"/>
              <w:rPr>
                <w:rFonts w:eastAsia="Times New Roman"/>
              </w:rPr>
            </w:pPr>
            <w:r>
              <w:rPr>
                <w:rFonts w:eastAsia="Times New Roman"/>
                <w:color w:val="000000"/>
                <w:sz w:val="18"/>
                <w:szCs w:val="18"/>
              </w:rPr>
              <w:t>2.65%</w:t>
            </w:r>
          </w:p>
          <w:p w:rsidR="00000000" w:rsidRDefault="005C524C">
            <w:pPr>
              <w:spacing w:after="100"/>
              <w:jc w:val="center"/>
              <w:rPr>
                <w:rFonts w:eastAsia="Times New Roman"/>
              </w:rPr>
            </w:pPr>
            <w:r>
              <w:rPr>
                <w:rFonts w:eastAsia="Times New Roman"/>
                <w:color w:val="000000"/>
                <w:sz w:val="18"/>
                <w:szCs w:val="18"/>
              </w:rPr>
              <w:t>0.93%</w:t>
            </w:r>
          </w:p>
          <w:p w:rsidR="00000000" w:rsidRDefault="005C524C">
            <w:pPr>
              <w:spacing w:after="100"/>
              <w:jc w:val="center"/>
              <w:rPr>
                <w:rFonts w:eastAsia="Times New Roman"/>
              </w:rPr>
            </w:pPr>
            <w:r>
              <w:rPr>
                <w:rFonts w:eastAsia="Times New Roman"/>
                <w:color w:val="000000"/>
                <w:sz w:val="18"/>
                <w:szCs w:val="18"/>
              </w:rPr>
              <w:t>5.27%</w:t>
            </w:r>
          </w:p>
          <w:p w:rsidR="00000000" w:rsidRDefault="005C524C">
            <w:pPr>
              <w:spacing w:after="100"/>
              <w:jc w:val="center"/>
              <w:rPr>
                <w:rFonts w:eastAsia="Times New Roman"/>
              </w:rPr>
            </w:pPr>
            <w:r>
              <w:rPr>
                <w:rFonts w:eastAsia="Times New Roman"/>
                <w:color w:val="000000"/>
                <w:sz w:val="18"/>
                <w:szCs w:val="18"/>
              </w:rPr>
              <w:t>24%</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2.79%</w:t>
            </w:r>
          </w:p>
          <w:p w:rsidR="00000000" w:rsidRDefault="005C524C">
            <w:pPr>
              <w:spacing w:after="100"/>
              <w:jc w:val="center"/>
              <w:rPr>
                <w:rFonts w:eastAsia="Times New Roman"/>
              </w:rPr>
            </w:pPr>
            <w:r>
              <w:rPr>
                <w:rFonts w:eastAsia="Times New Roman"/>
                <w:color w:val="000000"/>
                <w:sz w:val="18"/>
                <w:szCs w:val="18"/>
              </w:rPr>
              <w:t>(same for all ages)</w:t>
            </w:r>
          </w:p>
          <w:p w:rsidR="00000000" w:rsidRDefault="005C524C">
            <w:pPr>
              <w:spacing w:after="100"/>
              <w:jc w:val="center"/>
              <w:rPr>
                <w:rFonts w:eastAsia="Times New Roman"/>
              </w:rPr>
            </w:pPr>
            <w:r>
              <w:rPr>
                <w:rFonts w:eastAsia="Times New Roman"/>
                <w:color w:val="000000"/>
                <w:sz w:val="18"/>
                <w:szCs w:val="18"/>
              </w:rPr>
              <w:t>(same for all ages)</w:t>
            </w:r>
          </w:p>
        </w:tc>
      </w:tr>
      <w:tr w:rsidR="00000000">
        <w:trPr>
          <w:divId w:val="39598002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5,813 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GMIB Utilization Rates</w:t>
            </w:r>
          </w:p>
          <w:p w:rsidR="00000000" w:rsidRDefault="005C524C">
            <w:pPr>
              <w:spacing w:after="100"/>
              <w:jc w:val="right"/>
              <w:rPr>
                <w:rFonts w:eastAsia="Times New Roman"/>
              </w:rPr>
            </w:pPr>
            <w:r>
              <w:rPr>
                <w:rFonts w:eastAsia="Times New Roman"/>
                <w:color w:val="000000"/>
                <w:sz w:val="18"/>
                <w:szCs w:val="18"/>
              </w:rPr>
              <w:t>Non-performance risk (bps)</w:t>
            </w:r>
          </w:p>
          <w:p w:rsidR="00000000" w:rsidRDefault="005C524C">
            <w:pPr>
              <w:spacing w:after="100"/>
              <w:jc w:val="right"/>
              <w:rPr>
                <w:rFonts w:eastAsia="Times New Roman"/>
              </w:rPr>
            </w:pPr>
            <w:r>
              <w:rPr>
                <w:rFonts w:eastAsia="Times New Roman"/>
                <w:color w:val="000000"/>
                <w:sz w:val="18"/>
                <w:szCs w:val="18"/>
              </w:rPr>
              <w:t>Volatility rates - Equity</w:t>
            </w:r>
          </w:p>
          <w:p w:rsidR="00000000" w:rsidRDefault="005C524C">
            <w:pPr>
              <w:spacing w:after="100"/>
              <w:jc w:val="right"/>
              <w:rPr>
                <w:rFonts w:eastAsia="Times New Roman"/>
              </w:rPr>
            </w:pPr>
            <w:r>
              <w:rPr>
                <w:rFonts w:eastAsia="Times New Roman"/>
                <w:color w:val="000000"/>
                <w:sz w:val="18"/>
                <w:szCs w:val="18"/>
              </w:rPr>
              <w:t>Mortality: Ages 0-40</w:t>
            </w:r>
          </w:p>
          <w:p w:rsidR="00000000" w:rsidRDefault="005C524C">
            <w:pPr>
              <w:spacing w:after="100"/>
              <w:jc w:val="right"/>
              <w:rPr>
                <w:rFonts w:eastAsia="Times New Roman"/>
              </w:rPr>
            </w:pPr>
            <w:r>
              <w:rPr>
                <w:rFonts w:eastAsia="Times New Roman"/>
                <w:color w:val="000000"/>
                <w:sz w:val="18"/>
                <w:szCs w:val="18"/>
              </w:rPr>
              <w:t>Ages 41-60</w:t>
            </w:r>
          </w:p>
          <w:p w:rsidR="00000000" w:rsidRDefault="005C524C">
            <w:pPr>
              <w:spacing w:after="100"/>
              <w:jc w:val="right"/>
              <w:rPr>
                <w:rFonts w:eastAsia="Times New Roman"/>
              </w:rPr>
            </w:pPr>
            <w:r>
              <w:rPr>
                <w:rFonts w:eastAsia="Times New Roman"/>
                <w:color w:val="000000"/>
                <w:sz w:val="18"/>
                <w:szCs w:val="18"/>
              </w:rPr>
              <w:t>Ages 61-115</w:t>
            </w:r>
          </w:p>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0.45%-20.86%</w:t>
            </w:r>
          </w:p>
          <w:p w:rsidR="00000000" w:rsidRDefault="005C524C">
            <w:pPr>
              <w:spacing w:after="100"/>
              <w:jc w:val="center"/>
              <w:rPr>
                <w:rFonts w:eastAsia="Times New Roman"/>
              </w:rPr>
            </w:pPr>
            <w:r>
              <w:rPr>
                <w:rFonts w:eastAsia="Times New Roman"/>
                <w:color w:val="000000"/>
                <w:sz w:val="18"/>
                <w:szCs w:val="18"/>
              </w:rPr>
              <w:t>0.27%-8.66%</w:t>
            </w:r>
          </w:p>
          <w:p w:rsidR="00000000" w:rsidRDefault="005C524C">
            <w:pPr>
              <w:spacing w:after="100"/>
              <w:jc w:val="center"/>
              <w:rPr>
                <w:rFonts w:eastAsia="Times New Roman"/>
              </w:rPr>
            </w:pPr>
            <w:r>
              <w:rPr>
                <w:rFonts w:eastAsia="Times New Roman"/>
                <w:color w:val="000000"/>
                <w:sz w:val="18"/>
                <w:szCs w:val="18"/>
              </w:rPr>
              <w:t>0.04%-60.44%</w:t>
            </w:r>
          </w:p>
          <w:p w:rsidR="00000000" w:rsidRDefault="005C524C">
            <w:pPr>
              <w:spacing w:after="100"/>
              <w:jc w:val="center"/>
              <w:rPr>
                <w:rFonts w:eastAsia="Times New Roman"/>
              </w:rPr>
            </w:pPr>
            <w:r>
              <w:rPr>
                <w:rFonts w:eastAsia="Times New Roman"/>
                <w:color w:val="000000"/>
                <w:sz w:val="18"/>
                <w:szCs w:val="18"/>
              </w:rPr>
              <w:t>37 bps</w:t>
            </w:r>
          </w:p>
          <w:p w:rsidR="00000000" w:rsidRDefault="005C524C">
            <w:pPr>
              <w:spacing w:after="100"/>
              <w:jc w:val="center"/>
              <w:rPr>
                <w:rFonts w:eastAsia="Times New Roman"/>
              </w:rPr>
            </w:pPr>
            <w:r>
              <w:rPr>
                <w:rFonts w:eastAsia="Times New Roman"/>
                <w:color w:val="000000"/>
                <w:sz w:val="18"/>
                <w:szCs w:val="18"/>
              </w:rPr>
              <w:t>11%-31%</w:t>
            </w:r>
          </w:p>
          <w:p w:rsidR="00000000" w:rsidRDefault="005C524C">
            <w:pPr>
              <w:spacing w:after="100"/>
              <w:jc w:val="center"/>
              <w:rPr>
                <w:rFonts w:eastAsia="Times New Roman"/>
              </w:rPr>
            </w:pPr>
            <w:r>
              <w:rPr>
                <w:rFonts w:eastAsia="Times New Roman"/>
                <w:color w:val="000000"/>
                <w:sz w:val="18"/>
                <w:szCs w:val="18"/>
              </w:rPr>
              <w:t>0.01%-0.17%</w:t>
            </w:r>
          </w:p>
          <w:p w:rsidR="00000000" w:rsidRDefault="005C524C">
            <w:pPr>
              <w:spacing w:after="100"/>
              <w:jc w:val="center"/>
              <w:rPr>
                <w:rFonts w:eastAsia="Times New Roman"/>
              </w:rPr>
            </w:pPr>
            <w:r>
              <w:rPr>
                <w:rFonts w:eastAsia="Times New Roman"/>
                <w:color w:val="000000"/>
                <w:sz w:val="18"/>
                <w:szCs w:val="18"/>
              </w:rPr>
              <w:t>0.06%-</w:t>
            </w:r>
            <w:r>
              <w:rPr>
                <w:rFonts w:eastAsia="Times New Roman"/>
                <w:color w:val="000000"/>
                <w:sz w:val="18"/>
                <w:szCs w:val="18"/>
              </w:rPr>
              <w:t>0.53%</w:t>
            </w:r>
          </w:p>
          <w:p w:rsidR="00000000" w:rsidRDefault="005C524C">
            <w:pPr>
              <w:spacing w:after="100"/>
              <w:jc w:val="center"/>
              <w:rPr>
                <w:rFonts w:eastAsia="Times New Roman"/>
              </w:rPr>
            </w:pPr>
            <w:r>
              <w:rPr>
                <w:rFonts w:eastAsia="Times New Roman"/>
                <w:color w:val="000000"/>
                <w:sz w:val="18"/>
                <w:szCs w:val="18"/>
              </w:rPr>
              <w:t>0.31%-40.00%</w:t>
            </w:r>
          </w:p>
          <w:p w:rsidR="00000000" w:rsidRDefault="005C524C">
            <w:pPr>
              <w:spacing w:after="100"/>
              <w:jc w:val="center"/>
              <w:rPr>
                <w:rFonts w:eastAsia="Times New Roman"/>
              </w:rPr>
            </w:pPr>
          </w:p>
          <w:p w:rsidR="00000000" w:rsidRDefault="005C524C">
            <w:pPr>
              <w:spacing w:after="100"/>
              <w:jc w:val="center"/>
              <w:rPr>
                <w:rFonts w:eastAsia="Times New Roman"/>
              </w:rPr>
            </w:pPr>
          </w:p>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1.70%</w:t>
            </w:r>
          </w:p>
          <w:p w:rsidR="00000000" w:rsidRDefault="005C524C">
            <w:pPr>
              <w:spacing w:after="100"/>
              <w:jc w:val="center"/>
              <w:rPr>
                <w:rFonts w:eastAsia="Times New Roman"/>
              </w:rPr>
            </w:pPr>
            <w:r>
              <w:rPr>
                <w:rFonts w:eastAsia="Times New Roman"/>
                <w:color w:val="000000"/>
                <w:sz w:val="18"/>
                <w:szCs w:val="18"/>
              </w:rPr>
              <w:t>1.18%</w:t>
            </w:r>
          </w:p>
          <w:p w:rsidR="00000000" w:rsidRDefault="005C524C">
            <w:pPr>
              <w:spacing w:after="100"/>
              <w:jc w:val="center"/>
              <w:rPr>
                <w:rFonts w:eastAsia="Times New Roman"/>
              </w:rPr>
            </w:pPr>
            <w:r>
              <w:rPr>
                <w:rFonts w:eastAsia="Times New Roman"/>
                <w:color w:val="000000"/>
                <w:sz w:val="18"/>
                <w:szCs w:val="18"/>
              </w:rPr>
              <w:t>7.20%</w:t>
            </w:r>
          </w:p>
          <w:p w:rsidR="00000000" w:rsidRDefault="005C524C">
            <w:pPr>
              <w:spacing w:after="100"/>
              <w:jc w:val="center"/>
              <w:rPr>
                <w:rFonts w:eastAsia="Times New Roman"/>
              </w:rPr>
            </w:pPr>
            <w:r>
              <w:rPr>
                <w:rFonts w:eastAsia="Times New Roman"/>
                <w:color w:val="000000"/>
                <w:sz w:val="18"/>
                <w:szCs w:val="18"/>
              </w:rPr>
              <w:t>37 bps</w:t>
            </w:r>
          </w:p>
          <w:p w:rsidR="00000000" w:rsidRDefault="005C524C">
            <w:pPr>
              <w:spacing w:after="100"/>
              <w:jc w:val="center"/>
              <w:rPr>
                <w:rFonts w:eastAsia="Times New Roman"/>
              </w:rPr>
            </w:pPr>
            <w:r>
              <w:rPr>
                <w:rFonts w:eastAsia="Times New Roman"/>
                <w:color w:val="000000"/>
                <w:sz w:val="18"/>
                <w:szCs w:val="18"/>
              </w:rPr>
              <w:t>24%</w:t>
            </w:r>
          </w:p>
          <w:p w:rsidR="00000000" w:rsidRDefault="005C524C">
            <w:pPr>
              <w:spacing w:after="100"/>
              <w:jc w:val="center"/>
              <w:rPr>
                <w:rFonts w:eastAsia="Times New Roman"/>
              </w:rPr>
            </w:pPr>
            <w:r>
              <w:rPr>
                <w:rFonts w:eastAsia="Times New Roman"/>
                <w:color w:val="000000"/>
                <w:sz w:val="18"/>
                <w:szCs w:val="18"/>
              </w:rPr>
              <w:t>2.17%</w:t>
            </w:r>
          </w:p>
          <w:p w:rsidR="00000000" w:rsidRDefault="005C524C">
            <w:pPr>
              <w:spacing w:after="100"/>
              <w:jc w:val="center"/>
              <w:rPr>
                <w:rFonts w:eastAsia="Times New Roman"/>
              </w:rPr>
            </w:pPr>
            <w:r>
              <w:rPr>
                <w:rFonts w:eastAsia="Times New Roman"/>
                <w:color w:val="000000"/>
                <w:sz w:val="18"/>
                <w:szCs w:val="18"/>
              </w:rPr>
              <w:t>(same for all ages)</w:t>
            </w:r>
          </w:p>
          <w:p w:rsidR="00000000" w:rsidRDefault="005C524C">
            <w:pPr>
              <w:spacing w:after="100"/>
              <w:jc w:val="center"/>
              <w:rPr>
                <w:rFonts w:eastAsia="Times New Roman"/>
              </w:rPr>
            </w:pPr>
            <w:r>
              <w:rPr>
                <w:rFonts w:eastAsia="Times New Roman"/>
                <w:color w:val="000000"/>
                <w:sz w:val="18"/>
                <w:szCs w:val="18"/>
              </w:rPr>
              <w:t>(same for all ages)</w:t>
            </w:r>
          </w:p>
        </w:tc>
      </w:tr>
      <w:tr w:rsidR="00000000">
        <w:trPr>
          <w:divId w:val="395980024"/>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39598002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38 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Expected revenue growth rates</w:t>
            </w:r>
          </w:p>
          <w:p w:rsidR="00000000" w:rsidRDefault="005C524C">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2.0% - 83.9%</w:t>
            </w:r>
          </w:p>
          <w:p w:rsidR="00000000" w:rsidRDefault="005C524C">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11.9%</w:t>
            </w:r>
          </w:p>
          <w:p w:rsidR="00000000" w:rsidRDefault="005C524C">
            <w:pPr>
              <w:spacing w:after="100"/>
              <w:jc w:val="center"/>
              <w:rPr>
                <w:rFonts w:eastAsia="Times New Roman"/>
              </w:rPr>
            </w:pPr>
            <w:r>
              <w:rPr>
                <w:rFonts w:eastAsia="Times New Roman"/>
                <w:color w:val="000000"/>
                <w:sz w:val="18"/>
                <w:szCs w:val="18"/>
              </w:rPr>
              <w:t>7.0%</w:t>
            </w:r>
          </w:p>
        </w:tc>
      </w:tr>
      <w:tr w:rsidR="00000000">
        <w:trPr>
          <w:divId w:val="39598002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GMIB 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8,503 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Annuitization rates</w:t>
            </w:r>
          </w:p>
          <w:p w:rsidR="00000000" w:rsidRDefault="005C524C">
            <w:pPr>
              <w:spacing w:after="100"/>
              <w:jc w:val="right"/>
              <w:rPr>
                <w:rFonts w:eastAsia="Times New Roman"/>
              </w:rPr>
            </w:pPr>
            <w:r>
              <w:rPr>
                <w:rFonts w:eastAsia="Times New Roman"/>
                <w:color w:val="000000"/>
                <w:sz w:val="18"/>
                <w:szCs w:val="18"/>
              </w:rPr>
              <w:t>Mortality rates (1):</w:t>
            </w:r>
          </w:p>
          <w:p w:rsidR="00000000" w:rsidRDefault="005C524C">
            <w:pPr>
              <w:spacing w:after="100"/>
              <w:jc w:val="right"/>
              <w:rPr>
                <w:rFonts w:eastAsia="Times New Roman"/>
              </w:rPr>
            </w:pPr>
            <w:r>
              <w:rPr>
                <w:rFonts w:eastAsia="Times New Roman"/>
                <w:color w:val="000000"/>
                <w:sz w:val="18"/>
                <w:szCs w:val="18"/>
              </w:rPr>
              <w:t>Ages 0 - 40</w:t>
            </w:r>
          </w:p>
          <w:p w:rsidR="00000000" w:rsidRDefault="005C524C">
            <w:pPr>
              <w:spacing w:after="100"/>
              <w:jc w:val="right"/>
              <w:rPr>
                <w:rFonts w:eastAsia="Times New Roman"/>
              </w:rPr>
            </w:pPr>
            <w:r>
              <w:rPr>
                <w:rFonts w:eastAsia="Times New Roman"/>
                <w:color w:val="000000"/>
                <w:sz w:val="18"/>
                <w:szCs w:val="18"/>
              </w:rPr>
              <w:t>Ages 41 - 60</w:t>
            </w:r>
          </w:p>
          <w:p w:rsidR="00000000" w:rsidRDefault="005C524C">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111 bps</w:t>
            </w:r>
          </w:p>
          <w:p w:rsidR="00000000" w:rsidRDefault="005C524C">
            <w:pPr>
              <w:spacing w:after="100"/>
              <w:jc w:val="center"/>
              <w:rPr>
                <w:rFonts w:eastAsia="Times New Roman"/>
              </w:rPr>
            </w:pPr>
            <w:r>
              <w:rPr>
                <w:rFonts w:eastAsia="Times New Roman"/>
                <w:color w:val="000000"/>
                <w:sz w:val="18"/>
                <w:szCs w:val="18"/>
              </w:rPr>
              <w:t>1.04% - 23.57%</w:t>
            </w:r>
          </w:p>
          <w:p w:rsidR="00000000" w:rsidRDefault="005C524C">
            <w:pPr>
              <w:spacing w:after="100"/>
              <w:jc w:val="center"/>
              <w:rPr>
                <w:rFonts w:eastAsia="Times New Roman"/>
              </w:rPr>
            </w:pPr>
            <w:r>
              <w:rPr>
                <w:rFonts w:eastAsia="Times New Roman"/>
                <w:color w:val="000000"/>
                <w:sz w:val="18"/>
                <w:szCs w:val="18"/>
              </w:rPr>
              <w:t>0.27% - 8.66%</w:t>
            </w:r>
          </w:p>
          <w:p w:rsidR="00000000" w:rsidRDefault="005C524C">
            <w:pPr>
              <w:spacing w:after="100"/>
              <w:jc w:val="center"/>
              <w:rPr>
                <w:rFonts w:eastAsia="Times New Roman"/>
              </w:rPr>
            </w:pPr>
            <w:r>
              <w:rPr>
                <w:rFonts w:eastAsia="Times New Roman"/>
                <w:color w:val="000000"/>
                <w:sz w:val="18"/>
                <w:szCs w:val="18"/>
              </w:rPr>
              <w:t>0.03% -100.00%</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0.01% - 0.19%</w:t>
            </w:r>
          </w:p>
          <w:p w:rsidR="00000000" w:rsidRDefault="005C524C">
            <w:pPr>
              <w:spacing w:after="100"/>
              <w:jc w:val="center"/>
              <w:rPr>
                <w:rFonts w:eastAsia="Times New Roman"/>
              </w:rPr>
            </w:pPr>
            <w:r>
              <w:rPr>
                <w:rFonts w:eastAsia="Times New Roman"/>
                <w:color w:val="000000"/>
                <w:sz w:val="18"/>
                <w:szCs w:val="18"/>
              </w:rPr>
              <w:t>0.07% - 0.57%</w:t>
            </w:r>
          </w:p>
          <w:p w:rsidR="00000000" w:rsidRDefault="005C524C">
            <w:pPr>
              <w:spacing w:after="100"/>
              <w:jc w:val="center"/>
              <w:rPr>
                <w:rFonts w:eastAsia="Times New Roman"/>
              </w:rPr>
            </w:pPr>
            <w:r>
              <w:rPr>
                <w:rFonts w:eastAsia="Times New Roman"/>
                <w:color w:val="000000"/>
                <w:sz w:val="18"/>
                <w:szCs w:val="18"/>
              </w:rPr>
              <w:t>0.44% - 43.60%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111 bps</w:t>
            </w:r>
          </w:p>
          <w:p w:rsidR="00000000" w:rsidRDefault="005C524C">
            <w:pPr>
              <w:spacing w:after="100"/>
              <w:jc w:val="center"/>
              <w:rPr>
                <w:rFonts w:eastAsia="Times New Roman"/>
              </w:rPr>
            </w:pPr>
            <w:r>
              <w:rPr>
                <w:rFonts w:eastAsia="Times New Roman"/>
                <w:color w:val="000000"/>
                <w:sz w:val="18"/>
                <w:szCs w:val="18"/>
              </w:rPr>
              <w:t>3.55%</w:t>
            </w:r>
          </w:p>
          <w:p w:rsidR="00000000" w:rsidRDefault="005C524C">
            <w:pPr>
              <w:spacing w:after="100"/>
              <w:jc w:val="center"/>
              <w:rPr>
                <w:rFonts w:eastAsia="Times New Roman"/>
              </w:rPr>
            </w:pPr>
            <w:r>
              <w:rPr>
                <w:rFonts w:eastAsia="Times New Roman"/>
                <w:color w:val="000000"/>
                <w:sz w:val="18"/>
                <w:szCs w:val="18"/>
              </w:rPr>
              <w:t>1.04%</w:t>
            </w:r>
          </w:p>
          <w:p w:rsidR="00000000" w:rsidRDefault="005C524C">
            <w:pPr>
              <w:spacing w:after="100"/>
              <w:jc w:val="center"/>
              <w:rPr>
                <w:rFonts w:eastAsia="Times New Roman"/>
              </w:rPr>
            </w:pPr>
            <w:r>
              <w:rPr>
                <w:rFonts w:eastAsia="Times New Roman"/>
                <w:color w:val="000000"/>
                <w:sz w:val="18"/>
                <w:szCs w:val="18"/>
              </w:rPr>
              <w:t>5.24%</w:t>
            </w: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1.62%</w:t>
            </w:r>
          </w:p>
          <w:p w:rsidR="00000000" w:rsidRDefault="005C524C">
            <w:pPr>
              <w:spacing w:after="100"/>
              <w:jc w:val="center"/>
              <w:rPr>
                <w:rFonts w:eastAsia="Times New Roman"/>
              </w:rPr>
            </w:pPr>
            <w:r>
              <w:rPr>
                <w:rFonts w:eastAsia="Times New Roman"/>
                <w:color w:val="000000"/>
                <w:sz w:val="18"/>
                <w:szCs w:val="18"/>
              </w:rPr>
              <w:t>(same for all ages)</w:t>
            </w:r>
          </w:p>
          <w:p w:rsidR="00000000" w:rsidRDefault="005C524C">
            <w:pPr>
              <w:spacing w:after="100"/>
              <w:jc w:val="center"/>
              <w:rPr>
                <w:rFonts w:eastAsia="Times New Roman"/>
              </w:rPr>
            </w:pPr>
            <w:r>
              <w:rPr>
                <w:rFonts w:eastAsia="Times New Roman"/>
                <w:color w:val="000000"/>
                <w:sz w:val="18"/>
                <w:szCs w:val="18"/>
              </w:rPr>
              <w:t>(same for all ages)</w:t>
            </w:r>
          </w:p>
        </w:tc>
      </w:tr>
      <w:tr w:rsidR="00000000">
        <w:trPr>
          <w:divId w:val="395980024"/>
          <w:jc w:val="center"/>
        </w:trPr>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9598002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99 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Utilization rates</w:t>
            </w:r>
          </w:p>
          <w:p w:rsidR="00000000" w:rsidRDefault="005C524C">
            <w:pPr>
              <w:spacing w:after="100"/>
              <w:jc w:val="right"/>
              <w:rPr>
                <w:rFonts w:eastAsia="Times New Roman"/>
              </w:rPr>
            </w:pPr>
          </w:p>
          <w:p w:rsidR="00000000" w:rsidRDefault="005C524C">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111 bps</w:t>
            </w:r>
          </w:p>
          <w:p w:rsidR="00000000" w:rsidRDefault="005C524C">
            <w:pPr>
              <w:spacing w:after="100"/>
              <w:jc w:val="center"/>
              <w:rPr>
                <w:rFonts w:eastAsia="Times New Roman"/>
              </w:rPr>
            </w:pPr>
            <w:r>
              <w:rPr>
                <w:rFonts w:eastAsia="Times New Roman"/>
                <w:color w:val="000000"/>
                <w:sz w:val="18"/>
                <w:szCs w:val="18"/>
              </w:rPr>
              <w:t>0.60%-20.86%</w:t>
            </w:r>
          </w:p>
          <w:p w:rsidR="00000000" w:rsidRDefault="005C524C">
            <w:pPr>
              <w:spacing w:after="100"/>
              <w:jc w:val="center"/>
              <w:rPr>
                <w:rFonts w:eastAsia="Times New Roman"/>
              </w:rPr>
            </w:pPr>
            <w:r>
              <w:rPr>
                <w:rFonts w:eastAsia="Times New Roman"/>
                <w:color w:val="000000"/>
                <w:sz w:val="18"/>
                <w:szCs w:val="18"/>
              </w:rPr>
              <w:t>0.00%-8.00%</w:t>
            </w:r>
          </w:p>
          <w:p w:rsidR="00000000" w:rsidRDefault="005C524C">
            <w:pPr>
              <w:spacing w:after="100"/>
              <w:jc w:val="center"/>
              <w:rPr>
                <w:rFonts w:eastAsia="Times New Roman"/>
              </w:rPr>
            </w:pPr>
            <w:r>
              <w:rPr>
                <w:rFonts w:eastAsia="Times New Roman"/>
                <w:color w:val="000000"/>
                <w:sz w:val="18"/>
                <w:szCs w:val="18"/>
              </w:rPr>
              <w:t xml:space="preserve">100% once starting </w:t>
            </w:r>
          </w:p>
          <w:p w:rsidR="00000000" w:rsidRDefault="005C524C">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2.65%</w:t>
            </w:r>
          </w:p>
          <w:p w:rsidR="00000000" w:rsidRDefault="005C524C">
            <w:pPr>
              <w:spacing w:after="100"/>
              <w:jc w:val="center"/>
              <w:rPr>
                <w:rFonts w:eastAsia="Times New Roman"/>
              </w:rPr>
            </w:pPr>
            <w:r>
              <w:rPr>
                <w:rFonts w:eastAsia="Times New Roman"/>
                <w:color w:val="000000"/>
                <w:sz w:val="18"/>
                <w:szCs w:val="18"/>
              </w:rPr>
              <w:t>0.93%</w:t>
            </w:r>
          </w:p>
          <w:p w:rsidR="00000000" w:rsidRDefault="005C524C">
            <w:pPr>
              <w:spacing w:after="100"/>
              <w:jc w:val="center"/>
              <w:rPr>
                <w:rFonts w:eastAsia="Times New Roman"/>
              </w:rPr>
            </w:pPr>
          </w:p>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24%</w:t>
            </w:r>
          </w:p>
        </w:tc>
      </w:tr>
      <w:tr w:rsidR="00000000">
        <w:trPr>
          <w:divId w:val="39598002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(75)</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Withdrawal rates</w:t>
            </w:r>
          </w:p>
          <w:p w:rsidR="00000000" w:rsidRDefault="005C524C">
            <w:pPr>
              <w:spacing w:after="100"/>
              <w:jc w:val="right"/>
              <w:rPr>
                <w:rFonts w:eastAsia="Times New Roman"/>
              </w:rPr>
            </w:pPr>
            <w:r>
              <w:rPr>
                <w:rFonts w:eastAsia="Times New Roman"/>
                <w:color w:val="000000"/>
                <w:sz w:val="18"/>
                <w:szCs w:val="18"/>
              </w:rPr>
              <w:t>Utilization rates</w:t>
            </w:r>
          </w:p>
          <w:p w:rsidR="00000000" w:rsidRDefault="005C524C">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111 bps</w:t>
            </w:r>
          </w:p>
          <w:p w:rsidR="00000000" w:rsidRDefault="005C524C">
            <w:pPr>
              <w:spacing w:after="100"/>
              <w:jc w:val="center"/>
              <w:rPr>
                <w:rFonts w:eastAsia="Times New Roman"/>
              </w:rPr>
            </w:pPr>
            <w:r>
              <w:rPr>
                <w:rFonts w:eastAsia="Times New Roman"/>
                <w:color w:val="000000"/>
                <w:sz w:val="18"/>
                <w:szCs w:val="18"/>
              </w:rPr>
              <w:t>0.60%-20.86%</w:t>
            </w:r>
          </w:p>
          <w:p w:rsidR="00000000" w:rsidRDefault="005C524C">
            <w:pPr>
              <w:spacing w:after="100"/>
              <w:jc w:val="center"/>
              <w:rPr>
                <w:rFonts w:eastAsia="Times New Roman"/>
              </w:rPr>
            </w:pPr>
            <w:r>
              <w:rPr>
                <w:rFonts w:eastAsia="Times New Roman"/>
                <w:color w:val="000000"/>
                <w:sz w:val="18"/>
                <w:szCs w:val="18"/>
              </w:rPr>
              <w:t>0.13%-8.66%</w:t>
            </w:r>
          </w:p>
          <w:p w:rsidR="00000000" w:rsidRDefault="005C524C">
            <w:pPr>
              <w:spacing w:after="100"/>
              <w:jc w:val="center"/>
              <w:rPr>
                <w:rFonts w:eastAsia="Times New Roman"/>
              </w:rPr>
            </w:pPr>
            <w:r>
              <w:rPr>
                <w:rFonts w:eastAsia="Times New Roman"/>
                <w:color w:val="000000"/>
                <w:sz w:val="18"/>
                <w:szCs w:val="18"/>
              </w:rPr>
              <w:t>0.04%-100.00%</w:t>
            </w:r>
          </w:p>
          <w:p w:rsidR="00000000" w:rsidRDefault="005C524C">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2.65%</w:t>
            </w:r>
          </w:p>
          <w:p w:rsidR="00000000" w:rsidRDefault="005C524C">
            <w:pPr>
              <w:spacing w:after="100"/>
              <w:jc w:val="center"/>
              <w:rPr>
                <w:rFonts w:eastAsia="Times New Roman"/>
              </w:rPr>
            </w:pPr>
            <w:r>
              <w:rPr>
                <w:rFonts w:eastAsia="Times New Roman"/>
                <w:color w:val="000000"/>
                <w:sz w:val="18"/>
                <w:szCs w:val="18"/>
              </w:rPr>
              <w:t>0.93%</w:t>
            </w:r>
          </w:p>
          <w:p w:rsidR="00000000" w:rsidRDefault="005C524C">
            <w:pPr>
              <w:spacing w:after="100"/>
              <w:jc w:val="center"/>
              <w:rPr>
                <w:rFonts w:eastAsia="Times New Roman"/>
              </w:rPr>
            </w:pPr>
            <w:r>
              <w:rPr>
                <w:rFonts w:eastAsia="Times New Roman"/>
                <w:color w:val="000000"/>
                <w:sz w:val="18"/>
                <w:szCs w:val="18"/>
              </w:rPr>
              <w:t>5.27%</w:t>
            </w:r>
          </w:p>
          <w:p w:rsidR="00000000" w:rsidRDefault="005C524C">
            <w:pPr>
              <w:spacing w:after="100"/>
              <w:jc w:val="center"/>
              <w:rPr>
                <w:rFonts w:eastAsia="Times New Roman"/>
              </w:rPr>
            </w:pPr>
            <w:r>
              <w:rPr>
                <w:rFonts w:eastAsia="Times New Roman"/>
                <w:color w:val="000000"/>
                <w:sz w:val="18"/>
                <w:szCs w:val="18"/>
              </w:rPr>
              <w:t>24%</w:t>
            </w:r>
          </w:p>
        </w:tc>
      </w:tr>
      <w:tr w:rsidR="00000000">
        <w:trPr>
          <w:divId w:val="395980024"/>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C524C">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18"/>
                <w:szCs w:val="18"/>
              </w:rPr>
              <w:t>Non-performance risk</w:t>
            </w:r>
          </w:p>
          <w:p w:rsidR="00000000" w:rsidRDefault="005C524C">
            <w:pPr>
              <w:spacing w:after="100"/>
              <w:jc w:val="right"/>
              <w:rPr>
                <w:rFonts w:eastAsia="Times New Roman"/>
              </w:rPr>
            </w:pPr>
            <w:r>
              <w:rPr>
                <w:rFonts w:eastAsia="Times New Roman"/>
                <w:color w:val="000000"/>
                <w:sz w:val="18"/>
                <w:szCs w:val="18"/>
              </w:rPr>
              <w:t>Lapse rates</w:t>
            </w:r>
          </w:p>
          <w:p w:rsidR="00000000" w:rsidRDefault="005C524C">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18"/>
                <w:szCs w:val="18"/>
              </w:rPr>
              <w:t>111 bps</w:t>
            </w:r>
          </w:p>
          <w:p w:rsidR="00000000" w:rsidRDefault="005C524C">
            <w:pPr>
              <w:spacing w:after="100"/>
              <w:jc w:val="center"/>
              <w:rPr>
                <w:rFonts w:eastAsia="Times New Roman"/>
              </w:rPr>
            </w:pPr>
            <w:r>
              <w:rPr>
                <w:rFonts w:eastAsia="Times New Roman"/>
                <w:color w:val="000000"/>
                <w:sz w:val="18"/>
                <w:szCs w:val="18"/>
              </w:rPr>
              <w:t>0.60%-20.86%</w:t>
            </w:r>
          </w:p>
          <w:p w:rsidR="00000000" w:rsidRDefault="005C524C">
            <w:pPr>
              <w:spacing w:after="100"/>
              <w:jc w:val="center"/>
              <w:rPr>
                <w:rFonts w:eastAsia="Times New Roman"/>
              </w:rPr>
            </w:pPr>
            <w:r>
              <w:rPr>
                <w:rFonts w:eastAsia="Times New Roman"/>
                <w:color w:val="000000"/>
                <w:sz w:val="18"/>
                <w:szCs w:val="18"/>
              </w:rPr>
              <w:t>11%-31%</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C524C">
            <w:pPr>
              <w:spacing w:after="100"/>
              <w:jc w:val="center"/>
              <w:rPr>
                <w:rFonts w:eastAsia="Times New Roman"/>
              </w:rPr>
            </w:pPr>
          </w:p>
          <w:p w:rsidR="00000000" w:rsidRDefault="005C524C">
            <w:pPr>
              <w:spacing w:after="100"/>
              <w:jc w:val="center"/>
              <w:rPr>
                <w:rFonts w:eastAsia="Times New Roman"/>
              </w:rPr>
            </w:pPr>
            <w:r>
              <w:rPr>
                <w:rFonts w:eastAsia="Times New Roman"/>
                <w:color w:val="000000"/>
                <w:sz w:val="18"/>
                <w:szCs w:val="18"/>
              </w:rPr>
              <w:t>2.65%</w:t>
            </w:r>
          </w:p>
          <w:p w:rsidR="00000000" w:rsidRDefault="005C524C">
            <w:pPr>
              <w:spacing w:after="100"/>
              <w:jc w:val="center"/>
              <w:rPr>
                <w:rFonts w:eastAsia="Times New Roman"/>
              </w:rPr>
            </w:pPr>
            <w:r>
              <w:rPr>
                <w:rFonts w:eastAsia="Times New Roman"/>
                <w:color w:val="000000"/>
                <w:sz w:val="18"/>
                <w:szCs w:val="18"/>
              </w:rPr>
              <w:t>24%</w:t>
            </w:r>
          </w:p>
        </w:tc>
      </w:tr>
    </w:tbl>
    <w:p w:rsidR="00000000" w:rsidRDefault="005C524C">
      <w:pPr>
        <w:jc w:val="both"/>
        <w:rPr>
          <w:rFonts w:eastAsia="Times New Roman"/>
        </w:rPr>
      </w:pPr>
      <w:r>
        <w:rPr>
          <w:rFonts w:eastAsia="Times New Roman"/>
          <w:color w:val="000000"/>
          <w:sz w:val="20"/>
          <w:szCs w:val="20"/>
        </w:rPr>
        <w:t>_______</w:t>
      </w:r>
      <w:r>
        <w:rPr>
          <w:rFonts w:eastAsia="Times New Roman"/>
          <w:color w:val="000000"/>
          <w:sz w:val="20"/>
          <w:szCs w:val="20"/>
        </w:rPr>
        <w:t>_______</w:t>
      </w:r>
    </w:p>
    <w:p w:rsidR="00000000" w:rsidRDefault="005C524C">
      <w:pPr>
        <w:ind w:hanging="360"/>
        <w:divId w:val="1149714130"/>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contract, mort</w:t>
      </w:r>
      <w:r>
        <w:rPr>
          <w:rFonts w:eastAsia="Times New Roman"/>
          <w:color w:val="000000"/>
          <w:sz w:val="18"/>
          <w:szCs w:val="18"/>
        </w:rPr>
        <w:t>ality rates vary throughout the period over which cash flows are projected for purposes of valuating the embedded derivatives.</w:t>
      </w:r>
    </w:p>
    <w:p w:rsidR="00000000" w:rsidRDefault="005C524C">
      <w:pPr>
        <w:ind w:hanging="360"/>
        <w:divId w:val="363140214"/>
        <w:rPr>
          <w:rFonts w:eastAsia="Times New Roman"/>
        </w:rPr>
      </w:pPr>
      <w:r>
        <w:rPr>
          <w:rFonts w:eastAsia="Times New Roman"/>
          <w:color w:val="000000"/>
          <w:sz w:val="18"/>
          <w:szCs w:val="18"/>
        </w:rPr>
        <w:t>(2)For lapses, withdrawals, and utilizations the rates were weighted by counts; for mortality weighted average rates are shown fo</w:t>
      </w:r>
      <w:r>
        <w:rPr>
          <w:rFonts w:eastAsia="Times New Roman"/>
          <w:color w:val="000000"/>
          <w:sz w:val="18"/>
          <w:szCs w:val="18"/>
        </w:rPr>
        <w:t>r all ages combined; and for withdrawals the weighted averages were based on an estimated split of partial withdrawal and dollar-for-dollar withdrawals.</w:t>
      </w:r>
    </w:p>
    <w:p w:rsidR="00000000" w:rsidRDefault="005C524C">
      <w:pPr>
        <w:jc w:val="center"/>
        <w:divId w:val="335576761"/>
        <w:rPr>
          <w:rFonts w:eastAsia="Times New Roman"/>
        </w:rPr>
      </w:pPr>
    </w:p>
    <w:p w:rsidR="00000000" w:rsidRDefault="005C524C">
      <w:pPr>
        <w:jc w:val="center"/>
        <w:divId w:val="335576761"/>
        <w:rPr>
          <w:rFonts w:eastAsia="Times New Roman"/>
        </w:rPr>
      </w:pPr>
      <w:r>
        <w:rPr>
          <w:rFonts w:eastAsia="Times New Roman"/>
          <w:color w:val="000000"/>
          <w:sz w:val="20"/>
          <w:szCs w:val="20"/>
        </w:rPr>
        <w:t>54</w:t>
      </w:r>
    </w:p>
    <w:p w:rsidR="00000000" w:rsidRDefault="005C524C">
      <w:pPr>
        <w:rPr>
          <w:rFonts w:eastAsia="Times New Roman"/>
        </w:rPr>
      </w:pPr>
      <w:r>
        <w:rPr>
          <w:rFonts w:eastAsia="Times New Roman"/>
        </w:rPr>
        <w:pict>
          <v:rect id="_x0000_i1080" style="width:0;height:1.5pt" o:hralign="center" o:hrstd="t" o:hr="t" fillcolor="#a0a0a0" stroked="f"/>
        </w:pict>
      </w:r>
    </w:p>
    <w:p w:rsidR="00000000" w:rsidRDefault="005C524C">
      <w:pPr>
        <w:divId w:val="1886873440"/>
        <w:rPr>
          <w:rFonts w:eastAsia="Times New Roman"/>
        </w:rPr>
      </w:pPr>
      <w:hyperlink w:anchor="i2588464f77ae40b48abb7647b419da5e_10" w:history="1">
        <w:r>
          <w:rPr>
            <w:rStyle w:val="a3"/>
            <w:rFonts w:eastAsia="Times New Roman"/>
            <w:b/>
            <w:bCs/>
            <w:sz w:val="20"/>
            <w:szCs w:val="20"/>
          </w:rPr>
          <w:t>Tab</w:t>
        </w:r>
        <w:r>
          <w:rPr>
            <w:rStyle w:val="a3"/>
            <w:rFonts w:eastAsia="Times New Roman"/>
            <w:b/>
            <w:bCs/>
            <w:sz w:val="20"/>
            <w:szCs w:val="20"/>
          </w:rPr>
          <w:t>le of Contents</w:t>
        </w:r>
      </w:hyperlink>
    </w:p>
    <w:p w:rsidR="00000000" w:rsidRDefault="005C524C">
      <w:pPr>
        <w:jc w:val="center"/>
        <w:divId w:val="1674869906"/>
        <w:rPr>
          <w:rFonts w:eastAsia="Times New Roman"/>
        </w:rPr>
      </w:pPr>
      <w:r>
        <w:rPr>
          <w:rFonts w:eastAsia="Times New Roman"/>
          <w:b/>
          <w:bCs/>
          <w:color w:val="000000"/>
          <w:sz w:val="20"/>
          <w:szCs w:val="20"/>
        </w:rPr>
        <w:t>EQUITABLE HOLDINGS, INC.</w:t>
      </w:r>
    </w:p>
    <w:p w:rsidR="00000000" w:rsidRDefault="005C524C">
      <w:pPr>
        <w:jc w:val="center"/>
        <w:divId w:val="167486990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674869906"/>
        <w:rPr>
          <w:rFonts w:eastAsia="Times New Roman"/>
        </w:rPr>
      </w:pPr>
    </w:p>
    <w:p w:rsidR="00000000" w:rsidRDefault="005C524C">
      <w:pPr>
        <w:jc w:val="both"/>
        <w:divId w:val="199707777"/>
        <w:rPr>
          <w:rFonts w:eastAsia="Times New Roman"/>
        </w:rPr>
      </w:pPr>
      <w:r>
        <w:rPr>
          <w:rFonts w:eastAsia="Times New Roman"/>
          <w:b/>
          <w:bCs/>
          <w:i/>
          <w:iCs/>
          <w:color w:val="000000"/>
          <w:sz w:val="20"/>
          <w:szCs w:val="20"/>
        </w:rPr>
        <w:t>Level 3 Financial Instruments for which Quantitative Inputs are Not Available</w:t>
      </w:r>
    </w:p>
    <w:p w:rsidR="00000000" w:rsidRDefault="005C524C">
      <w:pPr>
        <w:jc w:val="both"/>
        <w:divId w:val="2101370135"/>
        <w:rPr>
          <w:rFonts w:eastAsia="Times New Roman"/>
        </w:rPr>
      </w:pPr>
      <w:r>
        <w:rPr>
          <w:rFonts w:eastAsia="Times New Roman"/>
          <w:color w:val="000000"/>
          <w:sz w:val="20"/>
          <w:szCs w:val="20"/>
          <w:u w:val="single"/>
        </w:rPr>
        <w:t>Certain Privately Placed Debt Securities with Limited Trading Activity</w:t>
      </w:r>
    </w:p>
    <w:p w:rsidR="00000000" w:rsidRDefault="005C524C">
      <w:pPr>
        <w:divId w:val="1877154052"/>
        <w:rPr>
          <w:rFonts w:eastAsia="Times New Roman"/>
        </w:rPr>
      </w:pPr>
      <w:r>
        <w:rPr>
          <w:rFonts w:eastAsia="Times New Roman"/>
          <w:color w:val="000000"/>
          <w:sz w:val="20"/>
          <w:szCs w:val="20"/>
        </w:rPr>
        <w:t>Excluded from the tables above as of June 30, 2022 and December 31, 2021, respectively, are approximately $1.2 billion and $635 million of Level 3 fair value measurements of investments for which the underlying quantitative inputs are not developed by the</w:t>
      </w:r>
      <w:r>
        <w:rPr>
          <w:rFonts w:eastAsia="Times New Roman"/>
          <w:color w:val="000000"/>
          <w:sz w:val="20"/>
          <w:szCs w:val="20"/>
        </w:rPr>
        <w:t xml:space="preserve"> Company and are not readily available. These investments primarily consist of certain privately placed debt securities with limited trading activity, including residential mortgage- and asset-backed instruments, and their fair values generally reflect una</w:t>
      </w:r>
      <w:r>
        <w:rPr>
          <w:rFonts w:eastAsia="Times New Roman"/>
          <w:color w:val="000000"/>
          <w:sz w:val="20"/>
          <w:szCs w:val="20"/>
        </w:rPr>
        <w:t>djusted prices obtained from independent valuation service providers and indicative, non-binding quotes obtained from third-party broker-dealers recognized as market participants. Significant increases or decreases in the fair value amounts received from t</w:t>
      </w:r>
      <w:r>
        <w:rPr>
          <w:rFonts w:eastAsia="Times New Roman"/>
          <w:color w:val="000000"/>
          <w:sz w:val="20"/>
          <w:szCs w:val="20"/>
        </w:rPr>
        <w:t>hese pricing sources may result in the Company’s reporting significantly higher or lower fair value measurements for these Level 3 investments.</w:t>
      </w:r>
    </w:p>
    <w:p w:rsidR="00000000" w:rsidRDefault="005C524C">
      <w:pPr>
        <w:ind w:hanging="360"/>
        <w:jc w:val="both"/>
        <w:divId w:val="887764630"/>
        <w:rPr>
          <w:rFonts w:eastAsia="Times New Roman"/>
        </w:rPr>
      </w:pPr>
      <w:r>
        <w:rPr>
          <w:rFonts w:eastAsia="Times New Roman"/>
          <w:color w:val="000000"/>
          <w:sz w:val="20"/>
          <w:szCs w:val="20"/>
        </w:rPr>
        <w:t>•The fair value of private placement securities is determined by application of a matrix pricing model or a mark</w:t>
      </w:r>
      <w:r>
        <w:rPr>
          <w:rFonts w:eastAsia="Times New Roman"/>
          <w:color w:val="000000"/>
          <w:sz w:val="20"/>
          <w:szCs w:val="20"/>
        </w:rPr>
        <w:t>et comparable company value technique. The significant unobservable input to the matrix pricing model valuation technique is the spread over the industry-specific benchmark yield curve. Generally, an increase or decrease in spreads would lead to directiona</w:t>
      </w:r>
      <w:r>
        <w:rPr>
          <w:rFonts w:eastAsia="Times New Roman"/>
          <w:color w:val="000000"/>
          <w:sz w:val="20"/>
          <w:szCs w:val="20"/>
        </w:rPr>
        <w:t>lly inverse movement in the fair value measurements of these securities. The significant unobservable input to the market comparable company valuation technique is the discount rate. Generally, a significant increase (decrease) in the discount rate would r</w:t>
      </w:r>
      <w:r>
        <w:rPr>
          <w:rFonts w:eastAsia="Times New Roman"/>
          <w:color w:val="000000"/>
          <w:sz w:val="20"/>
          <w:szCs w:val="20"/>
        </w:rPr>
        <w:t>esult in significantly lower (higher) fair value measurements of these securities.</w:t>
      </w:r>
    </w:p>
    <w:p w:rsidR="00000000" w:rsidRDefault="005C524C">
      <w:pPr>
        <w:ind w:hanging="360"/>
        <w:jc w:val="both"/>
        <w:divId w:val="607852332"/>
        <w:rPr>
          <w:rFonts w:eastAsia="Times New Roman"/>
        </w:rPr>
      </w:pPr>
      <w:r>
        <w:rPr>
          <w:rFonts w:eastAsia="Times New Roman"/>
          <w:color w:val="000000"/>
          <w:sz w:val="20"/>
          <w:szCs w:val="20"/>
        </w:rPr>
        <w:t>•</w:t>
      </w:r>
      <w:r>
        <w:rPr>
          <w:rFonts w:eastAsia="Times New Roman"/>
          <w:color w:val="000000"/>
          <w:sz w:val="20"/>
          <w:szCs w:val="20"/>
        </w:rPr>
        <w:t>Residential mortgage-backed securities classified as Level 3 primarily consist of non-agency paper with low trading activity. Included in the tables above as of June 30, 2022 and December 31, 2021, there were no Level 3 securities that were determined by a</w:t>
      </w:r>
      <w:r>
        <w:rPr>
          <w:rFonts w:eastAsia="Times New Roman"/>
          <w:color w:val="000000"/>
          <w:sz w:val="20"/>
          <w:szCs w:val="20"/>
        </w:rPr>
        <w:t>pplication of a matrix pricing model and for which the spread over the U.S. Treasury curve is the most significant unobservable input to the pricing result. Generally, a change in spreads would lead to directionally inverse movement in the fair value measu</w:t>
      </w:r>
      <w:r>
        <w:rPr>
          <w:rFonts w:eastAsia="Times New Roman"/>
          <w:color w:val="000000"/>
          <w:sz w:val="20"/>
          <w:szCs w:val="20"/>
        </w:rPr>
        <w:t>rements of these securities.</w:t>
      </w:r>
    </w:p>
    <w:p w:rsidR="00000000" w:rsidRDefault="005C524C">
      <w:pPr>
        <w:ind w:hanging="360"/>
        <w:divId w:val="2069956619"/>
        <w:rPr>
          <w:rFonts w:eastAsia="Times New Roman"/>
        </w:rPr>
      </w:pPr>
      <w:r>
        <w:rPr>
          <w:rFonts w:eastAsia="Times New Roman"/>
          <w:color w:val="000000"/>
          <w:sz w:val="20"/>
          <w:szCs w:val="20"/>
        </w:rPr>
        <w:t>•Asset-backed securities classified as Level 3 primarily consist of non-agency mortgage loan trust certificates, including subprime and Alt-A paper, credit risk transfer securities, and equipment financings. Included in the tab</w:t>
      </w:r>
      <w:r>
        <w:rPr>
          <w:rFonts w:eastAsia="Times New Roman"/>
          <w:color w:val="000000"/>
          <w:sz w:val="20"/>
          <w:szCs w:val="20"/>
        </w:rPr>
        <w:t>les above as of June 30, 2022 and December 31, 2021, there were no securities that were determined by the application of matrix-pricing for which the spread over the U.S. Treasury curve is the most significant unobservable input to the pricing result. Sign</w:t>
      </w:r>
      <w:r>
        <w:rPr>
          <w:rFonts w:eastAsia="Times New Roman"/>
          <w:color w:val="000000"/>
          <w:sz w:val="20"/>
          <w:szCs w:val="20"/>
        </w:rPr>
        <w:t>ificant increases (decreases) in spreads would have resulted in significantly lower (higher) fair value measurements.</w:t>
      </w:r>
    </w:p>
    <w:p w:rsidR="00000000" w:rsidRDefault="005C524C">
      <w:pPr>
        <w:jc w:val="both"/>
        <w:divId w:val="105007435"/>
        <w:rPr>
          <w:rFonts w:eastAsia="Times New Roman"/>
        </w:rPr>
      </w:pPr>
      <w:r>
        <w:rPr>
          <w:rFonts w:eastAsia="Times New Roman"/>
          <w:color w:val="000000"/>
          <w:sz w:val="20"/>
          <w:szCs w:val="20"/>
          <w:u w:val="single"/>
        </w:rPr>
        <w:t>Other Equity Investments</w:t>
      </w:r>
    </w:p>
    <w:p w:rsidR="00000000" w:rsidRDefault="005C524C">
      <w:pPr>
        <w:divId w:val="1600941443"/>
        <w:rPr>
          <w:rFonts w:eastAsia="Times New Roman"/>
        </w:rPr>
      </w:pPr>
      <w:r>
        <w:rPr>
          <w:rFonts w:eastAsia="Times New Roman"/>
          <w:color w:val="000000"/>
          <w:sz w:val="20"/>
          <w:szCs w:val="20"/>
        </w:rPr>
        <w:t>Included in other equity investments classified as Level 3 are venture capital securities in the Technology, Medi</w:t>
      </w:r>
      <w:r>
        <w:rPr>
          <w:rFonts w:eastAsia="Times New Roman"/>
          <w:color w:val="000000"/>
          <w:sz w:val="20"/>
          <w:szCs w:val="20"/>
        </w:rPr>
        <w:t>a and Telecommunications industries. The fair value measurements of these securities include significant unobservable inputs including an enterprise value to revenue multiples and a discount rate to account for liquidity and various risk factors. Significa</w:t>
      </w:r>
      <w:r>
        <w:rPr>
          <w:rFonts w:eastAsia="Times New Roman"/>
          <w:color w:val="000000"/>
          <w:sz w:val="20"/>
          <w:szCs w:val="20"/>
        </w:rPr>
        <w:t>nt increases (decreases) in the enterprise value to revenue multiple inputs in isolation would have resulted in a significantly higher (lower) fair value measurement. Significant increases (decreases) in the discount rate would have resulted in a significa</w:t>
      </w:r>
      <w:r>
        <w:rPr>
          <w:rFonts w:eastAsia="Times New Roman"/>
          <w:color w:val="000000"/>
          <w:sz w:val="20"/>
          <w:szCs w:val="20"/>
        </w:rPr>
        <w:t>ntly lower (higher) fair value measurement.</w:t>
      </w:r>
    </w:p>
    <w:p w:rsidR="00000000" w:rsidRDefault="005C524C">
      <w:pPr>
        <w:jc w:val="both"/>
        <w:divId w:val="1418407935"/>
        <w:rPr>
          <w:rFonts w:eastAsia="Times New Roman"/>
        </w:rPr>
      </w:pPr>
      <w:r>
        <w:rPr>
          <w:rFonts w:eastAsia="Times New Roman"/>
          <w:color w:val="000000"/>
          <w:sz w:val="20"/>
          <w:szCs w:val="20"/>
          <w:u w:val="single"/>
        </w:rPr>
        <w:t xml:space="preserve">GMIB Reinsurance Contract Asset, Amounts Due from Reinsurers and GMxB Derivative Features </w:t>
      </w:r>
    </w:p>
    <w:p w:rsidR="00000000" w:rsidRDefault="005C524C">
      <w:pPr>
        <w:divId w:val="1301956997"/>
        <w:rPr>
          <w:rFonts w:eastAsia="Times New Roman"/>
        </w:rPr>
      </w:pPr>
      <w:r>
        <w:rPr>
          <w:rFonts w:eastAsia="Times New Roman"/>
          <w:color w:val="000000"/>
          <w:sz w:val="20"/>
          <w:szCs w:val="20"/>
        </w:rPr>
        <w:t>Significant unobservable inputs with respect to the fair value measurement of the Level 3 GMIB reinsurance contract asset</w:t>
      </w:r>
      <w:r>
        <w:rPr>
          <w:rFonts w:eastAsia="Times New Roman"/>
          <w:color w:val="000000"/>
          <w:sz w:val="20"/>
          <w:szCs w:val="20"/>
        </w:rPr>
        <w:t xml:space="preserve"> and the Level 3 liabilities identified in the table above are developed using Company data.</w:t>
      </w:r>
    </w:p>
    <w:p w:rsidR="00000000" w:rsidRDefault="005C524C">
      <w:pPr>
        <w:divId w:val="473982913"/>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 and GMIB</w:t>
      </w:r>
      <w:r>
        <w:rPr>
          <w:rFonts w:eastAsia="Times New Roman"/>
          <w:color w:val="000000"/>
          <w:sz w:val="20"/>
          <w:szCs w:val="20"/>
        </w:rPr>
        <w:t xml:space="preserve"> utilization rates. Significant increases in GMIB utilization rates or decreases in lapse or withdrawal rates in isolation would tend to increase the GMIB reinsurance contract asset.</w:t>
      </w:r>
    </w:p>
    <w:p w:rsidR="00000000" w:rsidRDefault="005C524C">
      <w:pPr>
        <w:divId w:val="9336830"/>
        <w:rPr>
          <w:rFonts w:eastAsia="Times New Roman"/>
        </w:rPr>
      </w:pPr>
      <w:r>
        <w:rPr>
          <w:rFonts w:eastAsia="Times New Roman"/>
          <w:color w:val="000000"/>
          <w:sz w:val="20"/>
          <w:szCs w:val="20"/>
        </w:rPr>
        <w:t>Fair value measurement of the GMIB reinsurance contract asset, GMIB NLG R</w:t>
      </w:r>
      <w:r>
        <w:rPr>
          <w:rFonts w:eastAsia="Times New Roman"/>
          <w:color w:val="000000"/>
          <w:sz w:val="20"/>
          <w:szCs w:val="20"/>
        </w:rPr>
        <w:t>einsurance and liabilities includes dynamic lapse and GMIB utilization assumptions whereby projected contractual lapses and GMIB utilization reflect the projected net amount of risks of the contract. As the net amount of risk of a contract increases, the a</w:t>
      </w:r>
      <w:r>
        <w:rPr>
          <w:rFonts w:eastAsia="Times New Roman"/>
          <w:color w:val="000000"/>
          <w:sz w:val="20"/>
          <w:szCs w:val="20"/>
        </w:rPr>
        <w:t>ssumed lapse rate decreases and the GMIB utilization increases. Increases in volatility would increase the asset and liabilities.</w:t>
      </w:r>
    </w:p>
    <w:p w:rsidR="00000000" w:rsidRDefault="005C524C">
      <w:pPr>
        <w:divId w:val="1851989998"/>
        <w:rPr>
          <w:rFonts w:eastAsia="Times New Roman"/>
        </w:rPr>
      </w:pPr>
      <w:r>
        <w:rPr>
          <w:rFonts w:eastAsia="Times New Roman"/>
          <w:color w:val="000000"/>
          <w:sz w:val="20"/>
          <w:szCs w:val="20"/>
        </w:rPr>
        <w:t>The significant unobservable inputs used in the fair value measurement of the Company’s GMIB NLG liability and GMIB NLG Reinsu</w:t>
      </w:r>
      <w:r>
        <w:rPr>
          <w:rFonts w:eastAsia="Times New Roman"/>
          <w:color w:val="000000"/>
          <w:sz w:val="20"/>
          <w:szCs w:val="20"/>
        </w:rPr>
        <w:t>rance are lapse rates, withdrawal rates, GMIB utilization rates, adjustment for non-performance risk and NLG forfeiture rates. NLG forfeiture rates are caused by excess withdrawals above the annual GMIB accrual rate that cause the NLG to expire. Significan</w:t>
      </w:r>
      <w:r>
        <w:rPr>
          <w:rFonts w:eastAsia="Times New Roman"/>
          <w:color w:val="000000"/>
          <w:sz w:val="20"/>
          <w:szCs w:val="20"/>
        </w:rPr>
        <w:t xml:space="preserve">t decreases in lapse rates, NLG forfeiture rates, adjustment for non-performance risk and GMIB utilization rates would tend to increase the GMIB NLG liability and GMIB NLG </w:t>
      </w:r>
    </w:p>
    <w:p w:rsidR="00000000" w:rsidRDefault="005C524C">
      <w:pPr>
        <w:jc w:val="center"/>
        <w:divId w:val="1980067899"/>
        <w:rPr>
          <w:rFonts w:eastAsia="Times New Roman"/>
        </w:rPr>
      </w:pPr>
    </w:p>
    <w:p w:rsidR="00000000" w:rsidRDefault="005C524C">
      <w:pPr>
        <w:jc w:val="center"/>
        <w:divId w:val="1980067899"/>
        <w:rPr>
          <w:rFonts w:eastAsia="Times New Roman"/>
        </w:rPr>
      </w:pPr>
      <w:r>
        <w:rPr>
          <w:rFonts w:eastAsia="Times New Roman"/>
          <w:color w:val="000000"/>
          <w:sz w:val="20"/>
          <w:szCs w:val="20"/>
        </w:rPr>
        <w:t>55</w:t>
      </w:r>
    </w:p>
    <w:p w:rsidR="00000000" w:rsidRDefault="005C524C">
      <w:pPr>
        <w:rPr>
          <w:rFonts w:eastAsia="Times New Roman"/>
        </w:rPr>
      </w:pPr>
      <w:r>
        <w:rPr>
          <w:rFonts w:eastAsia="Times New Roman"/>
        </w:rPr>
        <w:pict>
          <v:rect id="_x0000_i1081" style="width:0;height:1.5pt" o:hralign="center" o:hrstd="t" o:hr="t" fillcolor="#a0a0a0" stroked="f"/>
        </w:pict>
      </w:r>
    </w:p>
    <w:p w:rsidR="00000000" w:rsidRDefault="005C524C">
      <w:pPr>
        <w:divId w:val="3474388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85055682"/>
        <w:rPr>
          <w:rFonts w:eastAsia="Times New Roman"/>
        </w:rPr>
      </w:pPr>
      <w:r>
        <w:rPr>
          <w:rFonts w:eastAsia="Times New Roman"/>
          <w:b/>
          <w:bCs/>
          <w:color w:val="000000"/>
          <w:sz w:val="20"/>
          <w:szCs w:val="20"/>
        </w:rPr>
        <w:t>EQUITABLE HOLDINGS, INC.</w:t>
      </w:r>
    </w:p>
    <w:p w:rsidR="00000000" w:rsidRDefault="005C524C">
      <w:pPr>
        <w:jc w:val="center"/>
        <w:divId w:val="68505568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85055682"/>
        <w:rPr>
          <w:rFonts w:eastAsia="Times New Roman"/>
        </w:rPr>
      </w:pPr>
    </w:p>
    <w:p w:rsidR="00000000" w:rsidRDefault="005C524C">
      <w:pPr>
        <w:divId w:val="116678447"/>
        <w:rPr>
          <w:rFonts w:eastAsia="Times New Roman"/>
        </w:rPr>
      </w:pPr>
      <w:r>
        <w:rPr>
          <w:rFonts w:eastAsia="Times New Roman"/>
          <w:color w:val="000000"/>
          <w:sz w:val="20"/>
          <w:szCs w:val="20"/>
        </w:rPr>
        <w:t>Reinsurance, while decreases in withdrawal rates and volatility rates would tend to de</w:t>
      </w:r>
      <w:r>
        <w:rPr>
          <w:rFonts w:eastAsia="Times New Roman"/>
          <w:color w:val="000000"/>
          <w:sz w:val="20"/>
          <w:szCs w:val="20"/>
        </w:rPr>
        <w:t>crease the GMIB NLG liability and GMIB NLG Reinsurance.</w:t>
      </w:r>
    </w:p>
    <w:p w:rsidR="00000000" w:rsidRDefault="005C524C">
      <w:pPr>
        <w:divId w:val="750857320"/>
        <w:rPr>
          <w:rFonts w:eastAsia="Times New Roman"/>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w:t>
      </w:r>
      <w:r>
        <w:rPr>
          <w:rFonts w:eastAsia="Times New Roman"/>
          <w:color w:val="000000"/>
          <w:sz w:val="20"/>
          <w:szCs w:val="20"/>
        </w:rPr>
        <w:t>ases in lapse rates in isolation would tend to increase these liabilities. Increases in volatility would increase these liabilities.</w:t>
      </w:r>
    </w:p>
    <w:p w:rsidR="00000000" w:rsidRDefault="005C524C">
      <w:pPr>
        <w:jc w:val="both"/>
        <w:divId w:val="628364540"/>
        <w:rPr>
          <w:rFonts w:eastAsia="Times New Roman"/>
        </w:rPr>
      </w:pPr>
      <w:r>
        <w:rPr>
          <w:rFonts w:eastAsia="Times New Roman"/>
          <w:color w:val="000000"/>
          <w:sz w:val="20"/>
          <w:szCs w:val="20"/>
          <w:u w:val="single"/>
        </w:rPr>
        <w:t>Carrying Value of Financial Instruments Not Otherwise Disclosed in Note 3 and Note 4 of the Notes to these Consolidated Fin</w:t>
      </w:r>
      <w:r>
        <w:rPr>
          <w:rFonts w:eastAsia="Times New Roman"/>
          <w:color w:val="000000"/>
          <w:sz w:val="20"/>
          <w:szCs w:val="20"/>
          <w:u w:val="single"/>
        </w:rPr>
        <w:t>ancial Statements</w:t>
      </w:r>
    </w:p>
    <w:p w:rsidR="00000000" w:rsidRDefault="005C524C">
      <w:pPr>
        <w:divId w:val="273290055"/>
        <w:rPr>
          <w:rFonts w:eastAsia="Times New Roman"/>
        </w:rPr>
      </w:pPr>
      <w:r>
        <w:rPr>
          <w:rFonts w:eastAsia="Times New Roman"/>
          <w:color w:val="000000"/>
          <w:sz w:val="20"/>
          <w:szCs w:val="20"/>
        </w:rPr>
        <w:t>The carrying values and fair values as of June 30, 2022 and December 31, 2021 for financial instruments not otherwise disclosed in Note 3 and Note 4 of the Notes to these Consolidated Financial Statements are presented in the table below.</w:t>
      </w:r>
    </w:p>
    <w:p w:rsidR="00000000" w:rsidRDefault="005C524C">
      <w:pPr>
        <w:jc w:val="center"/>
        <w:rPr>
          <w:rFonts w:eastAsia="Times New Roman"/>
        </w:rPr>
      </w:pPr>
      <w:r>
        <w:rPr>
          <w:rFonts w:eastAsia="Times New Roman"/>
          <w:b/>
          <w:bCs/>
          <w:color w:val="000000"/>
          <w:sz w:val="20"/>
          <w:szCs w:val="20"/>
        </w:rPr>
        <w:t>Carrying Values and Fair Values for Financial Instruments Not Otherwise Disclosed</w:t>
      </w:r>
    </w:p>
    <w:p w:rsidR="00000000" w:rsidRDefault="005C524C">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85"/>
        <w:gridCol w:w="38"/>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3"/>
        <w:gridCol w:w="36"/>
      </w:tblGrid>
      <w:tr w:rsidR="00000000">
        <w:trPr>
          <w:divId w:val="1724720732"/>
          <w:jc w:val="center"/>
        </w:trPr>
        <w:tc>
          <w:tcPr>
            <w:tcW w:w="50" w:type="pct"/>
            <w:vAlign w:val="center"/>
            <w:hideMark/>
          </w:tcPr>
          <w:p w:rsidR="00000000" w:rsidRDefault="005C524C">
            <w:pPr>
              <w:jc w:val="center"/>
              <w:rPr>
                <w:rFonts w:eastAsia="Times New Roman"/>
              </w:rPr>
            </w:pPr>
          </w:p>
        </w:tc>
        <w:tc>
          <w:tcPr>
            <w:tcW w:w="207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724720732"/>
          <w:trHeight w:val="240"/>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r>
      <w:tr w:rsidR="00000000">
        <w:trPr>
          <w:divId w:val="1724720732"/>
          <w:trHeight w:val="240"/>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5C524C">
            <w:pPr>
              <w:spacing w:after="100"/>
              <w:rPr>
                <w:rFonts w:eastAsia="Times New Roman"/>
              </w:rPr>
            </w:pPr>
          </w:p>
        </w:tc>
        <w:tc>
          <w:tcPr>
            <w:tcW w:w="0" w:type="auto"/>
            <w:gridSpan w:val="3"/>
            <w:vMerge/>
            <w:vAlign w:val="center"/>
            <w:hideMark/>
          </w:tcPr>
          <w:p w:rsidR="00000000" w:rsidRDefault="005C524C">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w:t>
            </w:r>
          </w:p>
        </w:tc>
      </w:tr>
      <w:tr w:rsidR="00000000">
        <w:trPr>
          <w:divId w:val="1724720732"/>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724720732"/>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Policyholders’ liabilities: Investment contracts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6,077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6,077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and long-term debt (1)</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24720732"/>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14,308 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Policy loans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2,035 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2,103 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6,647 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6,689 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and long-term debt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724720732"/>
          <w:jc w:val="center"/>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980383313"/>
        <w:rPr>
          <w:rFonts w:eastAsia="Times New Roman"/>
        </w:rPr>
      </w:pPr>
      <w:r>
        <w:rPr>
          <w:rFonts w:eastAsia="Times New Roman"/>
          <w:color w:val="000000"/>
          <w:sz w:val="18"/>
          <w:szCs w:val="18"/>
        </w:rPr>
        <w:t>_____________</w:t>
      </w:r>
    </w:p>
    <w:p w:rsidR="00000000" w:rsidRDefault="005C524C">
      <w:pPr>
        <w:ind w:hanging="360"/>
        <w:divId w:val="579025135"/>
        <w:rPr>
          <w:rFonts w:eastAsia="Times New Roman"/>
        </w:rPr>
      </w:pPr>
      <w:r>
        <w:rPr>
          <w:rFonts w:eastAsia="Times New Roman"/>
          <w:color w:val="000000"/>
          <w:sz w:val="18"/>
          <w:szCs w:val="18"/>
        </w:rPr>
        <w:t xml:space="preserve">(1)As of </w:t>
      </w:r>
      <w:r>
        <w:rPr>
          <w:rFonts w:eastAsia="Times New Roman"/>
          <w:color w:val="000000"/>
          <w:sz w:val="20"/>
          <w:szCs w:val="20"/>
        </w:rPr>
        <w:t>June 30, 2022 and December 31, 2021 e</w:t>
      </w:r>
      <w:r>
        <w:rPr>
          <w:rFonts w:eastAsia="Times New Roman"/>
          <w:color w:val="000000"/>
          <w:sz w:val="18"/>
          <w:szCs w:val="18"/>
        </w:rPr>
        <w:t>xcludes CLO short-term debt of $245 million and $92 </w:t>
      </w:r>
      <w:r>
        <w:rPr>
          <w:rFonts w:eastAsia="Times New Roman"/>
          <w:color w:val="000000"/>
          <w:sz w:val="18"/>
          <w:szCs w:val="18"/>
        </w:rPr>
        <w:t>million</w:t>
      </w:r>
      <w:r>
        <w:rPr>
          <w:rFonts w:eastAsia="Times New Roman"/>
          <w:color w:val="000000"/>
          <w:sz w:val="20"/>
          <w:szCs w:val="20"/>
        </w:rPr>
        <w:t xml:space="preserve">, </w:t>
      </w:r>
      <w:r>
        <w:rPr>
          <w:rFonts w:eastAsia="Times New Roman"/>
          <w:color w:val="000000"/>
          <w:sz w:val="18"/>
          <w:szCs w:val="18"/>
        </w:rPr>
        <w:t>which is inclusive as fair valued within Notes issued by consolidated VIE’s, at fair value using the fair value option.</w:t>
      </w:r>
    </w:p>
    <w:p w:rsidR="00000000" w:rsidRDefault="005C524C">
      <w:pPr>
        <w:ind w:hanging="360"/>
        <w:divId w:val="1159878975"/>
        <w:rPr>
          <w:rFonts w:eastAsia="Times New Roman"/>
        </w:rPr>
      </w:pPr>
    </w:p>
    <w:p w:rsidR="00000000" w:rsidRDefault="005C524C">
      <w:pPr>
        <w:jc w:val="both"/>
        <w:divId w:val="1645349414"/>
        <w:rPr>
          <w:rFonts w:eastAsia="Times New Roman"/>
        </w:rPr>
      </w:pPr>
      <w:r>
        <w:rPr>
          <w:rFonts w:eastAsia="Times New Roman"/>
          <w:b/>
          <w:bCs/>
          <w:i/>
          <w:iCs/>
          <w:color w:val="000000"/>
          <w:sz w:val="20"/>
          <w:szCs w:val="20"/>
        </w:rPr>
        <w:t>Mortgage Loans on Real Estate</w:t>
      </w:r>
    </w:p>
    <w:p w:rsidR="00000000" w:rsidRDefault="005C524C">
      <w:pPr>
        <w:divId w:val="1470123519"/>
        <w:rPr>
          <w:rFonts w:eastAsia="Times New Roman"/>
        </w:rPr>
      </w:pPr>
      <w:r>
        <w:rPr>
          <w:rFonts w:eastAsia="Times New Roman"/>
          <w:color w:val="000000"/>
          <w:sz w:val="20"/>
          <w:szCs w:val="20"/>
        </w:rPr>
        <w:t>Fair values for commercial and agricultural mortgage loans on real estate are measured by discounting future contractual cash flows to be received on the mortgage loan using interest rates at which loans with similar characteristics and credit quality woul</w:t>
      </w:r>
      <w:r>
        <w:rPr>
          <w:rFonts w:eastAsia="Times New Roman"/>
          <w:color w:val="000000"/>
          <w:sz w:val="20"/>
          <w:szCs w:val="20"/>
        </w:rPr>
        <w:t>d be made. The discount rate is derived based on the appropriate U.S. Treasury rate with a like term to the remaining term of the loan to which a spread reflective of the risk premium associated with the specific loan is added. Fair values for mortgage loa</w:t>
      </w:r>
      <w:r>
        <w:rPr>
          <w:rFonts w:eastAsia="Times New Roman"/>
          <w:color w:val="000000"/>
          <w:sz w:val="20"/>
          <w:szCs w:val="20"/>
        </w:rPr>
        <w:t>ns anticipated to be foreclosed and problem mortgage loans are limited to the fair value of the underlying collateral, if lower.</w:t>
      </w:r>
    </w:p>
    <w:p w:rsidR="00000000" w:rsidRDefault="005C524C">
      <w:pPr>
        <w:jc w:val="center"/>
        <w:divId w:val="1504203868"/>
        <w:rPr>
          <w:rFonts w:eastAsia="Times New Roman"/>
        </w:rPr>
      </w:pPr>
    </w:p>
    <w:p w:rsidR="00000000" w:rsidRDefault="005C524C">
      <w:pPr>
        <w:jc w:val="center"/>
        <w:divId w:val="1504203868"/>
        <w:rPr>
          <w:rFonts w:eastAsia="Times New Roman"/>
        </w:rPr>
      </w:pPr>
      <w:r>
        <w:rPr>
          <w:rFonts w:eastAsia="Times New Roman"/>
          <w:color w:val="000000"/>
          <w:sz w:val="20"/>
          <w:szCs w:val="20"/>
        </w:rPr>
        <w:t>56</w:t>
      </w:r>
    </w:p>
    <w:p w:rsidR="00000000" w:rsidRDefault="005C524C">
      <w:pPr>
        <w:rPr>
          <w:rFonts w:eastAsia="Times New Roman"/>
        </w:rPr>
      </w:pPr>
      <w:r>
        <w:rPr>
          <w:rFonts w:eastAsia="Times New Roman"/>
        </w:rPr>
        <w:pict>
          <v:rect id="_x0000_i1082" style="width:0;height:1.5pt" o:hralign="center" o:hrstd="t" o:hr="t" fillcolor="#a0a0a0" stroked="f"/>
        </w:pict>
      </w:r>
    </w:p>
    <w:p w:rsidR="00000000" w:rsidRDefault="005C524C">
      <w:pPr>
        <w:divId w:val="85723587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647245172"/>
        <w:rPr>
          <w:rFonts w:eastAsia="Times New Roman"/>
        </w:rPr>
      </w:pPr>
      <w:r>
        <w:rPr>
          <w:rFonts w:eastAsia="Times New Roman"/>
          <w:b/>
          <w:bCs/>
          <w:color w:val="000000"/>
          <w:sz w:val="20"/>
          <w:szCs w:val="20"/>
        </w:rPr>
        <w:t>EQUITABLE</w:t>
      </w:r>
      <w:r>
        <w:rPr>
          <w:rFonts w:eastAsia="Times New Roman"/>
          <w:b/>
          <w:bCs/>
          <w:color w:val="000000"/>
          <w:sz w:val="20"/>
          <w:szCs w:val="20"/>
        </w:rPr>
        <w:t xml:space="preserve"> HOLDINGS, INC.</w:t>
      </w:r>
    </w:p>
    <w:p w:rsidR="00000000" w:rsidRDefault="005C524C">
      <w:pPr>
        <w:jc w:val="center"/>
        <w:divId w:val="64724517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647245172"/>
        <w:rPr>
          <w:rFonts w:eastAsia="Times New Roman"/>
        </w:rPr>
      </w:pPr>
    </w:p>
    <w:p w:rsidR="00000000" w:rsidRDefault="005C524C">
      <w:pPr>
        <w:jc w:val="both"/>
        <w:divId w:val="1374378195"/>
        <w:rPr>
          <w:rFonts w:eastAsia="Times New Roman"/>
        </w:rPr>
      </w:pPr>
      <w:r>
        <w:rPr>
          <w:rFonts w:eastAsia="Times New Roman"/>
          <w:b/>
          <w:bCs/>
          <w:i/>
          <w:iCs/>
          <w:color w:val="000000"/>
          <w:sz w:val="20"/>
          <w:szCs w:val="20"/>
        </w:rPr>
        <w:t>Policy Loans</w:t>
      </w:r>
    </w:p>
    <w:p w:rsidR="00000000" w:rsidRDefault="005C524C">
      <w:pPr>
        <w:divId w:val="1048720588"/>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r>
        <w:rPr>
          <w:rFonts w:eastAsia="Times New Roman"/>
          <w:color w:val="000000"/>
          <w:sz w:val="20"/>
          <w:szCs w:val="20"/>
        </w:rPr>
        <w:t>.</w:t>
      </w:r>
    </w:p>
    <w:p w:rsidR="00000000" w:rsidRDefault="005C524C">
      <w:pPr>
        <w:jc w:val="both"/>
        <w:divId w:val="334234348"/>
        <w:rPr>
          <w:rFonts w:eastAsia="Times New Roman"/>
        </w:rPr>
      </w:pPr>
      <w:r>
        <w:rPr>
          <w:rFonts w:eastAsia="Times New Roman"/>
          <w:b/>
          <w:bCs/>
          <w:i/>
          <w:iCs/>
          <w:color w:val="000000"/>
          <w:sz w:val="20"/>
          <w:szCs w:val="20"/>
        </w:rPr>
        <w:t>Short-term and Long-term Debt</w:t>
      </w:r>
    </w:p>
    <w:p w:rsidR="00000000" w:rsidRDefault="005C524C">
      <w:pPr>
        <w:divId w:val="773745798"/>
        <w:rPr>
          <w:rFonts w:eastAsia="Times New Roman"/>
        </w:rPr>
      </w:pPr>
      <w:r>
        <w:rPr>
          <w:rFonts w:eastAsia="Times New Roman"/>
          <w:color w:val="000000"/>
          <w:sz w:val="20"/>
          <w:szCs w:val="20"/>
        </w:rPr>
        <w:t>The Company’s short-term debt primarily includes commercial paper with short-term maturities and carrying value approximates fair value. The fair values for the Company’s long-term debt are determined by Bloomberg’s evaluate</w:t>
      </w:r>
      <w:r>
        <w:rPr>
          <w:rFonts w:eastAsia="Times New Roman"/>
          <w:color w:val="000000"/>
          <w:sz w:val="20"/>
          <w:szCs w:val="20"/>
        </w:rPr>
        <w:t xml:space="preserve">d pricing service, which uses direct observations or observed comparables. </w:t>
      </w:r>
    </w:p>
    <w:p w:rsidR="00000000" w:rsidRDefault="005C524C">
      <w:pPr>
        <w:jc w:val="both"/>
        <w:divId w:val="153303689"/>
        <w:rPr>
          <w:rFonts w:eastAsia="Times New Roman"/>
        </w:rPr>
      </w:pPr>
      <w:r>
        <w:rPr>
          <w:rFonts w:eastAsia="Times New Roman"/>
          <w:b/>
          <w:bCs/>
          <w:i/>
          <w:iCs/>
          <w:color w:val="000000"/>
          <w:sz w:val="20"/>
          <w:szCs w:val="20"/>
        </w:rPr>
        <w:t>FHLB Funding Agreements</w:t>
      </w:r>
    </w:p>
    <w:p w:rsidR="00000000" w:rsidRDefault="005C524C">
      <w:pPr>
        <w:divId w:val="1092774801"/>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w:t>
      </w:r>
      <w:r>
        <w:rPr>
          <w:rFonts w:eastAsia="Times New Roman"/>
          <w:color w:val="000000"/>
          <w:sz w:val="20"/>
          <w:szCs w:val="20"/>
        </w:rPr>
        <w:t>lished by the FHLB.</w:t>
      </w:r>
    </w:p>
    <w:p w:rsidR="00000000" w:rsidRDefault="005C524C">
      <w:pPr>
        <w:jc w:val="both"/>
        <w:divId w:val="1160343478"/>
        <w:rPr>
          <w:rFonts w:eastAsia="Times New Roman"/>
        </w:rPr>
      </w:pPr>
      <w:r>
        <w:rPr>
          <w:rFonts w:eastAsia="Times New Roman"/>
          <w:b/>
          <w:bCs/>
          <w:i/>
          <w:iCs/>
          <w:color w:val="000000"/>
          <w:sz w:val="20"/>
          <w:szCs w:val="20"/>
        </w:rPr>
        <w:t>FABN Funding Agreements</w:t>
      </w:r>
    </w:p>
    <w:p w:rsidR="00000000" w:rsidRDefault="005C524C">
      <w:pPr>
        <w:divId w:val="934434425"/>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observed comparables.</w:t>
      </w:r>
    </w:p>
    <w:p w:rsidR="00000000" w:rsidRDefault="005C524C">
      <w:pPr>
        <w:jc w:val="both"/>
        <w:divId w:val="1919363782"/>
        <w:rPr>
          <w:rFonts w:eastAsia="Times New Roman"/>
        </w:rPr>
      </w:pPr>
      <w:r>
        <w:rPr>
          <w:rFonts w:eastAsia="Times New Roman"/>
          <w:b/>
          <w:bCs/>
          <w:i/>
          <w:iCs/>
          <w:color w:val="000000"/>
          <w:sz w:val="20"/>
          <w:szCs w:val="20"/>
        </w:rPr>
        <w:t>Policyholder Liabilities - Investm</w:t>
      </w:r>
      <w:r>
        <w:rPr>
          <w:rFonts w:eastAsia="Times New Roman"/>
          <w:b/>
          <w:bCs/>
          <w:i/>
          <w:iCs/>
          <w:color w:val="000000"/>
          <w:sz w:val="20"/>
          <w:szCs w:val="20"/>
        </w:rPr>
        <w:t>ent Contracts and Separate Accounts Liabilities</w:t>
      </w:r>
    </w:p>
    <w:p w:rsidR="00000000" w:rsidRDefault="005C524C">
      <w:pPr>
        <w:divId w:val="2080787680"/>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investments in Separate Accounts, are es</w:t>
      </w:r>
      <w:r>
        <w:rPr>
          <w:rFonts w:eastAsia="Times New Roman"/>
          <w:color w:val="000000"/>
          <w:sz w:val="20"/>
          <w:szCs w:val="20"/>
        </w:rPr>
        <w:t>timated using projected cash flows discounted at rates reflecting current market rates. Significant unobservable inputs reflected in the cash flows include lapse rates and withdrawal rates. Incremental adjustments may be made to the fair value to reflect n</w:t>
      </w:r>
      <w:r>
        <w:rPr>
          <w:rFonts w:eastAsia="Times New Roman"/>
          <w:color w:val="000000"/>
          <w:sz w:val="20"/>
          <w:szCs w:val="20"/>
        </w:rPr>
        <w:t>on-performance risk. Certain other products such as the Company’s association plans contracts, supplementary contracts not involving life contingencies, Access Accounts and Escrow Shield Plus product reserves are held at book value.</w:t>
      </w:r>
    </w:p>
    <w:p w:rsidR="00000000" w:rsidRDefault="005C524C">
      <w:pPr>
        <w:divId w:val="974334976"/>
        <w:rPr>
          <w:rFonts w:eastAsia="Times New Roman"/>
        </w:rPr>
      </w:pPr>
      <w:r>
        <w:rPr>
          <w:rFonts w:eastAsia="Times New Roman"/>
          <w:color w:val="000000"/>
          <w:sz w:val="20"/>
          <w:szCs w:val="20"/>
          <w:u w:val="single"/>
        </w:rPr>
        <w:t>Financial Instruments E</w:t>
      </w:r>
      <w:r>
        <w:rPr>
          <w:rFonts w:eastAsia="Times New Roman"/>
          <w:color w:val="000000"/>
          <w:sz w:val="20"/>
          <w:szCs w:val="20"/>
          <w:u w:val="single"/>
        </w:rPr>
        <w:t>xempt from Fair Value Disclosure or Otherwise Not Required to be Disclosed</w:t>
      </w:r>
    </w:p>
    <w:p w:rsidR="00000000" w:rsidRDefault="005C524C">
      <w:pPr>
        <w:jc w:val="both"/>
        <w:divId w:val="198713525"/>
        <w:rPr>
          <w:rFonts w:eastAsia="Times New Roman"/>
        </w:rPr>
      </w:pPr>
      <w:r>
        <w:rPr>
          <w:rFonts w:eastAsia="Times New Roman"/>
          <w:b/>
          <w:bCs/>
          <w:i/>
          <w:iCs/>
          <w:color w:val="000000"/>
          <w:sz w:val="20"/>
          <w:szCs w:val="20"/>
        </w:rPr>
        <w:t>Exempt from Fair Value Disclosure Requirements</w:t>
      </w:r>
    </w:p>
    <w:p w:rsidR="00000000" w:rsidRDefault="005C524C">
      <w:pPr>
        <w:divId w:val="1481775276"/>
        <w:rPr>
          <w:rFonts w:eastAsia="Times New Roman"/>
        </w:rPr>
      </w:pPr>
      <w:r>
        <w:rPr>
          <w:rFonts w:eastAsia="Times New Roman"/>
          <w:color w:val="000000"/>
          <w:sz w:val="20"/>
          <w:szCs w:val="20"/>
        </w:rPr>
        <w:t>Certain financial instruments are exempt from the requirements for fair value disclosure, such as insurance liabilities other than fin</w:t>
      </w:r>
      <w:r>
        <w:rPr>
          <w:rFonts w:eastAsia="Times New Roman"/>
          <w:color w:val="000000"/>
          <w:sz w:val="20"/>
          <w:szCs w:val="20"/>
        </w:rPr>
        <w:t xml:space="preserve">ancial guarantees and investment contracts, limited partnerships accounted for under the equity method and pension and other postretirement obligations. </w:t>
      </w:r>
    </w:p>
    <w:p w:rsidR="00000000" w:rsidRDefault="005C524C">
      <w:pPr>
        <w:jc w:val="both"/>
        <w:divId w:val="205725370"/>
        <w:rPr>
          <w:rFonts w:eastAsia="Times New Roman"/>
        </w:rPr>
      </w:pPr>
      <w:r>
        <w:rPr>
          <w:rFonts w:eastAsia="Times New Roman"/>
          <w:b/>
          <w:bCs/>
          <w:i/>
          <w:iCs/>
          <w:color w:val="000000"/>
          <w:sz w:val="20"/>
          <w:szCs w:val="20"/>
        </w:rPr>
        <w:t>Otherwise Not Required to be Included in the Table Above</w:t>
      </w:r>
    </w:p>
    <w:p w:rsidR="00000000" w:rsidRDefault="005C524C">
      <w:pPr>
        <w:divId w:val="1604990651"/>
        <w:rPr>
          <w:rFonts w:eastAsia="Times New Roman"/>
        </w:rPr>
      </w:pPr>
      <w:r>
        <w:rPr>
          <w:rFonts w:eastAsia="Times New Roman"/>
          <w:color w:val="000000"/>
          <w:sz w:val="20"/>
          <w:szCs w:val="20"/>
        </w:rPr>
        <w:t>The Company’s investment in COLI policies are</w:t>
      </w:r>
      <w:r>
        <w:rPr>
          <w:rFonts w:eastAsia="Times New Roman"/>
          <w:color w:val="000000"/>
          <w:sz w:val="20"/>
          <w:szCs w:val="20"/>
        </w:rPr>
        <w:t xml:space="preserve"> recorded at their cash surrender value and are therefore not required to be included in the table above. See Note 2 of the Notes to these Consolidated Financial Statements for further description of the Company’s accounting policy related to its investmen</w:t>
      </w:r>
      <w:r>
        <w:rPr>
          <w:rFonts w:eastAsia="Times New Roman"/>
          <w:color w:val="000000"/>
          <w:sz w:val="20"/>
          <w:szCs w:val="20"/>
        </w:rPr>
        <w:t>t in COLI policies.</w:t>
      </w:r>
    </w:p>
    <w:p w:rsidR="00000000" w:rsidRDefault="005C524C">
      <w:pPr>
        <w:divId w:val="793207732"/>
        <w:rPr>
          <w:rFonts w:eastAsia="Times New Roman"/>
        </w:rPr>
      </w:pPr>
      <w:r>
        <w:rPr>
          <w:rFonts w:eastAsia="Times New Roman"/>
          <w:b/>
          <w:bCs/>
          <w:color w:val="000000"/>
          <w:sz w:val="20"/>
          <w:szCs w:val="20"/>
        </w:rPr>
        <w:t xml:space="preserve">8)    EMPLOYEE BENEFIT PLANS </w:t>
      </w:r>
    </w:p>
    <w:p w:rsidR="00000000" w:rsidRDefault="005C524C">
      <w:pPr>
        <w:divId w:val="376320386"/>
        <w:rPr>
          <w:rFonts w:eastAsia="Times New Roman"/>
        </w:rPr>
      </w:pPr>
      <w:r>
        <w:rPr>
          <w:rFonts w:eastAsia="Times New Roman"/>
          <w:color w:val="000000"/>
          <w:sz w:val="20"/>
          <w:szCs w:val="20"/>
          <w:u w:val="single"/>
        </w:rPr>
        <w:t>Pension Plans</w:t>
      </w:r>
    </w:p>
    <w:p w:rsidR="00000000" w:rsidRDefault="005C524C">
      <w:pPr>
        <w:jc w:val="both"/>
        <w:divId w:val="1733767915"/>
        <w:rPr>
          <w:rFonts w:eastAsia="Times New Roman"/>
        </w:rPr>
      </w:pPr>
      <w:r>
        <w:rPr>
          <w:rFonts w:eastAsia="Times New Roman"/>
          <w:b/>
          <w:bCs/>
          <w:i/>
          <w:iCs/>
          <w:color w:val="000000"/>
          <w:sz w:val="20"/>
          <w:szCs w:val="20"/>
        </w:rPr>
        <w:t>Holdings and Equitable Financial Retirement Plans</w:t>
      </w:r>
    </w:p>
    <w:p w:rsidR="00000000" w:rsidRDefault="005C524C">
      <w:pPr>
        <w:divId w:val="1920872125"/>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Financial QP”), both of which are frozen qualified defined benefit plans covering eligible employee</w:t>
      </w:r>
      <w:r>
        <w:rPr>
          <w:rFonts w:eastAsia="Times New Roman"/>
          <w:color w:val="000000"/>
          <w:sz w:val="20"/>
          <w:szCs w:val="20"/>
        </w:rPr>
        <w:t>s and financial professionals. These pension plans are non-contributory, and their benefits are generally based on a cash balance formula and/or, for certain participants, years of service and average earnings over a specified period. Holdings and Equitabl</w:t>
      </w:r>
      <w:r>
        <w:rPr>
          <w:rFonts w:eastAsia="Times New Roman"/>
          <w:color w:val="000000"/>
          <w:sz w:val="20"/>
          <w:szCs w:val="20"/>
        </w:rPr>
        <w:t xml:space="preserve">e Financial also sponsor certain nonqualified defined benefit plans, including the Equitable Excess Retirement Plan, that provide retirement benefits in excess of the amount permitted under the tax law for the qualified plans. Holdings has assumed primary </w:t>
      </w:r>
      <w:r>
        <w:rPr>
          <w:rFonts w:eastAsia="Times New Roman"/>
          <w:color w:val="000000"/>
          <w:sz w:val="20"/>
          <w:szCs w:val="20"/>
        </w:rPr>
        <w:t>liability for both plans. Equitable Financial remains secondarily liable for its obligations under the Equitable Financial QP and would recognize such liability in the event Holdings does not perform.</w:t>
      </w:r>
    </w:p>
    <w:p w:rsidR="00000000" w:rsidRDefault="005C524C">
      <w:pPr>
        <w:jc w:val="center"/>
        <w:divId w:val="829172813"/>
        <w:rPr>
          <w:rFonts w:eastAsia="Times New Roman"/>
        </w:rPr>
      </w:pPr>
    </w:p>
    <w:p w:rsidR="00000000" w:rsidRDefault="005C524C">
      <w:pPr>
        <w:jc w:val="center"/>
        <w:divId w:val="829172813"/>
        <w:rPr>
          <w:rFonts w:eastAsia="Times New Roman"/>
        </w:rPr>
      </w:pPr>
      <w:r>
        <w:rPr>
          <w:rFonts w:eastAsia="Times New Roman"/>
          <w:color w:val="000000"/>
          <w:sz w:val="20"/>
          <w:szCs w:val="20"/>
        </w:rPr>
        <w:t>57</w:t>
      </w:r>
    </w:p>
    <w:p w:rsidR="00000000" w:rsidRDefault="005C524C">
      <w:pPr>
        <w:rPr>
          <w:rFonts w:eastAsia="Times New Roman"/>
        </w:rPr>
      </w:pPr>
      <w:r>
        <w:rPr>
          <w:rFonts w:eastAsia="Times New Roman"/>
        </w:rPr>
        <w:pict>
          <v:rect id="_x0000_i1083" style="width:0;height:1.5pt" o:hralign="center" o:hrstd="t" o:hr="t" fillcolor="#a0a0a0" stroked="f"/>
        </w:pict>
      </w:r>
    </w:p>
    <w:p w:rsidR="00000000" w:rsidRDefault="005C524C">
      <w:pPr>
        <w:divId w:val="42723810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91666696"/>
        <w:rPr>
          <w:rFonts w:eastAsia="Times New Roman"/>
        </w:rPr>
      </w:pPr>
      <w:r>
        <w:rPr>
          <w:rFonts w:eastAsia="Times New Roman"/>
          <w:b/>
          <w:bCs/>
          <w:color w:val="000000"/>
          <w:sz w:val="20"/>
          <w:szCs w:val="20"/>
        </w:rPr>
        <w:t>EQUITABLE HOLDINGS, INC.</w:t>
      </w:r>
    </w:p>
    <w:p w:rsidR="00000000" w:rsidRDefault="005C524C">
      <w:pPr>
        <w:jc w:val="center"/>
        <w:divId w:val="129166669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291666696"/>
        <w:rPr>
          <w:rFonts w:eastAsia="Times New Roman"/>
        </w:rPr>
      </w:pPr>
    </w:p>
    <w:p w:rsidR="00000000" w:rsidRDefault="005C524C">
      <w:pPr>
        <w:jc w:val="both"/>
        <w:divId w:val="1393386020"/>
        <w:rPr>
          <w:rFonts w:eastAsia="Times New Roman"/>
        </w:rPr>
      </w:pPr>
      <w:r>
        <w:rPr>
          <w:rFonts w:eastAsia="Times New Roman"/>
          <w:b/>
          <w:bCs/>
          <w:i/>
          <w:iCs/>
          <w:color w:val="000000"/>
          <w:sz w:val="20"/>
          <w:szCs w:val="20"/>
        </w:rPr>
        <w:t>AB Retirement Plans</w:t>
      </w:r>
    </w:p>
    <w:p w:rsidR="00000000" w:rsidRDefault="005C524C">
      <w:pPr>
        <w:divId w:val="699282188"/>
        <w:rPr>
          <w:rFonts w:eastAsia="Times New Roman"/>
        </w:rPr>
      </w:pPr>
      <w:r>
        <w:rPr>
          <w:rFonts w:eastAsia="Times New Roman"/>
          <w:color w:val="000000"/>
          <w:sz w:val="20"/>
          <w:szCs w:val="20"/>
        </w:rPr>
        <w:t>AB maintains a qualified, non-</w:t>
      </w:r>
      <w:r>
        <w:rPr>
          <w:rFonts w:eastAsia="Times New Roman"/>
          <w:color w:val="000000"/>
          <w:sz w:val="20"/>
          <w:szCs w:val="20"/>
        </w:rPr>
        <w:t>contributory, defined benefit retirement plan covering current and former employees who were employed by AB in the United States prior to October 2, 2000 (the “AB Plan”). Benefits under the AB Plan are based on years of credited service, average final base</w:t>
      </w:r>
      <w:r>
        <w:rPr>
          <w:rFonts w:eastAsia="Times New Roman"/>
          <w:color w:val="000000"/>
          <w:sz w:val="20"/>
          <w:szCs w:val="20"/>
        </w:rPr>
        <w:t xml:space="preserve"> salary, and primary Social Security benefits.</w:t>
      </w:r>
    </w:p>
    <w:p w:rsidR="00000000" w:rsidRDefault="005C524C">
      <w:pPr>
        <w:jc w:val="both"/>
        <w:divId w:val="1688555386"/>
        <w:rPr>
          <w:rFonts w:eastAsia="Times New Roman"/>
        </w:rPr>
      </w:pPr>
      <w:r>
        <w:rPr>
          <w:rFonts w:eastAsia="Times New Roman"/>
          <w:b/>
          <w:bCs/>
          <w:i/>
          <w:iCs/>
          <w:color w:val="000000"/>
          <w:sz w:val="20"/>
          <w:szCs w:val="20"/>
        </w:rPr>
        <w:t>Net Periodic Pension Expense</w:t>
      </w:r>
    </w:p>
    <w:p w:rsidR="00000000" w:rsidRDefault="005C524C">
      <w:pPr>
        <w:divId w:val="613246735"/>
        <w:rPr>
          <w:rFonts w:eastAsia="Times New Roman"/>
        </w:rPr>
      </w:pPr>
      <w:r>
        <w:rPr>
          <w:rFonts w:eastAsia="Times New Roman"/>
          <w:color w:val="000000"/>
          <w:sz w:val="20"/>
          <w:szCs w:val="20"/>
        </w:rPr>
        <w:t>Components of net periodic pension expense for the Company’s plans were as follows:</w:t>
      </w:r>
    </w:p>
    <w:tbl>
      <w:tblPr>
        <w:tblW w:w="4875" w:type="pct"/>
        <w:jc w:val="center"/>
        <w:tblCellMar>
          <w:top w:w="15" w:type="dxa"/>
          <w:left w:w="15" w:type="dxa"/>
          <w:bottom w:w="15" w:type="dxa"/>
          <w:right w:w="15" w:type="dxa"/>
        </w:tblCellMar>
        <w:tblLook w:val="04A0" w:firstRow="1" w:lastRow="0" w:firstColumn="1" w:lastColumn="0" w:noHBand="0" w:noVBand="1"/>
      </w:tblPr>
      <w:tblGrid>
        <w:gridCol w:w="39"/>
        <w:gridCol w:w="3183"/>
        <w:gridCol w:w="38"/>
        <w:gridCol w:w="120"/>
        <w:gridCol w:w="910"/>
        <w:gridCol w:w="36"/>
        <w:gridCol w:w="36"/>
        <w:gridCol w:w="36"/>
        <w:gridCol w:w="36"/>
        <w:gridCol w:w="121"/>
        <w:gridCol w:w="854"/>
        <w:gridCol w:w="37"/>
        <w:gridCol w:w="36"/>
        <w:gridCol w:w="36"/>
        <w:gridCol w:w="36"/>
        <w:gridCol w:w="120"/>
        <w:gridCol w:w="910"/>
        <w:gridCol w:w="36"/>
        <w:gridCol w:w="36"/>
        <w:gridCol w:w="36"/>
        <w:gridCol w:w="36"/>
        <w:gridCol w:w="120"/>
        <w:gridCol w:w="854"/>
        <w:gridCol w:w="36"/>
        <w:gridCol w:w="36"/>
        <w:gridCol w:w="36"/>
        <w:gridCol w:w="36"/>
        <w:gridCol w:w="36"/>
        <w:gridCol w:w="36"/>
        <w:gridCol w:w="36"/>
        <w:gridCol w:w="36"/>
        <w:gridCol w:w="36"/>
        <w:gridCol w:w="36"/>
        <w:gridCol w:w="36"/>
      </w:tblGrid>
      <w:tr w:rsidR="00000000">
        <w:trPr>
          <w:divId w:val="1933784365"/>
          <w:jc w:val="center"/>
        </w:trPr>
        <w:tc>
          <w:tcPr>
            <w:tcW w:w="50" w:type="pct"/>
            <w:vAlign w:val="center"/>
            <w:hideMark/>
          </w:tcPr>
          <w:p w:rsidR="00000000" w:rsidRDefault="005C524C">
            <w:pPr>
              <w:rPr>
                <w:rFonts w:eastAsia="Times New Roman"/>
              </w:rPr>
            </w:pPr>
          </w:p>
        </w:tc>
        <w:tc>
          <w:tcPr>
            <w:tcW w:w="211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Prior Period Svc Cost Amortization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amortization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Impact of settlement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378436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39880800"/>
        <w:rPr>
          <w:rFonts w:eastAsia="Times New Roman"/>
        </w:rPr>
      </w:pPr>
      <w:r>
        <w:rPr>
          <w:rFonts w:eastAsia="Times New Roman"/>
          <w:b/>
          <w:bCs/>
          <w:color w:val="000000"/>
          <w:sz w:val="20"/>
          <w:szCs w:val="20"/>
        </w:rPr>
        <w:t xml:space="preserve">9)    INCOME TAXES </w:t>
      </w:r>
    </w:p>
    <w:p w:rsidR="00000000" w:rsidRDefault="005C524C">
      <w:pPr>
        <w:divId w:val="892616232"/>
        <w:rPr>
          <w:rFonts w:eastAsia="Times New Roman"/>
        </w:rPr>
      </w:pPr>
      <w:r>
        <w:rPr>
          <w:rFonts w:eastAsia="Times New Roman"/>
          <w:color w:val="000000"/>
          <w:sz w:val="20"/>
          <w:szCs w:val="20"/>
        </w:rPr>
        <w:t xml:space="preserve">Income tax expense for the three and six months ended June 30, 2022 and 2021 was computed using an estimated </w:t>
      </w:r>
      <w:r>
        <w:rPr>
          <w:rFonts w:eastAsia="Times New Roman"/>
          <w:color w:val="000000"/>
          <w:sz w:val="20"/>
          <w:szCs w:val="20"/>
        </w:rPr>
        <w:t xml:space="preserve">annual effective tax rate (“ETR”), with discrete items recognized in the period in which they occur. The estimated ETR is revised, as necessary, at the end of successive interim reporting periods. </w:t>
      </w:r>
    </w:p>
    <w:p w:rsidR="00000000" w:rsidRDefault="005C524C">
      <w:pPr>
        <w:divId w:val="778450470"/>
        <w:rPr>
          <w:rFonts w:eastAsia="Times New Roman"/>
        </w:rPr>
      </w:pPr>
      <w:r>
        <w:rPr>
          <w:rFonts w:eastAsia="Times New Roman"/>
          <w:b/>
          <w:bCs/>
          <w:color w:val="000000"/>
          <w:sz w:val="20"/>
          <w:szCs w:val="20"/>
        </w:rPr>
        <w:t xml:space="preserve">10)    EQUITY </w:t>
      </w:r>
    </w:p>
    <w:p w:rsidR="00000000" w:rsidRDefault="005C524C">
      <w:pPr>
        <w:divId w:val="1889802844"/>
        <w:rPr>
          <w:rFonts w:eastAsia="Times New Roman"/>
        </w:rPr>
      </w:pPr>
      <w:r>
        <w:rPr>
          <w:rFonts w:eastAsia="Times New Roman"/>
          <w:color w:val="000000"/>
          <w:sz w:val="20"/>
          <w:szCs w:val="20"/>
          <w:u w:val="single"/>
        </w:rPr>
        <w:t xml:space="preserve">Preferred Stock </w:t>
      </w:r>
    </w:p>
    <w:p w:rsidR="00000000" w:rsidRDefault="005C524C">
      <w:pPr>
        <w:divId w:val="1435593191"/>
        <w:rPr>
          <w:rFonts w:eastAsia="Times New Roman"/>
        </w:rPr>
      </w:pPr>
      <w:r>
        <w:rPr>
          <w:rFonts w:eastAsia="Times New Roman"/>
          <w:color w:val="000000"/>
          <w:sz w:val="20"/>
          <w:szCs w:val="20"/>
        </w:rPr>
        <w:t>Preferred stock authorized</w:t>
      </w:r>
      <w:r>
        <w:rPr>
          <w:rFonts w:eastAsia="Times New Roman"/>
          <w:color w:val="000000"/>
          <w:sz w:val="20"/>
          <w:szCs w:val="20"/>
        </w:rPr>
        <w:t>, issued and outstanding was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2515"/>
        <w:gridCol w:w="36"/>
        <w:gridCol w:w="36"/>
        <w:gridCol w:w="36"/>
        <w:gridCol w:w="36"/>
        <w:gridCol w:w="77"/>
        <w:gridCol w:w="730"/>
        <w:gridCol w:w="36"/>
        <w:gridCol w:w="36"/>
        <w:gridCol w:w="36"/>
        <w:gridCol w:w="36"/>
        <w:gridCol w:w="59"/>
        <w:gridCol w:w="728"/>
        <w:gridCol w:w="36"/>
        <w:gridCol w:w="36"/>
        <w:gridCol w:w="36"/>
        <w:gridCol w:w="36"/>
        <w:gridCol w:w="84"/>
        <w:gridCol w:w="802"/>
        <w:gridCol w:w="36"/>
        <w:gridCol w:w="36"/>
        <w:gridCol w:w="36"/>
        <w:gridCol w:w="36"/>
        <w:gridCol w:w="72"/>
        <w:gridCol w:w="692"/>
        <w:gridCol w:w="37"/>
        <w:gridCol w:w="37"/>
        <w:gridCol w:w="37"/>
        <w:gridCol w:w="36"/>
        <w:gridCol w:w="59"/>
        <w:gridCol w:w="729"/>
        <w:gridCol w:w="36"/>
        <w:gridCol w:w="36"/>
        <w:gridCol w:w="36"/>
        <w:gridCol w:w="36"/>
        <w:gridCol w:w="78"/>
        <w:gridCol w:w="738"/>
        <w:gridCol w:w="36"/>
      </w:tblGrid>
      <w:tr w:rsidR="00000000">
        <w:trPr>
          <w:divId w:val="83840434"/>
        </w:trPr>
        <w:tc>
          <w:tcPr>
            <w:tcW w:w="50" w:type="pct"/>
            <w:vAlign w:val="center"/>
            <w:hideMark/>
          </w:tcPr>
          <w:p w:rsidR="00000000" w:rsidRDefault="005C524C">
            <w:pPr>
              <w:rPr>
                <w:rFonts w:eastAsia="Times New Roman"/>
              </w:rPr>
            </w:pPr>
          </w:p>
        </w:tc>
        <w:tc>
          <w:tcPr>
            <w:tcW w:w="153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4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8384043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divId w:val="8384043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Shares Outstanding</w:t>
            </w:r>
          </w:p>
        </w:tc>
      </w:tr>
      <w:tr w:rsidR="00000000">
        <w:trPr>
          <w:divId w:val="8384043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384043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384043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384043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1313025718"/>
        <w:rPr>
          <w:rFonts w:eastAsia="Times New Roman"/>
        </w:rPr>
      </w:pPr>
    </w:p>
    <w:p w:rsidR="00000000" w:rsidRDefault="005C524C">
      <w:pPr>
        <w:divId w:val="583144594"/>
        <w:rPr>
          <w:rFonts w:eastAsia="Times New Roman"/>
        </w:rPr>
      </w:pPr>
      <w:r>
        <w:rPr>
          <w:rFonts w:eastAsia="Times New Roman"/>
          <w:color w:val="000000"/>
          <w:sz w:val="20"/>
          <w:szCs w:val="20"/>
        </w:rPr>
        <w:t>Dividends declared per share were as fo</w:t>
      </w:r>
      <w:r>
        <w:rPr>
          <w:rFonts w:eastAsia="Times New Roman"/>
          <w:color w:val="000000"/>
          <w:sz w:val="20"/>
          <w:szCs w:val="20"/>
        </w:rPr>
        <w:t>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360"/>
        <w:gridCol w:w="36"/>
        <w:gridCol w:w="120"/>
        <w:gridCol w:w="711"/>
        <w:gridCol w:w="36"/>
        <w:gridCol w:w="36"/>
        <w:gridCol w:w="36"/>
        <w:gridCol w:w="36"/>
        <w:gridCol w:w="120"/>
        <w:gridCol w:w="666"/>
        <w:gridCol w:w="36"/>
        <w:gridCol w:w="36"/>
        <w:gridCol w:w="36"/>
        <w:gridCol w:w="36"/>
        <w:gridCol w:w="120"/>
        <w:gridCol w:w="666"/>
        <w:gridCol w:w="36"/>
        <w:gridCol w:w="36"/>
        <w:gridCol w:w="36"/>
        <w:gridCol w:w="36"/>
        <w:gridCol w:w="120"/>
        <w:gridCol w:w="666"/>
        <w:gridCol w:w="36"/>
        <w:gridCol w:w="36"/>
        <w:gridCol w:w="36"/>
        <w:gridCol w:w="36"/>
        <w:gridCol w:w="36"/>
        <w:gridCol w:w="36"/>
        <w:gridCol w:w="36"/>
      </w:tblGrid>
      <w:tr w:rsidR="00000000">
        <w:trPr>
          <w:divId w:val="1930578926"/>
        </w:trPr>
        <w:tc>
          <w:tcPr>
            <w:tcW w:w="50" w:type="pct"/>
            <w:vAlign w:val="center"/>
            <w:hideMark/>
          </w:tcPr>
          <w:p w:rsidR="00000000" w:rsidRDefault="005C524C">
            <w:pPr>
              <w:rPr>
                <w:rFonts w:eastAsia="Times New Roman"/>
              </w:rPr>
            </w:pPr>
          </w:p>
        </w:tc>
        <w:tc>
          <w:tcPr>
            <w:tcW w:w="27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Series B dividends declared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Series C dividends declared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30578926"/>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976250875"/>
        <w:rPr>
          <w:rFonts w:eastAsia="Times New Roman"/>
        </w:rPr>
      </w:pPr>
      <w:r>
        <w:rPr>
          <w:rFonts w:eastAsia="Times New Roman"/>
          <w:color w:val="000000"/>
          <w:sz w:val="20"/>
          <w:szCs w:val="20"/>
          <w:u w:val="single"/>
        </w:rPr>
        <w:t>Common Stock</w:t>
      </w:r>
    </w:p>
    <w:p w:rsidR="00000000" w:rsidRDefault="005C524C">
      <w:pPr>
        <w:divId w:val="2084252019"/>
        <w:rPr>
          <w:rFonts w:eastAsia="Times New Roman"/>
        </w:rPr>
      </w:pPr>
      <w:r>
        <w:rPr>
          <w:rFonts w:eastAsia="Times New Roman"/>
          <w:color w:val="000000"/>
          <w:sz w:val="20"/>
          <w:szCs w:val="20"/>
        </w:rPr>
        <w:t>Dividends declared per share of common stock were as follows for the periods indicated:</w:t>
      </w:r>
    </w:p>
    <w:p w:rsidR="00000000" w:rsidRDefault="005C524C">
      <w:pPr>
        <w:jc w:val="center"/>
        <w:divId w:val="1067456664"/>
        <w:rPr>
          <w:rFonts w:eastAsia="Times New Roman"/>
        </w:rPr>
      </w:pPr>
    </w:p>
    <w:p w:rsidR="00000000" w:rsidRDefault="005C524C">
      <w:pPr>
        <w:jc w:val="center"/>
        <w:divId w:val="1067456664"/>
        <w:rPr>
          <w:rFonts w:eastAsia="Times New Roman"/>
        </w:rPr>
      </w:pPr>
      <w:r>
        <w:rPr>
          <w:rFonts w:eastAsia="Times New Roman"/>
          <w:color w:val="000000"/>
          <w:sz w:val="20"/>
          <w:szCs w:val="20"/>
        </w:rPr>
        <w:t>58</w:t>
      </w:r>
    </w:p>
    <w:p w:rsidR="00000000" w:rsidRDefault="005C524C">
      <w:pPr>
        <w:rPr>
          <w:rFonts w:eastAsia="Times New Roman"/>
        </w:rPr>
      </w:pPr>
      <w:r>
        <w:rPr>
          <w:rFonts w:eastAsia="Times New Roman"/>
        </w:rPr>
        <w:pict>
          <v:rect id="_x0000_i1084" style="width:0;height:1.5pt" o:hralign="center" o:hrstd="t" o:hr="t" fillcolor="#a0a0a0" stroked="f"/>
        </w:pict>
      </w:r>
    </w:p>
    <w:p w:rsidR="00000000" w:rsidRDefault="005C524C">
      <w:pPr>
        <w:divId w:val="113174732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572472242"/>
        <w:rPr>
          <w:rFonts w:eastAsia="Times New Roman"/>
        </w:rPr>
      </w:pPr>
      <w:r>
        <w:rPr>
          <w:rFonts w:eastAsia="Times New Roman"/>
          <w:b/>
          <w:bCs/>
          <w:color w:val="000000"/>
          <w:sz w:val="20"/>
          <w:szCs w:val="20"/>
        </w:rPr>
        <w:t>EQUITABLE HOLDINGS, INC.</w:t>
      </w:r>
    </w:p>
    <w:p w:rsidR="00000000" w:rsidRDefault="005C524C">
      <w:pPr>
        <w:jc w:val="center"/>
        <w:divId w:val="157247224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57247224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360"/>
        <w:gridCol w:w="36"/>
        <w:gridCol w:w="120"/>
        <w:gridCol w:w="711"/>
        <w:gridCol w:w="36"/>
        <w:gridCol w:w="36"/>
        <w:gridCol w:w="36"/>
        <w:gridCol w:w="36"/>
        <w:gridCol w:w="120"/>
        <w:gridCol w:w="666"/>
        <w:gridCol w:w="36"/>
        <w:gridCol w:w="36"/>
        <w:gridCol w:w="36"/>
        <w:gridCol w:w="36"/>
        <w:gridCol w:w="120"/>
        <w:gridCol w:w="666"/>
        <w:gridCol w:w="36"/>
        <w:gridCol w:w="36"/>
        <w:gridCol w:w="36"/>
        <w:gridCol w:w="36"/>
        <w:gridCol w:w="120"/>
        <w:gridCol w:w="666"/>
        <w:gridCol w:w="36"/>
        <w:gridCol w:w="36"/>
        <w:gridCol w:w="36"/>
        <w:gridCol w:w="36"/>
        <w:gridCol w:w="36"/>
        <w:gridCol w:w="36"/>
        <w:gridCol w:w="36"/>
      </w:tblGrid>
      <w:tr w:rsidR="00000000">
        <w:trPr>
          <w:jc w:val="center"/>
        </w:trPr>
        <w:tc>
          <w:tcPr>
            <w:tcW w:w="50" w:type="pct"/>
            <w:vAlign w:val="center"/>
            <w:hideMark/>
          </w:tcPr>
          <w:p w:rsidR="00000000" w:rsidRDefault="005C524C">
            <w:pPr>
              <w:jc w:val="center"/>
              <w:rPr>
                <w:rFonts w:eastAsia="Times New Roman"/>
              </w:rPr>
            </w:pPr>
          </w:p>
        </w:tc>
        <w:tc>
          <w:tcPr>
            <w:tcW w:w="273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Dividends declared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4" w:space="0" w:color="000000"/>
              <w:bottom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688482224"/>
        <w:rPr>
          <w:rFonts w:eastAsia="Times New Roman"/>
        </w:rPr>
      </w:pPr>
    </w:p>
    <w:p w:rsidR="00000000" w:rsidRDefault="005C524C">
      <w:pPr>
        <w:jc w:val="both"/>
        <w:divId w:val="1876503252"/>
        <w:rPr>
          <w:rFonts w:eastAsia="Times New Roman"/>
        </w:rPr>
      </w:pPr>
      <w:r>
        <w:rPr>
          <w:rFonts w:eastAsia="Times New Roman"/>
          <w:b/>
          <w:bCs/>
          <w:i/>
          <w:iCs/>
          <w:color w:val="000000"/>
          <w:sz w:val="20"/>
          <w:szCs w:val="20"/>
        </w:rPr>
        <w:t>Share Repurchase</w:t>
      </w:r>
    </w:p>
    <w:p w:rsidR="00000000" w:rsidRDefault="005C524C">
      <w:pPr>
        <w:divId w:val="448429915"/>
        <w:rPr>
          <w:rFonts w:eastAsia="Times New Roman"/>
        </w:rPr>
      </w:pPr>
    </w:p>
    <w:p w:rsidR="00000000" w:rsidRDefault="005C524C">
      <w:pPr>
        <w:divId w:val="2057266659"/>
        <w:rPr>
          <w:rFonts w:eastAsia="Times New Roman"/>
        </w:rPr>
      </w:pPr>
      <w:r>
        <w:rPr>
          <w:rFonts w:eastAsia="Times New Roman"/>
          <w:color w:val="000000"/>
          <w:sz w:val="20"/>
          <w:szCs w:val="20"/>
        </w:rPr>
        <w:t>On February 9, 2022, the Company’s Board of Directors authorized a new $1.2 billion share repurchase program. Under this program, the Company may, from time to time purchase shares of its common stock through various means. The Company may choose to suspen</w:t>
      </w:r>
      <w:r>
        <w:rPr>
          <w:rFonts w:eastAsia="Times New Roman"/>
          <w:color w:val="000000"/>
          <w:sz w:val="20"/>
          <w:szCs w:val="20"/>
        </w:rPr>
        <w:t>d or discontinue the repurchase program at any time. The repurchase program does not obligate the Company to purchase any particular number of shares. As of June 30, 2022, Holdings had authorized capacity of approximately $705 million remaining in its shar</w:t>
      </w:r>
      <w:r>
        <w:rPr>
          <w:rFonts w:eastAsia="Times New Roman"/>
          <w:color w:val="000000"/>
          <w:sz w:val="20"/>
          <w:szCs w:val="20"/>
        </w:rPr>
        <w:t xml:space="preserve">e repurchase program. </w:t>
      </w:r>
    </w:p>
    <w:p w:rsidR="00000000" w:rsidRDefault="005C524C">
      <w:pPr>
        <w:divId w:val="1331329654"/>
        <w:rPr>
          <w:rFonts w:eastAsia="Times New Roman"/>
        </w:rPr>
      </w:pPr>
      <w:r>
        <w:rPr>
          <w:rFonts w:eastAsia="Times New Roman"/>
          <w:color w:val="000000"/>
          <w:sz w:val="20"/>
          <w:szCs w:val="20"/>
        </w:rPr>
        <w:t>Holdings repurchased a total of 7.6 million, 8.2 million, 16.2 million and 22.7 million shares of its common stock at an average price of $28.90, $34.09, $30.81, and $31.29 per share, respectively through open market repurchases, ASR</w:t>
      </w:r>
      <w:r>
        <w:rPr>
          <w:rFonts w:eastAsia="Times New Roman"/>
          <w:color w:val="000000"/>
          <w:sz w:val="20"/>
          <w:szCs w:val="20"/>
        </w:rPr>
        <w:t xml:space="preserve">s and privately negotiated transactions during the three and six months ended June 30, 2022 and 2021. </w:t>
      </w:r>
    </w:p>
    <w:p w:rsidR="00000000" w:rsidRDefault="005C524C">
      <w:pPr>
        <w:divId w:val="669605223"/>
        <w:rPr>
          <w:rFonts w:eastAsia="Times New Roman"/>
        </w:rPr>
      </w:pPr>
      <w:r>
        <w:rPr>
          <w:rFonts w:eastAsia="Times New Roman"/>
          <w:color w:val="000000"/>
          <w:sz w:val="20"/>
          <w:szCs w:val="20"/>
        </w:rPr>
        <w:t>Holdings did not repurchase any shares of its common stock through open market purchases in the three months ended June 30, 2022 and 2021. During the six</w:t>
      </w:r>
      <w:r>
        <w:rPr>
          <w:rFonts w:eastAsia="Times New Roman"/>
          <w:color w:val="000000"/>
          <w:sz w:val="20"/>
          <w:szCs w:val="20"/>
        </w:rPr>
        <w:t xml:space="preserve"> months ended June 30, 2022 and 2021, Holdings repurchased 7.9 million and 3.2 million shares of its common stock through open market repurchases.</w:t>
      </w:r>
    </w:p>
    <w:p w:rsidR="00000000" w:rsidRDefault="005C524C">
      <w:pPr>
        <w:divId w:val="1430006387"/>
        <w:rPr>
          <w:rFonts w:eastAsia="Times New Roman"/>
        </w:rPr>
      </w:pPr>
      <w:r>
        <w:rPr>
          <w:rFonts w:eastAsia="Times New Roman"/>
          <w:color w:val="000000"/>
          <w:sz w:val="20"/>
          <w:szCs w:val="20"/>
        </w:rPr>
        <w:t>In April 2022, Holdings entered into an ASR with a third-party financial institution to repurchase an aggrega</w:t>
      </w:r>
      <w:r>
        <w:rPr>
          <w:rFonts w:eastAsia="Times New Roman"/>
          <w:color w:val="000000"/>
          <w:sz w:val="20"/>
          <w:szCs w:val="20"/>
        </w:rPr>
        <w:t>te of $100 million of Holdings’ common stock. Pursuant to the ASR, Holdings made a prepayment of $100 million and initially received 2.6 million shares. The ASR terminated during April 2022, at which time 684,700 additional shares of common stock were rece</w:t>
      </w:r>
      <w:r>
        <w:rPr>
          <w:rFonts w:eastAsia="Times New Roman"/>
          <w:color w:val="000000"/>
          <w:sz w:val="20"/>
          <w:szCs w:val="20"/>
        </w:rPr>
        <w:t xml:space="preserve">ived. </w:t>
      </w:r>
    </w:p>
    <w:p w:rsidR="00000000" w:rsidRDefault="005C524C">
      <w:pPr>
        <w:divId w:val="192159227"/>
        <w:rPr>
          <w:rFonts w:eastAsia="Times New Roman"/>
        </w:rPr>
      </w:pPr>
      <w:r>
        <w:rPr>
          <w:rFonts w:eastAsia="Times New Roman"/>
          <w:color w:val="000000"/>
          <w:sz w:val="20"/>
          <w:szCs w:val="20"/>
        </w:rPr>
        <w:t>In May 2022, Holdings entered into an ASR with a third-party financial institution to repurchase an aggregate of $150 million of Holdings’ common stock. Pursuant to the ASR, Holdings made a prepayment of $150 million and initially received 4.3 milli</w:t>
      </w:r>
      <w:r>
        <w:rPr>
          <w:rFonts w:eastAsia="Times New Roman"/>
          <w:color w:val="000000"/>
          <w:sz w:val="20"/>
          <w:szCs w:val="20"/>
        </w:rPr>
        <w:t xml:space="preserve">on shares. The ASR terminated during July 2022, at which time 1.2 million additional shares of common stock were received. </w:t>
      </w:r>
    </w:p>
    <w:p w:rsidR="00000000" w:rsidRDefault="005C524C">
      <w:pPr>
        <w:divId w:val="1110931411"/>
        <w:rPr>
          <w:rFonts w:eastAsia="Times New Roman"/>
        </w:rPr>
      </w:pPr>
      <w:r>
        <w:rPr>
          <w:rFonts w:eastAsia="Times New Roman"/>
          <w:color w:val="000000"/>
          <w:sz w:val="20"/>
          <w:szCs w:val="20"/>
          <w:u w:val="single"/>
        </w:rPr>
        <w:t>Accumulated Other Comprehensive Income (Loss)</w:t>
      </w:r>
    </w:p>
    <w:p w:rsidR="00000000" w:rsidRDefault="005C524C">
      <w:pPr>
        <w:divId w:val="201554440"/>
        <w:rPr>
          <w:rFonts w:eastAsia="Times New Roman"/>
        </w:rPr>
      </w:pPr>
      <w:r>
        <w:rPr>
          <w:rFonts w:eastAsia="Times New Roman"/>
          <w:color w:val="000000"/>
          <w:sz w:val="20"/>
          <w:szCs w:val="20"/>
        </w:rPr>
        <w:t>AOCI represents cumulative gains (losses) on items that are not reflected in net incom</w:t>
      </w:r>
      <w:r>
        <w:rPr>
          <w:rFonts w:eastAsia="Times New Roman"/>
          <w:color w:val="000000"/>
          <w:sz w:val="20"/>
          <w:szCs w:val="20"/>
        </w:rPr>
        <w:t>e (loss). The balances as of June 30, 2022 and December 31, 2021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5886"/>
        <w:gridCol w:w="37"/>
        <w:gridCol w:w="120"/>
        <w:gridCol w:w="873"/>
        <w:gridCol w:w="36"/>
        <w:gridCol w:w="36"/>
        <w:gridCol w:w="36"/>
        <w:gridCol w:w="36"/>
        <w:gridCol w:w="121"/>
        <w:gridCol w:w="835"/>
        <w:gridCol w:w="36"/>
        <w:gridCol w:w="36"/>
        <w:gridCol w:w="36"/>
        <w:gridCol w:w="36"/>
        <w:gridCol w:w="36"/>
        <w:gridCol w:w="36"/>
        <w:gridCol w:w="36"/>
      </w:tblGrid>
      <w:tr w:rsidR="00000000">
        <w:trPr>
          <w:divId w:val="1862821420"/>
        </w:trPr>
        <w:tc>
          <w:tcPr>
            <w:tcW w:w="50" w:type="pct"/>
            <w:vAlign w:val="center"/>
            <w:hideMark/>
          </w:tcPr>
          <w:p w:rsidR="00000000" w:rsidRDefault="005C524C">
            <w:pPr>
              <w:rPr>
                <w:rFonts w:eastAsia="Times New Roman"/>
              </w:rPr>
            </w:pPr>
          </w:p>
        </w:tc>
        <w:tc>
          <w:tcPr>
            <w:tcW w:w="366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(4,884)</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2,684 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(5,598)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6282142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(5,548)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217280549"/>
        <w:rPr>
          <w:rFonts w:eastAsia="Times New Roman"/>
        </w:rPr>
      </w:pPr>
    </w:p>
    <w:p w:rsidR="00000000" w:rsidRDefault="005C524C">
      <w:pPr>
        <w:jc w:val="center"/>
        <w:divId w:val="905605479"/>
        <w:rPr>
          <w:rFonts w:eastAsia="Times New Roman"/>
        </w:rPr>
      </w:pPr>
    </w:p>
    <w:p w:rsidR="00000000" w:rsidRDefault="005C524C">
      <w:pPr>
        <w:jc w:val="center"/>
        <w:divId w:val="905605479"/>
        <w:rPr>
          <w:rFonts w:eastAsia="Times New Roman"/>
        </w:rPr>
      </w:pPr>
      <w:r>
        <w:rPr>
          <w:rFonts w:eastAsia="Times New Roman"/>
          <w:color w:val="000000"/>
          <w:sz w:val="20"/>
          <w:szCs w:val="20"/>
        </w:rPr>
        <w:t>59</w:t>
      </w:r>
    </w:p>
    <w:p w:rsidR="00000000" w:rsidRDefault="005C524C">
      <w:pPr>
        <w:rPr>
          <w:rFonts w:eastAsia="Times New Roman"/>
        </w:rPr>
      </w:pPr>
      <w:r>
        <w:rPr>
          <w:rFonts w:eastAsia="Times New Roman"/>
        </w:rPr>
        <w:pict>
          <v:rect id="_x0000_i1085" style="width:0;height:1.5pt" o:hralign="center" o:hrstd="t" o:hr="t" fillcolor="#a0a0a0" stroked="f"/>
        </w:pict>
      </w:r>
    </w:p>
    <w:p w:rsidR="00000000" w:rsidRDefault="005C524C">
      <w:pPr>
        <w:divId w:val="181555823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734015069"/>
        <w:rPr>
          <w:rFonts w:eastAsia="Times New Roman"/>
        </w:rPr>
      </w:pPr>
      <w:r>
        <w:rPr>
          <w:rFonts w:eastAsia="Times New Roman"/>
          <w:b/>
          <w:bCs/>
          <w:color w:val="000000"/>
          <w:sz w:val="20"/>
          <w:szCs w:val="20"/>
        </w:rPr>
        <w:t>EQUITABLE HOLDINGS, INC.</w:t>
      </w:r>
    </w:p>
    <w:p w:rsidR="00000000" w:rsidRDefault="005C524C">
      <w:pPr>
        <w:jc w:val="center"/>
        <w:divId w:val="734015069"/>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734015069"/>
        <w:rPr>
          <w:rFonts w:eastAsia="Times New Roman"/>
        </w:rPr>
      </w:pPr>
    </w:p>
    <w:p w:rsidR="00000000" w:rsidRDefault="005C524C">
      <w:pPr>
        <w:divId w:val="929390837"/>
        <w:rPr>
          <w:rFonts w:eastAsia="Times New Roman"/>
        </w:rPr>
      </w:pPr>
      <w:r>
        <w:rPr>
          <w:rFonts w:eastAsia="Times New Roman"/>
          <w:color w:val="000000"/>
          <w:sz w:val="20"/>
          <w:szCs w:val="20"/>
        </w:rPr>
        <w:t xml:space="preserve">The components of OCI, net of taxes for the three </w:t>
      </w:r>
      <w:r>
        <w:rPr>
          <w:rFonts w:eastAsia="Times New Roman"/>
          <w:color w:val="000000"/>
          <w:sz w:val="20"/>
          <w:szCs w:val="20"/>
        </w:rPr>
        <w:t>and six months ended June 30, 2022 and 2021 follow:</w:t>
      </w:r>
    </w:p>
    <w:p w:rsidR="00000000" w:rsidRDefault="005C524C">
      <w:pPr>
        <w:divId w:val="11835175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324"/>
        <w:gridCol w:w="38"/>
        <w:gridCol w:w="120"/>
        <w:gridCol w:w="710"/>
        <w:gridCol w:w="36"/>
        <w:gridCol w:w="36"/>
        <w:gridCol w:w="36"/>
        <w:gridCol w:w="36"/>
        <w:gridCol w:w="120"/>
        <w:gridCol w:w="676"/>
        <w:gridCol w:w="36"/>
        <w:gridCol w:w="36"/>
        <w:gridCol w:w="36"/>
        <w:gridCol w:w="36"/>
        <w:gridCol w:w="120"/>
        <w:gridCol w:w="677"/>
        <w:gridCol w:w="36"/>
        <w:gridCol w:w="36"/>
        <w:gridCol w:w="36"/>
        <w:gridCol w:w="36"/>
        <w:gridCol w:w="120"/>
        <w:gridCol w:w="678"/>
        <w:gridCol w:w="36"/>
        <w:gridCol w:w="36"/>
        <w:gridCol w:w="36"/>
        <w:gridCol w:w="36"/>
        <w:gridCol w:w="36"/>
        <w:gridCol w:w="36"/>
        <w:gridCol w:w="36"/>
      </w:tblGrid>
      <w:tr w:rsidR="00000000">
        <w:trPr>
          <w:divId w:val="1904214391"/>
        </w:trPr>
        <w:tc>
          <w:tcPr>
            <w:tcW w:w="50" w:type="pct"/>
            <w:vAlign w:val="center"/>
            <w:hideMark/>
          </w:tcPr>
          <w:p w:rsidR="00000000" w:rsidRDefault="005C524C">
            <w:pPr>
              <w:rPr>
                <w:rFonts w:eastAsia="Times New Roman"/>
              </w:rPr>
            </w:pPr>
          </w:p>
        </w:tc>
        <w:tc>
          <w:tcPr>
            <w:tcW w:w="27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divId w:val="1318924245"/>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(4,654)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(9,734)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(486)</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unrealized gains (losses) on investments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(4,485)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(9,301)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(280)</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1,733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790 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53310130"/>
              <w:rPr>
                <w:rFonts w:eastAsia="Times New Roman"/>
              </w:rPr>
            </w:pPr>
            <w:r>
              <w:rPr>
                <w:rFonts w:eastAsia="Times New Roman"/>
                <w:color w:val="000000"/>
                <w:sz w:val="20"/>
                <w:szCs w:val="20"/>
              </w:rPr>
              <w:t>Change in unrealized gains (losses), net of adjustments (net of deferred income tax expense (benefit) of $(993), $324, $(2,011) and $(514))</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(7,568)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Change in defined benefit plans: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319771310"/>
              <w:rPr>
                <w:rFonts w:eastAsia="Times New Roman"/>
              </w:rPr>
            </w:pPr>
            <w:r>
              <w:rPr>
                <w:rFonts w:eastAsia="Times New Roman"/>
                <w:color w:val="000000"/>
                <w:sz w:val="20"/>
                <w:szCs w:val="20"/>
              </w:rPr>
              <w:t>Change in defined benefit plans (net of deferred income tax expense (benefit) of $0, $5, $(9), and $14)</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55 </w:t>
            </w:r>
          </w:p>
        </w:tc>
        <w:tc>
          <w:tcPr>
            <w:tcW w:w="0" w:type="auto"/>
            <w:tcBorders>
              <w:top w:val="single" w:sz="4"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currency translation adjustments: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Foreign currency translation adjustment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(3,773)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(7,568)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0421439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(7,552)</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279027613"/>
        <w:rPr>
          <w:rFonts w:eastAsia="Times New Roman"/>
        </w:rPr>
      </w:pPr>
      <w:r>
        <w:rPr>
          <w:rFonts w:eastAsia="Times New Roman"/>
          <w:color w:val="000000"/>
          <w:sz w:val="18"/>
          <w:szCs w:val="18"/>
        </w:rPr>
        <w:t>_______________</w:t>
      </w:r>
    </w:p>
    <w:p w:rsidR="00000000" w:rsidRDefault="005C524C">
      <w:pPr>
        <w:ind w:hanging="360"/>
        <w:divId w:val="1711029152"/>
        <w:rPr>
          <w:rFonts w:eastAsia="Times New Roman"/>
        </w:rPr>
      </w:pPr>
      <w:r>
        <w:rPr>
          <w:rFonts w:eastAsia="Times New Roman"/>
          <w:color w:val="000000"/>
          <w:sz w:val="18"/>
          <w:szCs w:val="18"/>
        </w:rPr>
        <w:t>(1)See “Reclassification adjustments” in Note 3 of the Notes to these Consolidated Financial Statemen</w:t>
      </w:r>
      <w:r>
        <w:rPr>
          <w:rFonts w:eastAsia="Times New Roman"/>
          <w:color w:val="000000"/>
          <w:sz w:val="18"/>
          <w:szCs w:val="18"/>
        </w:rPr>
        <w:t>ts. Reclassification amounts presented net of income tax expense (benefit) of $(45) million, $85 million, $(115) million, and $129 million for the three and six months ended June 30, 2022 and 2021, respectively.</w:t>
      </w:r>
    </w:p>
    <w:p w:rsidR="00000000" w:rsidRDefault="005C524C">
      <w:pPr>
        <w:divId w:val="1982032302"/>
        <w:rPr>
          <w:rFonts w:eastAsia="Times New Roman"/>
        </w:rPr>
      </w:pPr>
      <w:r>
        <w:rPr>
          <w:rFonts w:eastAsia="Times New Roman"/>
          <w:color w:val="000000"/>
          <w:sz w:val="20"/>
          <w:szCs w:val="20"/>
        </w:rPr>
        <w:t>Investment gains and losses reclassified fro</w:t>
      </w:r>
      <w:r>
        <w:rPr>
          <w:rFonts w:eastAsia="Times New Roman"/>
          <w:color w:val="000000"/>
          <w:sz w:val="20"/>
          <w:szCs w:val="20"/>
        </w:rPr>
        <w:t>m AOCI to net income (loss) primarily consist of realized gains (losses) on sales and credit losses of AFS securities and are included in total investment gains (losses), net on the consolidated statements of income (loss). Amounts reclassified from AOCI t</w:t>
      </w:r>
      <w:r>
        <w:rPr>
          <w:rFonts w:eastAsia="Times New Roman"/>
          <w:color w:val="000000"/>
          <w:sz w:val="20"/>
          <w:szCs w:val="20"/>
        </w:rPr>
        <w:t>o net income (loss) as related to defined benefit plans primarily consist of amortization of net (gains) losses and net prior service cost (credit) recognized as a component of net periodic cost and reported in compensation and benefits in the consolidated</w:t>
      </w:r>
      <w:r>
        <w:rPr>
          <w:rFonts w:eastAsia="Times New Roman"/>
          <w:color w:val="000000"/>
          <w:sz w:val="20"/>
          <w:szCs w:val="20"/>
        </w:rPr>
        <w:t xml:space="preserve"> statements of income (loss). Amounts presented in the table above are net of tax.</w:t>
      </w:r>
    </w:p>
    <w:p w:rsidR="00000000" w:rsidRDefault="005C524C">
      <w:pPr>
        <w:divId w:val="1377124430"/>
        <w:rPr>
          <w:rFonts w:eastAsia="Times New Roman"/>
        </w:rPr>
      </w:pPr>
      <w:r>
        <w:rPr>
          <w:rFonts w:eastAsia="Times New Roman"/>
          <w:b/>
          <w:bCs/>
          <w:color w:val="000000"/>
          <w:sz w:val="20"/>
          <w:szCs w:val="20"/>
        </w:rPr>
        <w:t xml:space="preserve">11)    REDEEMABLE NONCONTROLLING INTEREST </w:t>
      </w:r>
    </w:p>
    <w:p w:rsidR="00000000" w:rsidRDefault="005C524C">
      <w:pPr>
        <w:divId w:val="481122845"/>
        <w:rPr>
          <w:rFonts w:eastAsia="Times New Roman"/>
        </w:rPr>
      </w:pPr>
      <w:r>
        <w:rPr>
          <w:rFonts w:eastAsia="Times New Roman"/>
          <w:color w:val="000000"/>
          <w:sz w:val="20"/>
          <w:szCs w:val="20"/>
        </w:rPr>
        <w:t>The changes in the components of redeemable noncontrolling interests are presented in the table that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1"/>
        <w:gridCol w:w="38"/>
        <w:gridCol w:w="120"/>
        <w:gridCol w:w="813"/>
        <w:gridCol w:w="36"/>
        <w:gridCol w:w="36"/>
        <w:gridCol w:w="36"/>
        <w:gridCol w:w="36"/>
        <w:gridCol w:w="120"/>
        <w:gridCol w:w="813"/>
        <w:gridCol w:w="36"/>
        <w:gridCol w:w="36"/>
        <w:gridCol w:w="36"/>
        <w:gridCol w:w="36"/>
        <w:gridCol w:w="120"/>
        <w:gridCol w:w="740"/>
        <w:gridCol w:w="36"/>
        <w:gridCol w:w="36"/>
        <w:gridCol w:w="36"/>
        <w:gridCol w:w="36"/>
        <w:gridCol w:w="120"/>
        <w:gridCol w:w="814"/>
        <w:gridCol w:w="36"/>
        <w:gridCol w:w="36"/>
        <w:gridCol w:w="36"/>
        <w:gridCol w:w="36"/>
        <w:gridCol w:w="36"/>
        <w:gridCol w:w="36"/>
        <w:gridCol w:w="36"/>
        <w:gridCol w:w="36"/>
        <w:gridCol w:w="36"/>
        <w:gridCol w:w="36"/>
        <w:gridCol w:w="36"/>
        <w:gridCol w:w="36"/>
        <w:gridCol w:w="36"/>
        <w:gridCol w:w="36"/>
        <w:gridCol w:w="36"/>
        <w:gridCol w:w="36"/>
      </w:tblGrid>
      <w:tr w:rsidR="00000000">
        <w:trPr>
          <w:divId w:val="1785025"/>
          <w:jc w:val="center"/>
        </w:trPr>
        <w:tc>
          <w:tcPr>
            <w:tcW w:w="50" w:type="pct"/>
            <w:vAlign w:val="center"/>
            <w:hideMark/>
          </w:tcPr>
          <w:p w:rsidR="00000000" w:rsidRDefault="005C524C">
            <w:pPr>
              <w:rPr>
                <w:rFonts w:eastAsia="Times New Roman"/>
              </w:rPr>
            </w:pPr>
          </w:p>
        </w:tc>
        <w:tc>
          <w:tcPr>
            <w:tcW w:w="23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4"/>
            <w:tcBorders>
              <w:top w:val="single" w:sz="8" w:space="0" w:color="000000"/>
            </w:tcBorders>
            <w:tcMar>
              <w:top w:w="30" w:type="dxa"/>
              <w:left w:w="87" w:type="dxa"/>
              <w:bottom w:w="30" w:type="dxa"/>
              <w:right w:w="87"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earnings (loss) attributable to redeemable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Purchase/change of redeemable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85025"/>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Balance,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442258386"/>
        <w:rPr>
          <w:rFonts w:eastAsia="Times New Roman"/>
        </w:rPr>
      </w:pPr>
    </w:p>
    <w:p w:rsidR="00000000" w:rsidRDefault="005C524C">
      <w:pPr>
        <w:jc w:val="center"/>
        <w:divId w:val="413598941"/>
        <w:rPr>
          <w:rFonts w:eastAsia="Times New Roman"/>
        </w:rPr>
      </w:pPr>
      <w:r>
        <w:rPr>
          <w:rFonts w:eastAsia="Times New Roman"/>
          <w:color w:val="000000"/>
          <w:sz w:val="20"/>
          <w:szCs w:val="20"/>
        </w:rPr>
        <w:t>60</w:t>
      </w:r>
    </w:p>
    <w:p w:rsidR="00000000" w:rsidRDefault="005C524C">
      <w:pPr>
        <w:rPr>
          <w:rFonts w:eastAsia="Times New Roman"/>
        </w:rPr>
      </w:pPr>
      <w:r>
        <w:rPr>
          <w:rFonts w:eastAsia="Times New Roman"/>
        </w:rPr>
        <w:pict>
          <v:rect id="_x0000_i1086" style="width:0;height:1.5pt" o:hralign="center" o:hrstd="t" o:hr="t" fillcolor="#a0a0a0" stroked="f"/>
        </w:pict>
      </w:r>
    </w:p>
    <w:p w:rsidR="00000000" w:rsidRDefault="005C524C">
      <w:pPr>
        <w:divId w:val="130974968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053970267"/>
        <w:rPr>
          <w:rFonts w:eastAsia="Times New Roman"/>
        </w:rPr>
      </w:pPr>
      <w:r>
        <w:rPr>
          <w:rFonts w:eastAsia="Times New Roman"/>
          <w:b/>
          <w:bCs/>
          <w:color w:val="000000"/>
          <w:sz w:val="20"/>
          <w:szCs w:val="20"/>
        </w:rPr>
        <w:t>EQUITABLE HOLDINGS, INC.</w:t>
      </w:r>
    </w:p>
    <w:p w:rsidR="00000000" w:rsidRDefault="005C524C">
      <w:pPr>
        <w:jc w:val="center"/>
        <w:divId w:val="105397026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053970267"/>
        <w:rPr>
          <w:rFonts w:eastAsia="Times New Roman"/>
        </w:rPr>
      </w:pPr>
    </w:p>
    <w:p w:rsidR="00000000" w:rsidRDefault="005C524C">
      <w:pPr>
        <w:divId w:val="2038311011"/>
        <w:rPr>
          <w:rFonts w:eastAsia="Times New Roman"/>
        </w:rPr>
      </w:pPr>
      <w:r>
        <w:rPr>
          <w:rFonts w:eastAsia="Times New Roman"/>
          <w:b/>
          <w:bCs/>
          <w:color w:val="000000"/>
          <w:sz w:val="20"/>
          <w:szCs w:val="20"/>
        </w:rPr>
        <w:t>12)    COMMITMENTS AND CONTINGENT LIABILITIES</w:t>
      </w:r>
    </w:p>
    <w:p w:rsidR="00000000" w:rsidRDefault="005C524C">
      <w:pPr>
        <w:divId w:val="2060518696"/>
        <w:rPr>
          <w:rFonts w:eastAsia="Times New Roman"/>
        </w:rPr>
      </w:pPr>
      <w:r>
        <w:rPr>
          <w:rFonts w:eastAsia="Times New Roman"/>
          <w:color w:val="000000"/>
          <w:sz w:val="20"/>
          <w:szCs w:val="20"/>
          <w:u w:val="single"/>
        </w:rPr>
        <w:t>Litigation and Regulatory Ma</w:t>
      </w:r>
      <w:r>
        <w:rPr>
          <w:rFonts w:eastAsia="Times New Roman"/>
          <w:color w:val="000000"/>
          <w:sz w:val="20"/>
          <w:szCs w:val="20"/>
          <w:u w:val="single"/>
        </w:rPr>
        <w:t>tters</w:t>
      </w:r>
    </w:p>
    <w:p w:rsidR="00000000" w:rsidRDefault="005C524C">
      <w:pPr>
        <w:divId w:val="1319379437"/>
        <w:rPr>
          <w:rFonts w:eastAsia="Times New Roman"/>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w:t>
      </w:r>
      <w:r>
        <w:rPr>
          <w:rFonts w:eastAsia="Times New Roman"/>
          <w:color w:val="000000"/>
          <w:sz w:val="20"/>
          <w:szCs w:val="20"/>
        </w:rPr>
        <w:t>ss. In some of these matters, claimants seek to recover very large or indeterminate amounts, including compensatory, punitive, treble and exemplary damages. Modern pleading practice permits considerable variation in the assertion of monetary damages and ot</w:t>
      </w:r>
      <w:r>
        <w:rPr>
          <w:rFonts w:eastAsia="Times New Roman"/>
          <w:color w:val="000000"/>
          <w:sz w:val="20"/>
          <w:szCs w:val="20"/>
        </w:rPr>
        <w:t>her relief. Claimants are not always required to specify the monetary damages they seek, or they may be required only to state an amount sufficient to meet a court’s jurisdictional requirements. Moreover, some jurisdictions allow claimants to allege moneta</w:t>
      </w:r>
      <w:r>
        <w:rPr>
          <w:rFonts w:eastAsia="Times New Roman"/>
          <w:color w:val="000000"/>
          <w:sz w:val="20"/>
          <w:szCs w:val="20"/>
        </w:rPr>
        <w:t xml:space="preserve">ry damages that far exceed any reasonably possible verdict. The variability in pleading requirements and past experience demonstrates that the monetary and other relief that may be requested in a lawsuit or claim often bears little relevance to the merits </w:t>
      </w:r>
      <w:r>
        <w:rPr>
          <w:rFonts w:eastAsia="Times New Roman"/>
          <w:color w:val="000000"/>
          <w:sz w:val="20"/>
          <w:szCs w:val="20"/>
        </w:rPr>
        <w:t>or potential value of a claim. Litigation against the Company includes a variety of claims including, among other things, insurers’ sales practices, alleged agent misconduct, alleged failure to properly supervise agents, contract administration, product de</w:t>
      </w:r>
      <w:r>
        <w:rPr>
          <w:rFonts w:eastAsia="Times New Roman"/>
          <w:color w:val="000000"/>
          <w:sz w:val="20"/>
          <w:szCs w:val="20"/>
        </w:rPr>
        <w:t>sign, features and accompanying disclosure, cost of insurance increases, payments of death benefits and the reporting and escheatment of unclaimed property, alleged breach of fiduciary duties, alleged mismanagement of client funds and other matters.</w:t>
      </w:r>
    </w:p>
    <w:p w:rsidR="00000000" w:rsidRDefault="005C524C">
      <w:pPr>
        <w:divId w:val="47072189"/>
        <w:rPr>
          <w:rFonts w:eastAsia="Times New Roman"/>
        </w:rPr>
      </w:pPr>
      <w:r>
        <w:rPr>
          <w:rFonts w:eastAsia="Times New Roman"/>
          <w:color w:val="000000"/>
          <w:sz w:val="20"/>
          <w:szCs w:val="20"/>
        </w:rPr>
        <w:t>The ou</w:t>
      </w:r>
      <w:r>
        <w:rPr>
          <w:rFonts w:eastAsia="Times New Roman"/>
          <w:color w:val="000000"/>
          <w:sz w:val="20"/>
          <w:szCs w:val="20"/>
        </w:rPr>
        <w:t>tcome of a litigation or regulatory matter is difficult to predict, and the amount or range of potential losses associated with these or other loss contingencies requires significant management judgment. It is not possible to predict the ultimate outcome o</w:t>
      </w:r>
      <w:r>
        <w:rPr>
          <w:rFonts w:eastAsia="Times New Roman"/>
          <w:color w:val="000000"/>
          <w:sz w:val="20"/>
          <w:szCs w:val="20"/>
        </w:rPr>
        <w:t>r to provide reasonably possible losses or ranges of losses for all pending regulatory matters, litigation and other loss contingencies. While it is possible that an adverse outcome in certain cases could have a material adverse effect upon the Company’s f</w:t>
      </w:r>
      <w:r>
        <w:rPr>
          <w:rFonts w:eastAsia="Times New Roman"/>
          <w:color w:val="000000"/>
          <w:sz w:val="20"/>
          <w:szCs w:val="20"/>
        </w:rPr>
        <w:t>inancial position, based on information currently known, management believes that neither the outcome of pending litigation and regulatory matters, nor potential liabilities associated with other loss contingencies, are likely to have such an effect. Howev</w:t>
      </w:r>
      <w:r>
        <w:rPr>
          <w:rFonts w:eastAsia="Times New Roman"/>
          <w:color w:val="000000"/>
          <w:sz w:val="20"/>
          <w:szCs w:val="20"/>
        </w:rPr>
        <w:t>er, given the large and indeterminate amounts sought in certain litigation and the inherent unpredictability of all such matters, it is possible that an adverse outcome in certain of the Company’s litigation or regulatory matters, or liabilities arising fr</w:t>
      </w:r>
      <w:r>
        <w:rPr>
          <w:rFonts w:eastAsia="Times New Roman"/>
          <w:color w:val="000000"/>
          <w:sz w:val="20"/>
          <w:szCs w:val="20"/>
        </w:rPr>
        <w:t>om other loss contingencies, could, from time to time, have a material adverse effect upon the Company’s results of operations or cash flows in a particular quarterly or annual period.</w:t>
      </w:r>
    </w:p>
    <w:p w:rsidR="00000000" w:rsidRDefault="005C524C">
      <w:pPr>
        <w:divId w:val="1093089495"/>
        <w:rPr>
          <w:rFonts w:eastAsia="Times New Roman"/>
        </w:rPr>
      </w:pPr>
      <w:r>
        <w:rPr>
          <w:rFonts w:eastAsia="Times New Roman"/>
          <w:color w:val="000000"/>
          <w:sz w:val="20"/>
          <w:szCs w:val="20"/>
        </w:rPr>
        <w:t xml:space="preserve">For some matters, the Company is able to estimate a range of loss. For </w:t>
      </w:r>
      <w:r>
        <w:rPr>
          <w:rFonts w:eastAsia="Times New Roman"/>
          <w:color w:val="000000"/>
          <w:sz w:val="20"/>
          <w:szCs w:val="20"/>
        </w:rPr>
        <w:t>such matters in which a loss is probable, an accrual has been made. For matters where the Company believes a loss is reasonably possible, but not probable, no accrual is required. For matters for which an accrual has been made, but there remains a reasonab</w:t>
      </w:r>
      <w:r>
        <w:rPr>
          <w:rFonts w:eastAsia="Times New Roman"/>
          <w:color w:val="000000"/>
          <w:sz w:val="20"/>
          <w:szCs w:val="20"/>
        </w:rPr>
        <w:t>ly possible range of loss in excess of the amounts accrued or for matters where no accrual is required, the Company develops an estimate of the unaccrued amounts of the reasonably possible range of losses. As of June 30, 2022, the Company estimates the agg</w:t>
      </w:r>
      <w:r>
        <w:rPr>
          <w:rFonts w:eastAsia="Times New Roman"/>
          <w:color w:val="000000"/>
          <w:sz w:val="20"/>
          <w:szCs w:val="20"/>
        </w:rPr>
        <w:t>regate range of reasonably possible losses, in excess of any amounts accrued for these matters as of such date, to be up to approximately $250 million.</w:t>
      </w:r>
    </w:p>
    <w:p w:rsidR="00000000" w:rsidRDefault="005C524C">
      <w:pPr>
        <w:divId w:val="567544181"/>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developments in such matters have provided sufficient informati</w:t>
      </w:r>
      <w:r>
        <w:rPr>
          <w:rFonts w:eastAsia="Times New Roman"/>
          <w:color w:val="000000"/>
          <w:sz w:val="20"/>
          <w:szCs w:val="20"/>
        </w:rPr>
        <w:t>on to support an assessment of the range of possible loss, such as quantification of a damage demand from plaintiffs, discovery from plaintiffs and other parties, investigation of factual allegations, rulings by a court on motions or appeals, analysis by e</w:t>
      </w:r>
      <w:r>
        <w:rPr>
          <w:rFonts w:eastAsia="Times New Roman"/>
          <w:color w:val="000000"/>
          <w:sz w:val="20"/>
          <w:szCs w:val="20"/>
        </w:rPr>
        <w:t>xperts and the progress of settlement discussions. On a quarterly and annual basis, the Company reviews relevant information with respect to litigation and regulatory contingencies and updates the Company’s accruals, disclosures and reasonably possible los</w:t>
      </w:r>
      <w:r>
        <w:rPr>
          <w:rFonts w:eastAsia="Times New Roman"/>
          <w:color w:val="000000"/>
          <w:sz w:val="20"/>
          <w:szCs w:val="20"/>
        </w:rPr>
        <w:t>ses or ranges of loss based on such reviews.</w:t>
      </w:r>
    </w:p>
    <w:p w:rsidR="00000000" w:rsidRDefault="005C524C">
      <w:pPr>
        <w:divId w:val="1540125895"/>
        <w:rPr>
          <w:rFonts w:eastAsia="Times New Roman"/>
        </w:rPr>
      </w:pPr>
      <w:r>
        <w:rPr>
          <w:rFonts w:eastAsia="Times New Roman"/>
          <w:color w:val="000000"/>
          <w:sz w:val="20"/>
          <w:szCs w:val="20"/>
        </w:rPr>
        <w:t xml:space="preserve">In August 2015, a lawsuit was filed in Connecticut Superior Court entitled Richard T. O’Donnell, on behalf of himself and all others similarly situated v. AXA Equitable Life Insurance Company. This lawsuit is a </w:t>
      </w:r>
      <w:r>
        <w:rPr>
          <w:rFonts w:eastAsia="Times New Roman"/>
          <w:color w:val="000000"/>
          <w:sz w:val="20"/>
          <w:szCs w:val="20"/>
        </w:rPr>
        <w:t>putative class action on behalf of all persons who purchased variable annuities from Equitable Financial, in which the volatility management tool was subsequently implemented and who claim to have suffered injury as a result thereof. Plaintiff asserts a cl</w:t>
      </w:r>
      <w:r>
        <w:rPr>
          <w:rFonts w:eastAsia="Times New Roman"/>
          <w:color w:val="000000"/>
          <w:sz w:val="20"/>
          <w:szCs w:val="20"/>
        </w:rPr>
        <w:t>aim for breach of contract alleging that Equitable Financial implemented the volatility management strategy in violation of applicable law. Plaintiff seeks an award of damages individually and on a classwide basis, and costs and disbursements, including at</w:t>
      </w:r>
      <w:r>
        <w:rPr>
          <w:rFonts w:eastAsia="Times New Roman"/>
          <w:color w:val="000000"/>
          <w:sz w:val="20"/>
          <w:szCs w:val="20"/>
        </w:rPr>
        <w:t>torneys’ fees, expert witness fees and other costs. In 2015, the case was transferred to the Southern District of New York and, in 2018, transferred back to Connecticut Superior Court. In August 2019, the court granted Equitable Financial’s motion to strik</w:t>
      </w:r>
      <w:r>
        <w:rPr>
          <w:rFonts w:eastAsia="Times New Roman"/>
          <w:color w:val="000000"/>
          <w:sz w:val="20"/>
          <w:szCs w:val="20"/>
        </w:rPr>
        <w:t>e, which sought dismissal of the complaint, and in September 2019, Plaintiff filed an Amended Class Action Complaint. Equitable Financial filed renewed motions to strike and to dismiss and for an entry of judgment in October 2019. In August 2020, the court</w:t>
      </w:r>
      <w:r>
        <w:rPr>
          <w:rFonts w:eastAsia="Times New Roman"/>
          <w:color w:val="000000"/>
          <w:sz w:val="20"/>
          <w:szCs w:val="20"/>
        </w:rPr>
        <w:t xml:space="preserve"> granted Equitable Financial’s motion for entry of judgment. Plaintiff filed a notice of appeal and in February 2022, the Connecticut Appellate Court reversed </w:t>
      </w:r>
    </w:p>
    <w:p w:rsidR="00000000" w:rsidRDefault="005C524C">
      <w:pPr>
        <w:jc w:val="center"/>
        <w:divId w:val="478424341"/>
        <w:rPr>
          <w:rFonts w:eastAsia="Times New Roman"/>
        </w:rPr>
      </w:pPr>
      <w:r>
        <w:rPr>
          <w:rFonts w:eastAsia="Times New Roman"/>
          <w:color w:val="000000"/>
          <w:sz w:val="20"/>
          <w:szCs w:val="20"/>
        </w:rPr>
        <w:t>61</w:t>
      </w:r>
    </w:p>
    <w:p w:rsidR="00000000" w:rsidRDefault="005C524C">
      <w:pPr>
        <w:rPr>
          <w:rFonts w:eastAsia="Times New Roman"/>
        </w:rPr>
      </w:pPr>
      <w:r>
        <w:rPr>
          <w:rFonts w:eastAsia="Times New Roman"/>
        </w:rPr>
        <w:pict>
          <v:rect id="_x0000_i1087" style="width:0;height:1.5pt" o:hralign="center" o:hrstd="t" o:hr="t" fillcolor="#a0a0a0" stroked="f"/>
        </w:pict>
      </w:r>
    </w:p>
    <w:p w:rsidR="00000000" w:rsidRDefault="005C524C">
      <w:pPr>
        <w:divId w:val="23293822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133256077"/>
        <w:rPr>
          <w:rFonts w:eastAsia="Times New Roman"/>
        </w:rPr>
      </w:pPr>
      <w:r>
        <w:rPr>
          <w:rFonts w:eastAsia="Times New Roman"/>
          <w:b/>
          <w:bCs/>
          <w:color w:val="000000"/>
          <w:sz w:val="20"/>
          <w:szCs w:val="20"/>
        </w:rPr>
        <w:t>EQUITABLE HOLDINGS, INC.</w:t>
      </w:r>
    </w:p>
    <w:p w:rsidR="00000000" w:rsidRDefault="005C524C">
      <w:pPr>
        <w:jc w:val="center"/>
        <w:divId w:val="113325607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133256077"/>
        <w:rPr>
          <w:rFonts w:eastAsia="Times New Roman"/>
        </w:rPr>
      </w:pPr>
    </w:p>
    <w:p w:rsidR="00000000" w:rsidRDefault="005C524C">
      <w:pPr>
        <w:divId w:val="928008374"/>
        <w:rPr>
          <w:rFonts w:eastAsia="Times New Roman"/>
        </w:rPr>
      </w:pPr>
      <w:r>
        <w:rPr>
          <w:rFonts w:eastAsia="Times New Roman"/>
          <w:color w:val="000000"/>
          <w:sz w:val="20"/>
          <w:szCs w:val="20"/>
        </w:rPr>
        <w:t xml:space="preserve">the Superior Court’s entry of judgement. In April 2022, the Connecticut Supreme Court </w:t>
      </w:r>
      <w:r>
        <w:rPr>
          <w:rFonts w:eastAsia="Times New Roman"/>
          <w:color w:val="000000"/>
          <w:sz w:val="20"/>
          <w:szCs w:val="20"/>
        </w:rPr>
        <w:t>granted Equitable Financial’s petition to review the decision of the Connecticut Appellate Court. We are vigorously defending this matter.</w:t>
      </w:r>
    </w:p>
    <w:p w:rsidR="00000000" w:rsidRDefault="005C524C">
      <w:pPr>
        <w:divId w:val="14622015"/>
        <w:rPr>
          <w:rFonts w:eastAsia="Times New Roman"/>
        </w:rPr>
      </w:pPr>
      <w:r>
        <w:rPr>
          <w:rFonts w:eastAsia="Times New Roman"/>
          <w:color w:val="000000"/>
          <w:sz w:val="20"/>
          <w:szCs w:val="20"/>
        </w:rPr>
        <w:t xml:space="preserve">In February 2016, a lawsuit was filed in the Southern District of New York entitled Brach Family Foundation, Inc. v. </w:t>
      </w:r>
      <w:r>
        <w:rPr>
          <w:rFonts w:eastAsia="Times New Roman"/>
          <w:color w:val="000000"/>
          <w:sz w:val="20"/>
          <w:szCs w:val="20"/>
        </w:rPr>
        <w:t>AXA Equitable Life Insurance Company. This lawsuit is a putative class action brought on behalf of all owners of UL policies subject to Equitable Financial’s COI rate increase. In early 2016, Equitable Financial raised COI rates for certain UL policies iss</w:t>
      </w:r>
      <w:r>
        <w:rPr>
          <w:rFonts w:eastAsia="Times New Roman"/>
          <w:color w:val="000000"/>
          <w:sz w:val="20"/>
          <w:szCs w:val="20"/>
        </w:rPr>
        <w:t>ued between 2004 and 2008, which had both issue ages 70 and above and a current face value amount of $1 million and above. A second putative class action was filed in the District of Arizona in 2017 and consolidated with the Brach matter in federal court i</w:t>
      </w:r>
      <w:r>
        <w:rPr>
          <w:rFonts w:eastAsia="Times New Roman"/>
          <w:color w:val="000000"/>
          <w:sz w:val="20"/>
          <w:szCs w:val="20"/>
        </w:rPr>
        <w:t>n New York. The consolidated amended class action complaint alleges the following claims: breach of contract; misrepresentations in violation of Section 4226 of the New York Insurance Law; violations of New York General Business Law Section 349; and violat</w:t>
      </w:r>
      <w:r>
        <w:rPr>
          <w:rFonts w:eastAsia="Times New Roman"/>
          <w:color w:val="000000"/>
          <w:sz w:val="20"/>
          <w:szCs w:val="20"/>
        </w:rPr>
        <w:t xml:space="preserve">ions of the California Unfair Competition Law, and the California Elder Abuse Statute. Plaintiffs seek: (a) compensatory damages, costs, and, pre- and post-judgment interest; (b) with respect to their claim concerning Section 4226, a penalty in the amount </w:t>
      </w:r>
      <w:r>
        <w:rPr>
          <w:rFonts w:eastAsia="Times New Roman"/>
          <w:color w:val="000000"/>
          <w:sz w:val="20"/>
          <w:szCs w:val="20"/>
        </w:rPr>
        <w:t>of premiums paid by the plaintiffs and the putative class; and (c) injunctive relief and attorneys’ fees in connection with their statutory claims. In August 2020, the federal district court issued a decision certifying nationwide breach of contract and Se</w:t>
      </w:r>
      <w:r>
        <w:rPr>
          <w:rFonts w:eastAsia="Times New Roman"/>
          <w:color w:val="000000"/>
          <w:sz w:val="20"/>
          <w:szCs w:val="20"/>
        </w:rPr>
        <w:t>ction 4226 classes, and a New York State Section 349 class. Owners of a substantial number of policies opted out of the Brach class action. Most opt-out policies are not yet the subject of litigation. Others filed suit previously including five federal act</w:t>
      </w:r>
      <w:r>
        <w:rPr>
          <w:rFonts w:eastAsia="Times New Roman"/>
          <w:color w:val="000000"/>
          <w:sz w:val="20"/>
          <w:szCs w:val="20"/>
        </w:rPr>
        <w:t>ions that have been coordinated with the Brach action and contain similar allegations along with additional allegations for violations of state consumer protection statutes and common law fraud. In March 2022, the federal district court issued a summary ju</w:t>
      </w:r>
      <w:r>
        <w:rPr>
          <w:rFonts w:eastAsia="Times New Roman"/>
          <w:color w:val="000000"/>
          <w:sz w:val="20"/>
          <w:szCs w:val="20"/>
        </w:rPr>
        <w:t>dgment decision, denying in significant part but granting in part Equitable Financial’s motion and denying the motion filed by plaintiffs in the coordinated actions. In July 2022, the federal district court granted Equitable Financial’s motion to reconside</w:t>
      </w:r>
      <w:r>
        <w:rPr>
          <w:rFonts w:eastAsia="Times New Roman"/>
          <w:color w:val="000000"/>
          <w:sz w:val="20"/>
          <w:szCs w:val="20"/>
        </w:rPr>
        <w:t>r its summary judgment decision in part and granted summary judgment as to a portion of the Section 4226 class. The federal district court also agreed to consider whether it should decertify the Section 4226 class and set a briefing schedule. Equitable Fin</w:t>
      </w:r>
      <w:r>
        <w:rPr>
          <w:rFonts w:eastAsia="Times New Roman"/>
          <w:color w:val="000000"/>
          <w:sz w:val="20"/>
          <w:szCs w:val="20"/>
        </w:rPr>
        <w:t>ancial has commenced settlement discussions with the Brach class action plaintiffs and plaintiffs in the coordinated actions. No assurances can be given about the outcome of those settlement discussions. Equitable Financial has settled actual and threatene</w:t>
      </w:r>
      <w:r>
        <w:rPr>
          <w:rFonts w:eastAsia="Times New Roman"/>
          <w:color w:val="000000"/>
          <w:sz w:val="20"/>
          <w:szCs w:val="20"/>
        </w:rPr>
        <w:t>d litigations challenging the COI increase by individual policyowners and one entity that invested in numerous policies purchased in the life settlement market. Two actions are also pending against Equitable Financial in New York state court. In July 2022,</w:t>
      </w:r>
      <w:r>
        <w:rPr>
          <w:rFonts w:eastAsia="Times New Roman"/>
          <w:color w:val="000000"/>
          <w:sz w:val="20"/>
          <w:szCs w:val="20"/>
        </w:rPr>
        <w:t xml:space="preserve"> the trial court in one of the New York state court actions, Hobish v. AXA Equitable Life Insurance Company, granted in significant part Equitable Financial’s motion for summary judgment and denied plaintiff’s cross motion. That plaintiff filed a notice of</w:t>
      </w:r>
      <w:r>
        <w:rPr>
          <w:rFonts w:eastAsia="Times New Roman"/>
          <w:color w:val="000000"/>
          <w:sz w:val="20"/>
          <w:szCs w:val="20"/>
        </w:rPr>
        <w:t xml:space="preserve"> appeal. Equitable Financial is vigorously defending each of these matters.</w:t>
      </w:r>
    </w:p>
    <w:p w:rsidR="00000000" w:rsidRDefault="005C524C">
      <w:pPr>
        <w:divId w:val="485636551"/>
        <w:rPr>
          <w:rFonts w:eastAsia="Times New Roman"/>
        </w:rPr>
      </w:pPr>
      <w:r>
        <w:rPr>
          <w:rFonts w:eastAsia="Times New Roman"/>
          <w:color w:val="000000"/>
          <w:sz w:val="20"/>
          <w:szCs w:val="20"/>
        </w:rPr>
        <w:t>As with other financial services companies, Equitable Financial periodically receives informal and formal requests for information from various state and federal governmental agenc</w:t>
      </w:r>
      <w:r>
        <w:rPr>
          <w:rFonts w:eastAsia="Times New Roman"/>
          <w:color w:val="000000"/>
          <w:sz w:val="20"/>
          <w:szCs w:val="20"/>
        </w:rPr>
        <w:t xml:space="preserve">ies and self-regulatory organizations in connection with inquiries and investigations of the products and practices of the Company or the financial services industry. It is the practice of the Company to cooperate fully in these matters. In July 2022, the </w:t>
      </w:r>
      <w:r>
        <w:rPr>
          <w:rFonts w:eastAsia="Times New Roman"/>
          <w:color w:val="000000"/>
          <w:sz w:val="20"/>
          <w:szCs w:val="20"/>
        </w:rPr>
        <w:t>SEC issued an order with findings that daily separate account and portfolio operating expenses disclosed in customer prospectuses for the EQUI-VEST variable annuity product and incorporated in the calculation of net investment portfolio results in EQUI-VES</w:t>
      </w:r>
      <w:r>
        <w:rPr>
          <w:rFonts w:eastAsia="Times New Roman"/>
          <w:color w:val="000000"/>
          <w:sz w:val="20"/>
          <w:szCs w:val="20"/>
        </w:rPr>
        <w:t>T quarterly account statements were not properly presented or referenced in those account statements. The Company neither admitted nor denied the findings but agreed to prospectively modify the relevant account statements and cross-reference the relevant p</w:t>
      </w:r>
      <w:r>
        <w:rPr>
          <w:rFonts w:eastAsia="Times New Roman"/>
          <w:color w:val="000000"/>
          <w:sz w:val="20"/>
          <w:szCs w:val="20"/>
        </w:rPr>
        <w:t>rospectus disclosures, and pay a civil monetary penalty of $50 million, to be distributed to plan participants. The Company has fully accrued for the cost of the settlement and its implementation.</w:t>
      </w:r>
    </w:p>
    <w:p w:rsidR="00000000" w:rsidRDefault="005C524C">
      <w:pPr>
        <w:divId w:val="342128434"/>
        <w:rPr>
          <w:rFonts w:eastAsia="Times New Roman"/>
        </w:rPr>
      </w:pPr>
      <w:r>
        <w:rPr>
          <w:rFonts w:eastAsia="Times New Roman"/>
          <w:color w:val="000000"/>
          <w:sz w:val="20"/>
          <w:szCs w:val="20"/>
          <w:u w:val="single"/>
        </w:rPr>
        <w:t>Obligations under Funding Agreements</w:t>
      </w:r>
    </w:p>
    <w:p w:rsidR="00000000" w:rsidRDefault="005C524C">
      <w:pPr>
        <w:divId w:val="1930263701"/>
        <w:rPr>
          <w:rFonts w:eastAsia="Times New Roman"/>
        </w:rPr>
      </w:pPr>
      <w:r>
        <w:rPr>
          <w:rFonts w:eastAsia="Times New Roman"/>
          <w:b/>
          <w:bCs/>
          <w:i/>
          <w:iCs/>
          <w:color w:val="000000"/>
          <w:sz w:val="20"/>
          <w:szCs w:val="20"/>
        </w:rPr>
        <w:t xml:space="preserve">Pre-Capitalized Trust </w:t>
      </w:r>
      <w:r>
        <w:rPr>
          <w:rFonts w:eastAsia="Times New Roman"/>
          <w:b/>
          <w:bCs/>
          <w:i/>
          <w:iCs/>
          <w:color w:val="000000"/>
          <w:sz w:val="20"/>
          <w:szCs w:val="20"/>
        </w:rPr>
        <w:t>Securities (“P-Caps”)</w:t>
      </w:r>
    </w:p>
    <w:p w:rsidR="00000000" w:rsidRDefault="005C524C">
      <w:pPr>
        <w:divId w:val="282806004"/>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Trust I, a Delaware statut</w:t>
      </w:r>
      <w:r>
        <w:rPr>
          <w:rFonts w:eastAsia="Times New Roman"/>
          <w:color w:val="000000"/>
          <w:sz w:val="20"/>
          <w:szCs w:val="20"/>
        </w:rPr>
        <w:t>ory trust (the “2029 Trust”), completed the issuance and sale of 600,000 of its Pre-Capitalized Trust Securities redeemable February 15, 2029 (the “2029 P-Caps”) for an aggregate purchase price of $600 million and Pine Street Trust II, a Delaware statutory</w:t>
      </w:r>
      <w:r>
        <w:rPr>
          <w:rFonts w:eastAsia="Times New Roman"/>
          <w:color w:val="000000"/>
          <w:sz w:val="20"/>
          <w:szCs w:val="20"/>
        </w:rPr>
        <w:t xml:space="preserve"> trust (the “2049 Trust” and, together with the 2029 Trust, the “Trusts”), completed the issuance and sale of 400,000 of its Pre-Capitalized Trust Securities redeemable February 15, 2049 (the “2049 P-Caps” and, together with the 2029 P-Caps, the “P-Caps”) </w:t>
      </w:r>
      <w:r>
        <w:rPr>
          <w:rFonts w:eastAsia="Times New Roman"/>
          <w:color w:val="000000"/>
          <w:sz w:val="20"/>
          <w:szCs w:val="20"/>
        </w:rPr>
        <w:t xml:space="preserve">for an aggregate purchase price of $400 million in each case to qualified institutional buyers in reliance on Rule 144A that are also “qualified purchasers” for purposes of Section 3(c)(7) of the Investment Company Act of 1940, as amended. </w:t>
      </w:r>
    </w:p>
    <w:p w:rsidR="00000000" w:rsidRDefault="005C524C">
      <w:pPr>
        <w:divId w:val="656109941"/>
        <w:rPr>
          <w:rFonts w:eastAsia="Times New Roman"/>
        </w:rPr>
      </w:pPr>
      <w:r>
        <w:rPr>
          <w:rFonts w:eastAsia="Times New Roman"/>
          <w:color w:val="000000"/>
          <w:sz w:val="20"/>
          <w:szCs w:val="20"/>
        </w:rPr>
        <w:t xml:space="preserve">The P-Caps are </w:t>
      </w:r>
      <w:r>
        <w:rPr>
          <w:rFonts w:eastAsia="Times New Roman"/>
          <w:color w:val="000000"/>
          <w:sz w:val="20"/>
          <w:szCs w:val="20"/>
        </w:rPr>
        <w:t xml:space="preserve">an off-balance sheet contingent funding arrangement that, upon Holdings’ election, gives Holdings the right over a ten-year period (in the case of the 2029 Trust) or over a thirty-year period (in the case of the 2049 Trust) to </w:t>
      </w:r>
    </w:p>
    <w:p w:rsidR="00000000" w:rsidRDefault="005C524C">
      <w:pPr>
        <w:jc w:val="center"/>
        <w:divId w:val="813526615"/>
        <w:rPr>
          <w:rFonts w:eastAsia="Times New Roman"/>
        </w:rPr>
      </w:pPr>
      <w:r>
        <w:rPr>
          <w:rFonts w:eastAsia="Times New Roman"/>
          <w:color w:val="000000"/>
          <w:sz w:val="20"/>
          <w:szCs w:val="20"/>
        </w:rPr>
        <w:t>62</w:t>
      </w:r>
    </w:p>
    <w:p w:rsidR="00000000" w:rsidRDefault="005C524C">
      <w:pPr>
        <w:rPr>
          <w:rFonts w:eastAsia="Times New Roman"/>
        </w:rPr>
      </w:pPr>
      <w:r>
        <w:rPr>
          <w:rFonts w:eastAsia="Times New Roman"/>
        </w:rPr>
        <w:pict>
          <v:rect id="_x0000_i1088" style="width:0;height:1.5pt" o:hralign="center" o:hrstd="t" o:hr="t" fillcolor="#a0a0a0" stroked="f"/>
        </w:pict>
      </w:r>
    </w:p>
    <w:p w:rsidR="00000000" w:rsidRDefault="005C524C">
      <w:pPr>
        <w:divId w:val="203209790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090197222"/>
        <w:rPr>
          <w:rFonts w:eastAsia="Times New Roman"/>
        </w:rPr>
      </w:pPr>
      <w:r>
        <w:rPr>
          <w:rFonts w:eastAsia="Times New Roman"/>
          <w:b/>
          <w:bCs/>
          <w:color w:val="000000"/>
          <w:sz w:val="20"/>
          <w:szCs w:val="20"/>
        </w:rPr>
        <w:t>EQUITABLE HOLDINGS, INC.</w:t>
      </w:r>
    </w:p>
    <w:p w:rsidR="00000000" w:rsidRDefault="005C524C">
      <w:pPr>
        <w:jc w:val="center"/>
        <w:divId w:val="1090197222"/>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090197222"/>
        <w:rPr>
          <w:rFonts w:eastAsia="Times New Roman"/>
        </w:rPr>
      </w:pPr>
    </w:p>
    <w:p w:rsidR="00000000" w:rsidRDefault="005C524C">
      <w:pPr>
        <w:divId w:val="1975912083"/>
        <w:rPr>
          <w:rFonts w:eastAsia="Times New Roman"/>
        </w:rPr>
      </w:pPr>
      <w:r>
        <w:rPr>
          <w:rFonts w:eastAsia="Times New Roman"/>
          <w:color w:val="000000"/>
          <w:sz w:val="20"/>
          <w:szCs w:val="20"/>
        </w:rPr>
        <w:t xml:space="preserve">issue senior notes to these Trusts. The Trusts each invested the proceeds </w:t>
      </w:r>
      <w:r>
        <w:rPr>
          <w:rFonts w:eastAsia="Times New Roman"/>
          <w:color w:val="000000"/>
          <w:sz w:val="20"/>
          <w:szCs w:val="20"/>
        </w:rPr>
        <w:t>from the sale of their P-Caps in separate portfolios of principal and/or interest strips of U.S. Treasury securities. In return, Holdings will pay a semi-annual facility fee to the 2029 Trust and 2049 Trust calculated at a rate of 2.125% and 2.715% per ann</w:t>
      </w:r>
      <w:r>
        <w:rPr>
          <w:rFonts w:eastAsia="Times New Roman"/>
          <w:color w:val="000000"/>
          <w:sz w:val="20"/>
          <w:szCs w:val="20"/>
        </w:rPr>
        <w:t>um, respectively, which will be applied to the unexercised portion of the contingent funding arrangement and Holdings will reimburse the Trusts for certain expenses. The facility fees are recorded in Other operating costs and expenses in the Consolidated S</w:t>
      </w:r>
      <w:r>
        <w:rPr>
          <w:rFonts w:eastAsia="Times New Roman"/>
          <w:color w:val="000000"/>
          <w:sz w:val="20"/>
          <w:szCs w:val="20"/>
        </w:rPr>
        <w:t>tatements of Income (Loss).</w:t>
      </w:r>
    </w:p>
    <w:p w:rsidR="00000000" w:rsidRDefault="005C524C">
      <w:pPr>
        <w:jc w:val="both"/>
        <w:divId w:val="1129981818"/>
        <w:rPr>
          <w:rFonts w:eastAsia="Times New Roman"/>
        </w:rPr>
      </w:pPr>
      <w:r>
        <w:rPr>
          <w:rFonts w:eastAsia="Times New Roman"/>
          <w:b/>
          <w:bCs/>
          <w:i/>
          <w:iCs/>
          <w:color w:val="000000"/>
          <w:sz w:val="20"/>
          <w:szCs w:val="20"/>
        </w:rPr>
        <w:t>Federal Home Loan Bank (“FHLB”)</w:t>
      </w:r>
    </w:p>
    <w:p w:rsidR="00000000" w:rsidRDefault="005C524C">
      <w:pPr>
        <w:divId w:val="2098138080"/>
        <w:rPr>
          <w:rFonts w:eastAsia="Times New Roman"/>
        </w:rPr>
      </w:pPr>
      <w:r>
        <w:rPr>
          <w:rFonts w:eastAsia="Times New Roman"/>
          <w:color w:val="000000"/>
          <w:sz w:val="20"/>
          <w:szCs w:val="20"/>
        </w:rPr>
        <w:t>As a member of the FHLB, Equitable Financial has access to collateralized borrowings. It also may issue funding agreements to the FHLB. Both the collateralized borrowings and funding agreements wo</w:t>
      </w:r>
      <w:r>
        <w:rPr>
          <w:rFonts w:eastAsia="Times New Roman"/>
          <w:color w:val="000000"/>
          <w:sz w:val="20"/>
          <w:szCs w:val="20"/>
        </w:rPr>
        <w:t>uld require Equitable Financial to pledge qualified mortgage-backed assets and/or government securities as collateral. Equitable Financial issues short-term funding agreements to the FHLB and uses the funds for asset, liability, and cash management purpose</w:t>
      </w:r>
      <w:r>
        <w:rPr>
          <w:rFonts w:eastAsia="Times New Roman"/>
          <w:color w:val="000000"/>
          <w:sz w:val="20"/>
          <w:szCs w:val="20"/>
        </w:rPr>
        <w:t xml:space="preserve">s. Equitable Financial issues long-term funding agreements to the FHLB and uses the funds for spread lending purposes. </w:t>
      </w:r>
    </w:p>
    <w:p w:rsidR="00000000" w:rsidRDefault="005C524C">
      <w:pPr>
        <w:divId w:val="225263750"/>
        <w:rPr>
          <w:rFonts w:eastAsia="Times New Roman"/>
        </w:rPr>
      </w:pPr>
      <w:r>
        <w:rPr>
          <w:rFonts w:eastAsia="Times New Roman"/>
          <w:color w:val="000000"/>
          <w:sz w:val="20"/>
          <w:szCs w:val="20"/>
        </w:rPr>
        <w:t>Entering into FHLB membership, borrowings and funding agreements requires the ownership of FHLB stock and the pledge of assets as collat</w:t>
      </w:r>
      <w:r>
        <w:rPr>
          <w:rFonts w:eastAsia="Times New Roman"/>
          <w:color w:val="000000"/>
          <w:sz w:val="20"/>
          <w:szCs w:val="20"/>
        </w:rPr>
        <w:t xml:space="preserve">eral. Equitable Financial has purchased FHLB stock of $339 million and pledged collateral with a carrying value of </w:t>
      </w:r>
      <w:r>
        <w:rPr>
          <w:rFonts w:eastAsia="Times New Roman"/>
          <w:color w:val="000000"/>
          <w:sz w:val="20"/>
          <w:szCs w:val="20"/>
          <w:shd w:val="clear" w:color="auto" w:fill="FFFFFF"/>
        </w:rPr>
        <w:t>$10.2 billion</w:t>
      </w:r>
      <w:r>
        <w:rPr>
          <w:rFonts w:eastAsia="Times New Roman"/>
          <w:color w:val="000000"/>
          <w:sz w:val="20"/>
          <w:szCs w:val="20"/>
        </w:rPr>
        <w:t xml:space="preserve"> as of June 30, 2022.  </w:t>
      </w:r>
    </w:p>
    <w:p w:rsidR="00000000" w:rsidRDefault="005C524C">
      <w:pPr>
        <w:divId w:val="2021005377"/>
        <w:rPr>
          <w:rFonts w:eastAsia="Times New Roman"/>
        </w:rPr>
      </w:pPr>
      <w:r>
        <w:rPr>
          <w:rFonts w:eastAsia="Times New Roman"/>
          <w:color w:val="000000"/>
          <w:sz w:val="20"/>
          <w:szCs w:val="20"/>
        </w:rPr>
        <w:t xml:space="preserve">Funding agreements are reported in policyholders’ </w:t>
      </w:r>
      <w:r>
        <w:rPr>
          <w:rFonts w:eastAsia="Times New Roman"/>
          <w:color w:val="000000"/>
          <w:sz w:val="20"/>
          <w:szCs w:val="20"/>
        </w:rPr>
        <w:t>account balances in the consolidated balance sheets. For other instruments used for asset/liability and cash management purposes, see “Derivative and offsetting assets and liabilities” included in Note 4 of the Notes to these Consolidated Financial Stateme</w:t>
      </w:r>
      <w:r>
        <w:rPr>
          <w:rFonts w:eastAsia="Times New Roman"/>
          <w:color w:val="000000"/>
          <w:sz w:val="20"/>
          <w:szCs w:val="20"/>
        </w:rPr>
        <w:t>nts. The table below summarizes the Company’s activity of funding agreements with the FHLB.</w:t>
      </w:r>
    </w:p>
    <w:p w:rsidR="00000000" w:rsidRDefault="005C524C">
      <w:pPr>
        <w:jc w:val="center"/>
        <w:rPr>
          <w:rFonts w:eastAsia="Times New Roman"/>
        </w:rPr>
      </w:pPr>
      <w:r>
        <w:rPr>
          <w:rFonts w:eastAsia="Times New Roman"/>
          <w:b/>
          <w:bCs/>
          <w:color w:val="000000"/>
          <w:sz w:val="20"/>
          <w:szCs w:val="20"/>
        </w:rPr>
        <w:t xml:space="preserve">Change in FHLB Funding Agreements during the Six Months Ended June 30, 2022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333"/>
        <w:gridCol w:w="37"/>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2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5C524C">
            <w:pPr>
              <w:jc w:val="center"/>
              <w:rPr>
                <w:rFonts w:eastAsia="Times New Roman"/>
              </w:rPr>
            </w:pPr>
          </w:p>
        </w:tc>
        <w:tc>
          <w:tcPr>
            <w:tcW w:w="145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0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4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Outstanding Balance at June 30, 2022</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5,353 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jc w:val="right"/>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right"/>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720"/>
        <w:divId w:val="272641116"/>
        <w:rPr>
          <w:rFonts w:eastAsia="Times New Roman"/>
        </w:rPr>
      </w:pPr>
      <w:r>
        <w:rPr>
          <w:rFonts w:eastAsia="Times New Roman"/>
          <w:color w:val="000000"/>
          <w:sz w:val="18"/>
          <w:szCs w:val="18"/>
        </w:rPr>
        <w:t>_____________</w:t>
      </w:r>
    </w:p>
    <w:p w:rsidR="00000000" w:rsidRDefault="005C524C">
      <w:pPr>
        <w:ind w:hanging="360"/>
        <w:divId w:val="1345090836"/>
        <w:rPr>
          <w:rFonts w:eastAsia="Times New Roman"/>
        </w:rPr>
      </w:pPr>
      <w:r>
        <w:rPr>
          <w:rFonts w:eastAsia="Times New Roman"/>
          <w:color w:val="000000"/>
          <w:sz w:val="18"/>
          <w:szCs w:val="18"/>
        </w:rPr>
        <w:t>(1)</w:t>
      </w:r>
      <w:r>
        <w:rPr>
          <w:rFonts w:eastAsia="Times New Roman"/>
          <w:color w:val="000000"/>
          <w:sz w:val="18"/>
          <w:szCs w:val="18"/>
        </w:rPr>
        <w:t>The $4 million and $4 million difference between the funding agreements carrying value shown in fair value table for June 30, 2022 and December 31, 2021, respectively, reflects the remaining amortization of a hedge implemented and closed, which locked in t</w:t>
      </w:r>
      <w:r>
        <w:rPr>
          <w:rFonts w:eastAsia="Times New Roman"/>
          <w:color w:val="000000"/>
          <w:sz w:val="18"/>
          <w:szCs w:val="18"/>
        </w:rPr>
        <w:t>he funding agreements borrowing rates.</w:t>
      </w:r>
    </w:p>
    <w:p w:rsidR="00000000" w:rsidRDefault="005C524C">
      <w:pPr>
        <w:jc w:val="both"/>
        <w:divId w:val="660890301"/>
        <w:rPr>
          <w:rFonts w:eastAsia="Times New Roman"/>
        </w:rPr>
      </w:pPr>
      <w:r>
        <w:rPr>
          <w:rFonts w:eastAsia="Times New Roman"/>
          <w:b/>
          <w:bCs/>
          <w:i/>
          <w:iCs/>
          <w:color w:val="000000"/>
          <w:sz w:val="20"/>
          <w:szCs w:val="20"/>
        </w:rPr>
        <w:t>Funding Agreement-Backed Notes Program</w:t>
      </w:r>
    </w:p>
    <w:p w:rsidR="00000000" w:rsidRDefault="005C524C">
      <w:pPr>
        <w:divId w:val="278033688"/>
        <w:rPr>
          <w:rFonts w:eastAsia="Times New Roman"/>
        </w:rPr>
      </w:pPr>
      <w:r>
        <w:rPr>
          <w:rFonts w:eastAsia="Times New Roman"/>
          <w:color w:val="000000"/>
          <w:sz w:val="20"/>
          <w:szCs w:val="20"/>
        </w:rPr>
        <w:t>Under the FABN program, Equitable Financial may issue funding agreements in U.S. dollar or other foreign currencies to a Delaware special purpose statutory trust (the “Trust”) in</w:t>
      </w:r>
      <w:r>
        <w:rPr>
          <w:rFonts w:eastAsia="Times New Roman"/>
          <w:color w:val="000000"/>
          <w:sz w:val="20"/>
          <w:szCs w:val="20"/>
        </w:rPr>
        <w:t xml:space="preserve"> exchange for the proceeds from issuances of fixed and floating rate medium-term marketable notes issued by the Trust from time to time (the “Trust Notes”). The funding agreements have matching interest, maturity and currency payment terms to the applicabl</w:t>
      </w:r>
      <w:r>
        <w:rPr>
          <w:rFonts w:eastAsia="Times New Roman"/>
          <w:color w:val="000000"/>
          <w:sz w:val="20"/>
          <w:szCs w:val="20"/>
        </w:rPr>
        <w:t>e Trust Notes. The Company hedges the foreign currency exposure of foreign currency denominated funding agreements using cross currency swaps as discussed in Note 4 of the Notes to these Consolidated Financial Statements. As of June 30, 2022, the maximum a</w:t>
      </w:r>
      <w:r>
        <w:rPr>
          <w:rFonts w:eastAsia="Times New Roman"/>
          <w:color w:val="000000"/>
          <w:sz w:val="20"/>
          <w:szCs w:val="20"/>
        </w:rPr>
        <w:t>ggregate principal amount of Trust Notes permitted to be outstanding at any one time is $10 billion. Funding agreements issued to the Trust, including any foreign currency transaction adjustments, are reported in policyholders’ account balances in the cons</w:t>
      </w:r>
      <w:r>
        <w:rPr>
          <w:rFonts w:eastAsia="Times New Roman"/>
          <w:color w:val="000000"/>
          <w:sz w:val="20"/>
          <w:szCs w:val="20"/>
        </w:rPr>
        <w:t>olidated balance sheets. Foreign currency transaction adjustments to policyholder’s account balances are recognized in net income (loss) as an adjustment to interest credited to policyholders’ account balances and are offset in interest credited to policyh</w:t>
      </w:r>
      <w:r>
        <w:rPr>
          <w:rFonts w:eastAsia="Times New Roman"/>
          <w:color w:val="000000"/>
          <w:sz w:val="20"/>
          <w:szCs w:val="20"/>
        </w:rPr>
        <w:t xml:space="preserve">olders’ account balances by a release of </w:t>
      </w:r>
    </w:p>
    <w:p w:rsidR="00000000" w:rsidRDefault="005C524C">
      <w:pPr>
        <w:jc w:val="center"/>
        <w:divId w:val="1423065952"/>
        <w:rPr>
          <w:rFonts w:eastAsia="Times New Roman"/>
        </w:rPr>
      </w:pPr>
      <w:r>
        <w:rPr>
          <w:rFonts w:eastAsia="Times New Roman"/>
          <w:color w:val="000000"/>
          <w:sz w:val="20"/>
          <w:szCs w:val="20"/>
        </w:rPr>
        <w:t>63</w:t>
      </w:r>
    </w:p>
    <w:p w:rsidR="00000000" w:rsidRDefault="005C524C">
      <w:pPr>
        <w:rPr>
          <w:rFonts w:eastAsia="Times New Roman"/>
        </w:rPr>
      </w:pPr>
      <w:r>
        <w:rPr>
          <w:rFonts w:eastAsia="Times New Roman"/>
        </w:rPr>
        <w:pict>
          <v:rect id="_x0000_i1089" style="width:0;height:1.5pt" o:hralign="center" o:hrstd="t" o:hr="t" fillcolor="#a0a0a0" stroked="f"/>
        </w:pict>
      </w:r>
    </w:p>
    <w:p w:rsidR="00000000" w:rsidRDefault="005C524C">
      <w:pPr>
        <w:divId w:val="5756227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867764514"/>
        <w:rPr>
          <w:rFonts w:eastAsia="Times New Roman"/>
        </w:rPr>
      </w:pPr>
      <w:r>
        <w:rPr>
          <w:rFonts w:eastAsia="Times New Roman"/>
          <w:b/>
          <w:bCs/>
          <w:color w:val="000000"/>
          <w:sz w:val="20"/>
          <w:szCs w:val="20"/>
        </w:rPr>
        <w:t>EQUITABLE HOLDINGS, INC.</w:t>
      </w:r>
    </w:p>
    <w:p w:rsidR="00000000" w:rsidRDefault="005C524C">
      <w:pPr>
        <w:jc w:val="center"/>
        <w:divId w:val="867764514"/>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867764514"/>
        <w:rPr>
          <w:rFonts w:eastAsia="Times New Roman"/>
        </w:rPr>
      </w:pPr>
    </w:p>
    <w:p w:rsidR="00000000" w:rsidRDefault="005C524C">
      <w:pPr>
        <w:divId w:val="1952514073"/>
        <w:rPr>
          <w:rFonts w:eastAsia="Times New Roman"/>
        </w:rPr>
      </w:pPr>
      <w:r>
        <w:rPr>
          <w:rFonts w:eastAsia="Times New Roman"/>
          <w:color w:val="000000"/>
          <w:sz w:val="20"/>
          <w:szCs w:val="20"/>
        </w:rPr>
        <w:t>AOCI</w:t>
      </w:r>
      <w:r>
        <w:rPr>
          <w:rFonts w:eastAsia="Times New Roman"/>
          <w:color w:val="000000"/>
          <w:sz w:val="20"/>
          <w:szCs w:val="20"/>
        </w:rPr>
        <w:t xml:space="preserve"> from deferred changes in fair value of designated and qualifying cross currency swap cash flow hedges. The table below summarizes Equitable Financial’s activity of funding agreements under the FABN program. </w:t>
      </w:r>
    </w:p>
    <w:p w:rsidR="00000000" w:rsidRDefault="005C524C">
      <w:pPr>
        <w:jc w:val="center"/>
        <w:rPr>
          <w:rFonts w:eastAsia="Times New Roman"/>
        </w:rPr>
      </w:pPr>
      <w:r>
        <w:rPr>
          <w:rFonts w:eastAsia="Times New Roman"/>
          <w:b/>
          <w:bCs/>
          <w:color w:val="000000"/>
          <w:sz w:val="20"/>
          <w:szCs w:val="20"/>
        </w:rPr>
        <w:t>Change in FABN Funding Agreements during the Si</w:t>
      </w:r>
      <w:r>
        <w:rPr>
          <w:rFonts w:eastAsia="Times New Roman"/>
          <w:b/>
          <w:bCs/>
          <w:color w:val="000000"/>
          <w:sz w:val="20"/>
          <w:szCs w:val="20"/>
        </w:rPr>
        <w:t>x Months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38"/>
        <w:gridCol w:w="1527"/>
        <w:gridCol w:w="37"/>
        <w:gridCol w:w="121"/>
        <w:gridCol w:w="789"/>
        <w:gridCol w:w="36"/>
        <w:gridCol w:w="36"/>
        <w:gridCol w:w="36"/>
        <w:gridCol w:w="36"/>
        <w:gridCol w:w="121"/>
        <w:gridCol w:w="454"/>
        <w:gridCol w:w="36"/>
        <w:gridCol w:w="36"/>
        <w:gridCol w:w="36"/>
        <w:gridCol w:w="36"/>
        <w:gridCol w:w="121"/>
        <w:gridCol w:w="450"/>
        <w:gridCol w:w="36"/>
        <w:gridCol w:w="36"/>
        <w:gridCol w:w="36"/>
        <w:gridCol w:w="36"/>
        <w:gridCol w:w="121"/>
        <w:gridCol w:w="751"/>
        <w:gridCol w:w="36"/>
        <w:gridCol w:w="36"/>
        <w:gridCol w:w="36"/>
        <w:gridCol w:w="36"/>
        <w:gridCol w:w="121"/>
        <w:gridCol w:w="749"/>
        <w:gridCol w:w="36"/>
        <w:gridCol w:w="36"/>
        <w:gridCol w:w="36"/>
        <w:gridCol w:w="36"/>
        <w:gridCol w:w="36"/>
        <w:gridCol w:w="36"/>
        <w:gridCol w:w="36"/>
        <w:gridCol w:w="36"/>
        <w:gridCol w:w="36"/>
        <w:gridCol w:w="36"/>
        <w:gridCol w:w="121"/>
        <w:gridCol w:w="759"/>
        <w:gridCol w:w="36"/>
        <w:gridCol w:w="36"/>
        <w:gridCol w:w="36"/>
        <w:gridCol w:w="36"/>
        <w:gridCol w:w="121"/>
        <w:gridCol w:w="789"/>
        <w:gridCol w:w="36"/>
      </w:tblGrid>
      <w:tr w:rsidR="00000000">
        <w:trPr>
          <w:divId w:val="676927024"/>
        </w:trPr>
        <w:tc>
          <w:tcPr>
            <w:tcW w:w="50" w:type="pct"/>
            <w:vAlign w:val="center"/>
            <w:hideMark/>
          </w:tcPr>
          <w:p w:rsidR="00000000" w:rsidRDefault="005C524C">
            <w:pPr>
              <w:jc w:val="center"/>
              <w:rPr>
                <w:rFonts w:eastAsia="Times New Roman"/>
              </w:rPr>
            </w:pPr>
          </w:p>
        </w:tc>
        <w:tc>
          <w:tcPr>
            <w:tcW w:w="172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1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3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8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1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Outstanding Balance at December 31, 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Outstanding Balance at June 30,</w:t>
            </w:r>
            <w:r>
              <w:rPr>
                <w:rFonts w:eastAsia="Times New Roman"/>
                <w:b/>
                <w:bCs/>
                <w:color w:val="000000"/>
                <w:sz w:val="16"/>
                <w:szCs w:val="16"/>
              </w:rPr>
              <w:br/>
              <w:t>2022</w:t>
            </w:r>
          </w:p>
        </w:tc>
      </w:tr>
      <w:tr w:rsidR="00000000">
        <w:trPr>
          <w:divId w:val="676927024"/>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5C524C">
        <w:trPr>
          <w:divId w:val="676927024"/>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7692702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shd w:val="clear" w:color="auto" w:fill="CCEE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76927024"/>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76927024"/>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5,674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5C524C">
        <w:trPr>
          <w:divId w:val="67692702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76927024"/>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67692702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1122648436"/>
        <w:rPr>
          <w:rFonts w:eastAsia="Times New Roman"/>
        </w:rPr>
      </w:pPr>
      <w:r>
        <w:rPr>
          <w:rFonts w:eastAsia="Times New Roman"/>
          <w:color w:val="000000"/>
          <w:sz w:val="18"/>
          <w:szCs w:val="18"/>
        </w:rPr>
        <w:t>_____________</w:t>
      </w:r>
    </w:p>
    <w:p w:rsidR="00000000" w:rsidRDefault="005C524C">
      <w:pPr>
        <w:ind w:hanging="360"/>
        <w:divId w:val="413892036"/>
        <w:rPr>
          <w:rFonts w:eastAsia="Times New Roman"/>
        </w:rPr>
      </w:pPr>
      <w:r>
        <w:rPr>
          <w:rFonts w:eastAsia="Times New Roman"/>
          <w:color w:val="000000"/>
          <w:sz w:val="18"/>
          <w:szCs w:val="18"/>
        </w:rPr>
        <w:t xml:space="preserve">(1)The $3 million and $70 </w:t>
      </w:r>
      <w:r>
        <w:rPr>
          <w:rFonts w:eastAsia="Times New Roman"/>
          <w:color w:val="000000"/>
          <w:sz w:val="18"/>
          <w:szCs w:val="18"/>
        </w:rPr>
        <w:t>million difference between the funding agreements notional value shown and carrying value table as of June 30, 2022 and December 31, 2021, respectively, reflects the remaining amortization of the issuance cost of the funding agreements and the foreign curr</w:t>
      </w:r>
      <w:r>
        <w:rPr>
          <w:rFonts w:eastAsia="Times New Roman"/>
          <w:color w:val="000000"/>
          <w:sz w:val="18"/>
          <w:szCs w:val="18"/>
        </w:rPr>
        <w:t xml:space="preserve">ency transaction adjustment. </w:t>
      </w:r>
    </w:p>
    <w:p w:rsidR="00000000" w:rsidRDefault="005C524C">
      <w:pPr>
        <w:jc w:val="both"/>
        <w:divId w:val="96490692"/>
        <w:rPr>
          <w:rFonts w:eastAsia="Times New Roman"/>
        </w:rPr>
      </w:pPr>
      <w:r>
        <w:rPr>
          <w:rFonts w:eastAsia="Times New Roman"/>
          <w:b/>
          <w:bCs/>
          <w:i/>
          <w:iCs/>
          <w:color w:val="000000"/>
          <w:sz w:val="20"/>
          <w:szCs w:val="20"/>
        </w:rPr>
        <w:t>Holdings Revolving Credit Facility</w:t>
      </w:r>
    </w:p>
    <w:p w:rsidR="00000000" w:rsidRDefault="005C524C">
      <w:pPr>
        <w:divId w:val="67310633"/>
        <w:rPr>
          <w:rFonts w:eastAsia="Times New Roman"/>
        </w:rPr>
      </w:pPr>
      <w:r>
        <w:rPr>
          <w:rFonts w:eastAsia="Times New Roman"/>
          <w:color w:val="000000"/>
          <w:sz w:val="20"/>
          <w:szCs w:val="20"/>
        </w:rPr>
        <w:t>In February 2018, Holdings entered into a $2.5 billion five-year senior unsecured revolving credit facility with a syndicate of banks. In June 2021, Holdings entered into an amended and resta</w:t>
      </w:r>
      <w:r>
        <w:rPr>
          <w:rFonts w:eastAsia="Times New Roman"/>
          <w:color w:val="000000"/>
          <w:sz w:val="20"/>
          <w:szCs w:val="20"/>
        </w:rPr>
        <w:t>ted revolving credit agreement, which lowered the facility amount to $1.5 billion and extended the maturity date to June 24, 2026, among other changes. The revolving credit facility has a sub-limit of $1.5 billion for the issuance of letters of credit to s</w:t>
      </w:r>
      <w:r>
        <w:rPr>
          <w:rFonts w:eastAsia="Times New Roman"/>
          <w:color w:val="000000"/>
          <w:sz w:val="20"/>
          <w:szCs w:val="20"/>
        </w:rPr>
        <w:t xml:space="preserve">upport the life insurance business reinsured by EQ AZ Life Re. As of June 30, 2022, the Company had $30 million undrawn letters of credit issued out of the $1.5 billion sub-limit for Equitable Financial as beneficiary. </w:t>
      </w:r>
    </w:p>
    <w:p w:rsidR="00000000" w:rsidRDefault="005C524C">
      <w:pPr>
        <w:jc w:val="both"/>
        <w:divId w:val="2091385122"/>
        <w:rPr>
          <w:rFonts w:eastAsia="Times New Roman"/>
        </w:rPr>
      </w:pPr>
      <w:r>
        <w:rPr>
          <w:rFonts w:eastAsia="Times New Roman"/>
          <w:b/>
          <w:bCs/>
          <w:i/>
          <w:iCs/>
          <w:color w:val="000000"/>
          <w:sz w:val="20"/>
          <w:szCs w:val="20"/>
        </w:rPr>
        <w:t>Bilateral Letter of Credit Facilitie</w:t>
      </w:r>
      <w:r>
        <w:rPr>
          <w:rFonts w:eastAsia="Times New Roman"/>
          <w:b/>
          <w:bCs/>
          <w:i/>
          <w:iCs/>
          <w:color w:val="000000"/>
          <w:sz w:val="20"/>
          <w:szCs w:val="20"/>
        </w:rPr>
        <w:t>s</w:t>
      </w:r>
    </w:p>
    <w:p w:rsidR="00000000" w:rsidRDefault="005C524C">
      <w:pPr>
        <w:divId w:val="1887403800"/>
        <w:rPr>
          <w:rFonts w:eastAsia="Times New Roman"/>
        </w:rPr>
      </w:pPr>
      <w:r>
        <w:rPr>
          <w:rFonts w:eastAsia="Times New Roman"/>
          <w:color w:val="000000"/>
          <w:sz w:val="20"/>
          <w:szCs w:val="20"/>
        </w:rPr>
        <w:t xml:space="preserve">In February 2018, the Company entered into bilateral letter of credit facilities, each guaranteed by Holdings, with an aggregate principal amount of approximately $1.9 billion, with multiple counterparties. In June 2021, Holdings entered into amendments </w:t>
      </w:r>
      <w:r>
        <w:rPr>
          <w:rFonts w:eastAsia="Times New Roman"/>
          <w:color w:val="000000"/>
          <w:sz w:val="20"/>
          <w:szCs w:val="20"/>
        </w:rPr>
        <w:t>with each of the issuers of its bilateral letter of credit facilities to effect changes similar to those effected in the amended and restated revolving credit agreement. The respective facility limits of the bilateral letter of credit facilities remained u</w:t>
      </w:r>
      <w:r>
        <w:rPr>
          <w:rFonts w:eastAsia="Times New Roman"/>
          <w:color w:val="000000"/>
          <w:sz w:val="20"/>
          <w:szCs w:val="20"/>
        </w:rPr>
        <w:t>nchanged. These facilities support the life insurance business reinsured by EQ AZ Life Re. The HSBC facility matures on February 16, 2024 and the rest of the facilities mature on February 16, 2026.</w:t>
      </w:r>
    </w:p>
    <w:p w:rsidR="00000000" w:rsidRDefault="005C524C">
      <w:pPr>
        <w:divId w:val="1498962119"/>
        <w:rPr>
          <w:rFonts w:eastAsia="Times New Roman"/>
        </w:rPr>
      </w:pPr>
      <w:r>
        <w:rPr>
          <w:rFonts w:eastAsia="Times New Roman"/>
          <w:color w:val="000000"/>
          <w:sz w:val="20"/>
          <w:szCs w:val="20"/>
          <w:u w:val="single"/>
        </w:rPr>
        <w:t>Guarantees and Other Commitments</w:t>
      </w:r>
    </w:p>
    <w:p w:rsidR="00000000" w:rsidRDefault="005C524C">
      <w:pPr>
        <w:divId w:val="2104760494"/>
        <w:rPr>
          <w:rFonts w:eastAsia="Times New Roman"/>
        </w:rPr>
      </w:pPr>
      <w:r>
        <w:rPr>
          <w:rFonts w:eastAsia="Times New Roman"/>
          <w:color w:val="000000"/>
          <w:sz w:val="20"/>
          <w:szCs w:val="20"/>
        </w:rPr>
        <w:t>The Company provides cert</w:t>
      </w:r>
      <w:r>
        <w:rPr>
          <w:rFonts w:eastAsia="Times New Roman"/>
          <w:color w:val="000000"/>
          <w:sz w:val="20"/>
          <w:szCs w:val="20"/>
        </w:rPr>
        <w:t>ain guarantees or commitments to affiliates and others. As of June 30, 2022, these arrangements include commitments by the Company to provide equity financing of $1.3 billion to certain limited partnerships and real estate joint ventures under certain cond</w:t>
      </w:r>
      <w:r>
        <w:rPr>
          <w:rFonts w:eastAsia="Times New Roman"/>
          <w:color w:val="000000"/>
          <w:sz w:val="20"/>
          <w:szCs w:val="20"/>
        </w:rPr>
        <w:t>itions. Management believes the Company will not incur material losses as a result of these commitments.</w:t>
      </w:r>
    </w:p>
    <w:p w:rsidR="00000000" w:rsidRDefault="005C524C">
      <w:pPr>
        <w:divId w:val="1473208967"/>
        <w:rPr>
          <w:rFonts w:eastAsia="Times New Roman"/>
        </w:rPr>
      </w:pPr>
      <w:r>
        <w:rPr>
          <w:rFonts w:eastAsia="Times New Roman"/>
          <w:color w:val="000000"/>
          <w:sz w:val="20"/>
          <w:szCs w:val="20"/>
        </w:rPr>
        <w:t xml:space="preserve">The Company had $17 million of undrawn letters of credit related to reinsurance as of June 30, 2022. The Company had $830 million of commitments under </w:t>
      </w:r>
      <w:r>
        <w:rPr>
          <w:rFonts w:eastAsia="Times New Roman"/>
          <w:color w:val="000000"/>
          <w:sz w:val="20"/>
          <w:szCs w:val="20"/>
        </w:rPr>
        <w:t>existing mortgage loan agreements as of June 30, 2022.</w:t>
      </w:r>
    </w:p>
    <w:p w:rsidR="00000000" w:rsidRDefault="005C524C">
      <w:pPr>
        <w:divId w:val="1737973751"/>
        <w:rPr>
          <w:rFonts w:eastAsia="Times New Roman"/>
        </w:rPr>
      </w:pPr>
      <w:r>
        <w:rPr>
          <w:rFonts w:eastAsia="Times New Roman"/>
          <w:color w:val="000000"/>
          <w:sz w:val="20"/>
          <w:szCs w:val="20"/>
        </w:rPr>
        <w:t>The Company is the obligor under certain structured settlement agreements it had entered into with unaffiliated insurance companies and beneficiaries. To satisfy its obligations under these agreements,</w:t>
      </w:r>
      <w:r>
        <w:rPr>
          <w:rFonts w:eastAsia="Times New Roman"/>
          <w:color w:val="000000"/>
          <w:sz w:val="20"/>
          <w:szCs w:val="20"/>
        </w:rPr>
        <w:t xml:space="preserve"> the Company owns single premium annuities issued by previously wholly-owned life insurance subsidiaries. The Company has directed payment under these annuities to be made directly to the beneficiaries under the structured settlement agreements. A continge</w:t>
      </w:r>
      <w:r>
        <w:rPr>
          <w:rFonts w:eastAsia="Times New Roman"/>
          <w:color w:val="000000"/>
          <w:sz w:val="20"/>
          <w:szCs w:val="20"/>
        </w:rPr>
        <w:t>nt liability exists with respect to these agreements should the previously wholly-owned subsidiaries be unable to meet their obligations. Management believes the need for the Company to satisfy those obligations is remote.</w:t>
      </w:r>
    </w:p>
    <w:p w:rsidR="00000000" w:rsidRDefault="005C524C">
      <w:pPr>
        <w:divId w:val="590896906"/>
        <w:rPr>
          <w:rFonts w:eastAsia="Times New Roman"/>
        </w:rPr>
      </w:pPr>
      <w:r>
        <w:rPr>
          <w:rFonts w:eastAsia="Times New Roman"/>
          <w:b/>
          <w:bCs/>
          <w:color w:val="000000"/>
          <w:sz w:val="20"/>
          <w:szCs w:val="20"/>
        </w:rPr>
        <w:t xml:space="preserve">13)    INSURANCE GROUP STATUTORY </w:t>
      </w:r>
      <w:r>
        <w:rPr>
          <w:rFonts w:eastAsia="Times New Roman"/>
          <w:b/>
          <w:bCs/>
          <w:color w:val="000000"/>
          <w:sz w:val="20"/>
          <w:szCs w:val="20"/>
        </w:rPr>
        <w:t>FINANCIAL INFORMATION</w:t>
      </w:r>
    </w:p>
    <w:p w:rsidR="00000000" w:rsidRDefault="005C524C">
      <w:pPr>
        <w:jc w:val="center"/>
        <w:divId w:val="413015200"/>
        <w:rPr>
          <w:rFonts w:eastAsia="Times New Roman"/>
        </w:rPr>
      </w:pPr>
      <w:r>
        <w:rPr>
          <w:rFonts w:eastAsia="Times New Roman"/>
          <w:color w:val="000000"/>
          <w:sz w:val="20"/>
          <w:szCs w:val="20"/>
        </w:rPr>
        <w:t>64</w:t>
      </w:r>
    </w:p>
    <w:p w:rsidR="00000000" w:rsidRDefault="005C524C">
      <w:pPr>
        <w:rPr>
          <w:rFonts w:eastAsia="Times New Roman"/>
        </w:rPr>
      </w:pPr>
      <w:r>
        <w:rPr>
          <w:rFonts w:eastAsia="Times New Roman"/>
        </w:rPr>
        <w:pict>
          <v:rect id="_x0000_i1090" style="width:0;height:1.5pt" o:hralign="center" o:hrstd="t" o:hr="t" fillcolor="#a0a0a0" stroked="f"/>
        </w:pict>
      </w:r>
    </w:p>
    <w:p w:rsidR="00000000" w:rsidRDefault="005C524C">
      <w:pPr>
        <w:divId w:val="128288585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2041928977"/>
        <w:rPr>
          <w:rFonts w:eastAsia="Times New Roman"/>
        </w:rPr>
      </w:pPr>
      <w:r>
        <w:rPr>
          <w:rFonts w:eastAsia="Times New Roman"/>
          <w:b/>
          <w:bCs/>
          <w:color w:val="000000"/>
          <w:sz w:val="20"/>
          <w:szCs w:val="20"/>
        </w:rPr>
        <w:t>EQUITABLE HOLDINGS, INC.</w:t>
      </w:r>
    </w:p>
    <w:p w:rsidR="00000000" w:rsidRDefault="005C524C">
      <w:pPr>
        <w:jc w:val="center"/>
        <w:divId w:val="2041928977"/>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2041928977"/>
        <w:rPr>
          <w:rFonts w:eastAsia="Times New Roman"/>
        </w:rPr>
      </w:pPr>
    </w:p>
    <w:p w:rsidR="00000000" w:rsidRDefault="005C524C">
      <w:pPr>
        <w:divId w:val="2102681408"/>
        <w:rPr>
          <w:rFonts w:eastAsia="Times New Roman"/>
        </w:rPr>
      </w:pPr>
      <w:r>
        <w:rPr>
          <w:rFonts w:eastAsia="Times New Roman"/>
          <w:color w:val="000000"/>
          <w:sz w:val="20"/>
          <w:szCs w:val="20"/>
          <w:u w:val="single"/>
        </w:rPr>
        <w:t>Prescribed and Permitted Accounting Practices</w:t>
      </w:r>
    </w:p>
    <w:p w:rsidR="00000000" w:rsidRDefault="005C524C">
      <w:pPr>
        <w:divId w:val="1238130154"/>
        <w:rPr>
          <w:rFonts w:eastAsia="Times New Roman"/>
        </w:rPr>
      </w:pPr>
      <w:r>
        <w:rPr>
          <w:rFonts w:eastAsia="Times New Roman"/>
          <w:color w:val="000000"/>
          <w:sz w:val="20"/>
          <w:szCs w:val="20"/>
        </w:rPr>
        <w:t>As of June 30, 2022, the following three prescribed and permitted practices resulted in net income (loss) and capital and surplus that is diff</w:t>
      </w:r>
      <w:r>
        <w:rPr>
          <w:rFonts w:eastAsia="Times New Roman"/>
          <w:color w:val="000000"/>
          <w:sz w:val="20"/>
          <w:szCs w:val="20"/>
        </w:rPr>
        <w:t>erent from the statutory surplus that would have been reported had NAIC statutory accounting practices been applied.</w:t>
      </w:r>
    </w:p>
    <w:p w:rsidR="00000000" w:rsidRDefault="005C524C">
      <w:pPr>
        <w:divId w:val="1865360491"/>
        <w:rPr>
          <w:rFonts w:eastAsia="Times New Roman"/>
        </w:rPr>
      </w:pPr>
      <w:r>
        <w:rPr>
          <w:rFonts w:eastAsia="Times New Roman"/>
          <w:color w:val="000000"/>
          <w:sz w:val="20"/>
          <w:szCs w:val="20"/>
        </w:rPr>
        <w:t>Equitable Financial was granted a permitted practice by the NYDFS to apply SSAP 108, Derivatives Hedging Variable Annuity Guarantees on a r</w:t>
      </w:r>
      <w:r>
        <w:rPr>
          <w:rFonts w:eastAsia="Times New Roman"/>
          <w:color w:val="000000"/>
          <w:sz w:val="20"/>
          <w:szCs w:val="20"/>
        </w:rPr>
        <w:t>etroactive basis from January 1, 2021 through June 30, 2021, after reflecting the impacts of our reinsurance transaction with Venerable. The permitted practice was amended to also permit Equitable Financial to adopt SSAP 108 prospectively as of July 1, 202</w:t>
      </w:r>
      <w:r>
        <w:rPr>
          <w:rFonts w:eastAsia="Times New Roman"/>
          <w:color w:val="000000"/>
          <w:sz w:val="20"/>
          <w:szCs w:val="20"/>
        </w:rPr>
        <w:t>1 and to consider the impact of both the interest rate derivatives and the general account assets used to fully hedge the interest rate risk inherent in its variable annuity guarantees when determining the amount of the deferred asset or liability under SS</w:t>
      </w:r>
      <w:r>
        <w:rPr>
          <w:rFonts w:eastAsia="Times New Roman"/>
          <w:color w:val="000000"/>
          <w:sz w:val="20"/>
          <w:szCs w:val="20"/>
        </w:rPr>
        <w:t>AP 108. Application of the permitted practice partially mitigates the New York Insurance Regulation 213 (“Reg 213”) impact of the Venerable Transaction on Equitable Financial’s statutory capital and surplus and enables Equitable Financial to more effective</w:t>
      </w:r>
      <w:r>
        <w:rPr>
          <w:rFonts w:eastAsia="Times New Roman"/>
          <w:color w:val="000000"/>
          <w:sz w:val="20"/>
          <w:szCs w:val="20"/>
        </w:rPr>
        <w:t>ly neutralize the impact of interest rates on its statutory surplus and to better align with our economic hedging program. The impact of applying this permitted practice relative to SSAP 108 as written was an increase of approximately $461 million in statu</w:t>
      </w:r>
      <w:r>
        <w:rPr>
          <w:rFonts w:eastAsia="Times New Roman"/>
          <w:color w:val="000000"/>
          <w:sz w:val="20"/>
          <w:szCs w:val="20"/>
        </w:rPr>
        <w:t>tory special surplus funds and a decrease of $527 million and $900 million in statutory net income as of and for the three and six months ended June 30, 2022, respectively, which will be amortized over five years for each of the retrospective and prospecti</w:t>
      </w:r>
      <w:r>
        <w:rPr>
          <w:rFonts w:eastAsia="Times New Roman"/>
          <w:color w:val="000000"/>
          <w:sz w:val="20"/>
          <w:szCs w:val="20"/>
        </w:rPr>
        <w:t xml:space="preserve">ve components. The permitted practice also reset Equitable Financial’s unassigned surplus to zero as of June 30, 2021 to reflect the transformative nature of the Venerable Transaction. </w:t>
      </w:r>
    </w:p>
    <w:p w:rsidR="00000000" w:rsidRDefault="005C524C">
      <w:pPr>
        <w:divId w:val="817260651"/>
        <w:rPr>
          <w:rFonts w:eastAsia="Times New Roman"/>
        </w:rPr>
      </w:pPr>
      <w:r>
        <w:rPr>
          <w:rFonts w:eastAsia="Times New Roman"/>
          <w:color w:val="000000"/>
          <w:sz w:val="20"/>
          <w:szCs w:val="20"/>
        </w:rPr>
        <w:t>The NAIC Accounting Practices and Procedures manual (“NAIC SAP”) has b</w:t>
      </w:r>
      <w:r>
        <w:rPr>
          <w:rFonts w:eastAsia="Times New Roman"/>
          <w:color w:val="000000"/>
          <w:sz w:val="20"/>
          <w:szCs w:val="20"/>
        </w:rPr>
        <w:t xml:space="preserve">een adopted as a component of prescribed or permitted practices by the State of New York. However, Reg 213 adopted in May of 2019 and as amended in February 2020 and March 2021, differs from the NAIC variable annuity reserve and capital framework. Reg 213 </w:t>
      </w:r>
      <w:r>
        <w:rPr>
          <w:rFonts w:eastAsia="Times New Roman"/>
          <w:color w:val="000000"/>
          <w:sz w:val="20"/>
          <w:szCs w:val="20"/>
        </w:rPr>
        <w:t>requires Equitable Financial to carry statutory basis reserves for its variable annuity contract obligations equal to the greater of those required under (i) the NAIC standard or (ii) a revised version of the NYDFS requirement in effect prior to the adopti</w:t>
      </w:r>
      <w:r>
        <w:rPr>
          <w:rFonts w:eastAsia="Times New Roman"/>
          <w:color w:val="000000"/>
          <w:sz w:val="20"/>
          <w:szCs w:val="20"/>
        </w:rPr>
        <w:t xml:space="preserve">on of the first amendment for contracts issued prior to January 1, 2020, and for policies issued after that date a new standard that in current market conditions imposes more conservative reserving requirements for variable annuity contracts than the NAIC </w:t>
      </w:r>
      <w:r>
        <w:rPr>
          <w:rFonts w:eastAsia="Times New Roman"/>
          <w:color w:val="000000"/>
          <w:sz w:val="20"/>
          <w:szCs w:val="20"/>
        </w:rPr>
        <w:t xml:space="preserve">standard. </w:t>
      </w:r>
    </w:p>
    <w:p w:rsidR="00000000" w:rsidRDefault="005C524C">
      <w:pPr>
        <w:divId w:val="148449035"/>
        <w:rPr>
          <w:rFonts w:eastAsia="Times New Roman"/>
        </w:rPr>
      </w:pPr>
      <w:r>
        <w:rPr>
          <w:rFonts w:eastAsia="Times New Roman"/>
          <w:color w:val="000000"/>
          <w:sz w:val="20"/>
          <w:szCs w:val="20"/>
        </w:rPr>
        <w:t xml:space="preserve">The impact of the application of Reg 213 was a decrease of approximately $3.1 billion in statutory surplus as of June 30, 2022 compared to statutory surplus under the NAIC variable annuity framework. Our hedging program is designed to hedge the </w:t>
      </w:r>
      <w:r>
        <w:rPr>
          <w:rFonts w:eastAsia="Times New Roman"/>
          <w:color w:val="000000"/>
          <w:sz w:val="20"/>
          <w:szCs w:val="20"/>
        </w:rPr>
        <w:t>economics of our insurance liabilities and largely offsets Reg 213 and NAIC framework reserve movements due to interest rates and equities. The NYDFS allows domestic insurance companies a five year phase-in provision for Reg 213 reserves. As of June 30, 20</w:t>
      </w:r>
      <w:r>
        <w:rPr>
          <w:rFonts w:eastAsia="Times New Roman"/>
          <w:color w:val="000000"/>
          <w:sz w:val="20"/>
          <w:szCs w:val="20"/>
        </w:rPr>
        <w:t>22, Equitable Financial’s Reg 213 reserves are phased-in at 60% and are very close to Reg 213 reserves with a 100% phase-in. Additionally, as of June 30, 2022, Reg 213 when 100% phased-in result in redundant reserves over the US RBC CTE 98 total asset requ</w:t>
      </w:r>
      <w:r>
        <w:rPr>
          <w:rFonts w:eastAsia="Times New Roman"/>
          <w:color w:val="000000"/>
          <w:sz w:val="20"/>
          <w:szCs w:val="20"/>
        </w:rPr>
        <w:t>irement (“TAR”) of approximately $0.5 billion to $1.0 billion, which the Company intends to mitigate during the phase-in period. Finally, the continued application of Reg 213 resulted in a corresponding decrease of $1.2 billion and $1.8 billion in statutor</w:t>
      </w:r>
      <w:r>
        <w:rPr>
          <w:rFonts w:eastAsia="Times New Roman"/>
          <w:color w:val="000000"/>
          <w:sz w:val="20"/>
          <w:szCs w:val="20"/>
        </w:rPr>
        <w:t>y net income for the three and six months ended June 30, 2022, which was largely offset by net income gains on our hedging program during the same period as noted.</w:t>
      </w:r>
    </w:p>
    <w:p w:rsidR="00000000" w:rsidRDefault="005C524C">
      <w:pPr>
        <w:divId w:val="1790515876"/>
        <w:rPr>
          <w:rFonts w:eastAsia="Times New Roman"/>
        </w:rPr>
      </w:pPr>
      <w:r>
        <w:rPr>
          <w:rFonts w:eastAsia="Times New Roman"/>
          <w:color w:val="000000"/>
          <w:sz w:val="20"/>
          <w:szCs w:val="20"/>
        </w:rPr>
        <w:t>During the fourth quarter of 2020, the Company received approval from NYDFS for its proposed</w:t>
      </w:r>
      <w:r>
        <w:rPr>
          <w:rFonts w:eastAsia="Times New Roman"/>
          <w:color w:val="000000"/>
          <w:sz w:val="20"/>
          <w:szCs w:val="20"/>
        </w:rPr>
        <w:t xml:space="preserve"> amended Plan of Operation for Separate Account No. 68 (“SA 68”) for our Structured Capital Strategies product and Separate Account No. 69 (“SA 69”) for our Equi-Vest product Structured Investment Option, to change the accounting basis of these two non-ins</w:t>
      </w:r>
      <w:r>
        <w:rPr>
          <w:rFonts w:eastAsia="Times New Roman"/>
          <w:color w:val="000000"/>
          <w:sz w:val="20"/>
          <w:szCs w:val="20"/>
        </w:rPr>
        <w:t>ulated Separate Accounts from fair value to book value in accordance with Section 1414 of the Insurance Law to align with how we manage and measure our overall general account asset portfolio. In order to facilitate this change and comply with Section 4240</w:t>
      </w:r>
      <w:r>
        <w:rPr>
          <w:rFonts w:eastAsia="Times New Roman"/>
          <w:color w:val="000000"/>
          <w:sz w:val="20"/>
          <w:szCs w:val="20"/>
        </w:rPr>
        <w:t>(a)(10), the Company also sought approval to amend the Plans to remove the requirement to comply with Section 4240(a)(5)(iii) and substitute it with a commitment to comply with Section 4240(a)(5)(i). Similarly, the Company updated the reserves section of e</w:t>
      </w:r>
      <w:r>
        <w:rPr>
          <w:rFonts w:eastAsia="Times New Roman"/>
          <w:color w:val="000000"/>
          <w:sz w:val="20"/>
          <w:szCs w:val="20"/>
        </w:rPr>
        <w:t>ach Plan to reflect the fact that Regulation 128 would no longer be applicable upon the change in accounting basis. We applied this change effective January 1, 2021. The impact of the application is an increase of approximately $1.8 billion in statutory su</w:t>
      </w:r>
      <w:r>
        <w:rPr>
          <w:rFonts w:eastAsia="Times New Roman"/>
          <w:color w:val="000000"/>
          <w:sz w:val="20"/>
          <w:szCs w:val="20"/>
        </w:rPr>
        <w:t>rplus and an increase in statutory net income as of and for the three and six months ended June 30, 2022 of $1.0 billion and $2.0 billion, respectively.</w:t>
      </w:r>
    </w:p>
    <w:p w:rsidR="00000000" w:rsidRDefault="005C524C">
      <w:pPr>
        <w:jc w:val="center"/>
        <w:divId w:val="643050978"/>
        <w:rPr>
          <w:rFonts w:eastAsia="Times New Roman"/>
        </w:rPr>
      </w:pPr>
      <w:r>
        <w:rPr>
          <w:rFonts w:eastAsia="Times New Roman"/>
          <w:color w:val="000000"/>
          <w:sz w:val="20"/>
          <w:szCs w:val="20"/>
        </w:rPr>
        <w:t>65</w:t>
      </w:r>
    </w:p>
    <w:p w:rsidR="00000000" w:rsidRDefault="005C524C">
      <w:pPr>
        <w:rPr>
          <w:rFonts w:eastAsia="Times New Roman"/>
        </w:rPr>
      </w:pPr>
      <w:r>
        <w:rPr>
          <w:rFonts w:eastAsia="Times New Roman"/>
        </w:rPr>
        <w:pict>
          <v:rect id="_x0000_i1091" style="width:0;height:1.5pt" o:hralign="center" o:hrstd="t" o:hr="t" fillcolor="#a0a0a0" stroked="f"/>
        </w:pict>
      </w:r>
    </w:p>
    <w:p w:rsidR="00000000" w:rsidRDefault="005C524C">
      <w:pPr>
        <w:divId w:val="1931231424"/>
        <w:rPr>
          <w:rFonts w:eastAsia="Times New Roman"/>
        </w:rPr>
      </w:pPr>
      <w:hyperlink w:anchor="i2588464f77ae40b48abb7647b419da5e_10" w:history="1">
        <w:r>
          <w:rPr>
            <w:rStyle w:val="a3"/>
            <w:rFonts w:eastAsia="Times New Roman"/>
            <w:b/>
            <w:bCs/>
            <w:sz w:val="20"/>
            <w:szCs w:val="20"/>
          </w:rPr>
          <w:t>Table</w:t>
        </w:r>
        <w:r>
          <w:rPr>
            <w:rStyle w:val="a3"/>
            <w:rFonts w:eastAsia="Times New Roman"/>
            <w:b/>
            <w:bCs/>
            <w:sz w:val="20"/>
            <w:szCs w:val="20"/>
          </w:rPr>
          <w:t xml:space="preserve"> of Contents</w:t>
        </w:r>
      </w:hyperlink>
    </w:p>
    <w:p w:rsidR="00000000" w:rsidRDefault="005C524C">
      <w:pPr>
        <w:jc w:val="center"/>
        <w:divId w:val="362678999"/>
        <w:rPr>
          <w:rFonts w:eastAsia="Times New Roman"/>
        </w:rPr>
      </w:pPr>
      <w:r>
        <w:rPr>
          <w:rFonts w:eastAsia="Times New Roman"/>
          <w:b/>
          <w:bCs/>
          <w:color w:val="000000"/>
          <w:sz w:val="20"/>
          <w:szCs w:val="20"/>
        </w:rPr>
        <w:t>EQUITABLE HOLDINGS, INC.</w:t>
      </w:r>
    </w:p>
    <w:p w:rsidR="00000000" w:rsidRDefault="005C524C">
      <w:pPr>
        <w:jc w:val="center"/>
        <w:divId w:val="362678999"/>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362678999"/>
        <w:rPr>
          <w:rFonts w:eastAsia="Times New Roman"/>
        </w:rPr>
      </w:pPr>
    </w:p>
    <w:p w:rsidR="00000000" w:rsidRDefault="005C524C">
      <w:pPr>
        <w:divId w:val="1408964045"/>
        <w:rPr>
          <w:rFonts w:eastAsia="Times New Roman"/>
        </w:rPr>
      </w:pPr>
      <w:r>
        <w:rPr>
          <w:rFonts w:eastAsia="Times New Roman"/>
          <w:b/>
          <w:bCs/>
          <w:color w:val="000000"/>
          <w:sz w:val="20"/>
          <w:szCs w:val="20"/>
        </w:rPr>
        <w:t>14)    BUSINESS SEGMENT INFORMATION</w:t>
      </w:r>
    </w:p>
    <w:p w:rsidR="00000000" w:rsidRDefault="005C524C">
      <w:pPr>
        <w:divId w:val="1495490637"/>
        <w:rPr>
          <w:rFonts w:eastAsia="Times New Roman"/>
        </w:rPr>
      </w:pPr>
      <w:r>
        <w:rPr>
          <w:rFonts w:eastAsia="Times New Roman"/>
          <w:color w:val="000000"/>
          <w:sz w:val="20"/>
          <w:szCs w:val="20"/>
        </w:rPr>
        <w:t>The Company has four reportable segments: Individual Retirement, Group Retirement, Investment Management and Resea</w:t>
      </w:r>
      <w:r>
        <w:rPr>
          <w:rFonts w:eastAsia="Times New Roman"/>
          <w:color w:val="000000"/>
          <w:sz w:val="20"/>
          <w:szCs w:val="20"/>
        </w:rPr>
        <w:t>rch and Protection Solutions.</w:t>
      </w:r>
    </w:p>
    <w:p w:rsidR="00000000" w:rsidRDefault="005C524C">
      <w:pPr>
        <w:divId w:val="301422498"/>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p>
    <w:p w:rsidR="00000000" w:rsidRDefault="005C524C">
      <w:pPr>
        <w:ind w:hanging="360"/>
        <w:jc w:val="both"/>
        <w:divId w:val="338772280"/>
        <w:rPr>
          <w:rFonts w:eastAsia="Times New Roman"/>
        </w:rPr>
      </w:pPr>
      <w:r>
        <w:rPr>
          <w:rFonts w:eastAsia="Times New Roman"/>
          <w:color w:val="000000"/>
          <w:sz w:val="20"/>
          <w:szCs w:val="20"/>
        </w:rPr>
        <w:t>•The Individual Retirement segment offers a diverse suite o</w:t>
      </w:r>
      <w:r>
        <w:rPr>
          <w:rFonts w:eastAsia="Times New Roman"/>
          <w:color w:val="000000"/>
          <w:sz w:val="20"/>
          <w:szCs w:val="20"/>
        </w:rPr>
        <w:t>f variable annuity products which are primarily sold to affluent and high net worth individuals saving for retirement or seeking retirement income.</w:t>
      </w:r>
    </w:p>
    <w:p w:rsidR="00000000" w:rsidRDefault="005C524C">
      <w:pPr>
        <w:ind w:hanging="360"/>
        <w:jc w:val="both"/>
        <w:divId w:val="645203069"/>
        <w:rPr>
          <w:rFonts w:eastAsia="Times New Roman"/>
        </w:rPr>
      </w:pPr>
      <w:r>
        <w:rPr>
          <w:rFonts w:eastAsia="Times New Roman"/>
          <w:color w:val="000000"/>
          <w:sz w:val="20"/>
          <w:szCs w:val="20"/>
        </w:rPr>
        <w:t>•The Group Retirement segment offers tax-deferred investment and retirement services or products to plans sp</w:t>
      </w:r>
      <w:r>
        <w:rPr>
          <w:rFonts w:eastAsia="Times New Roman"/>
          <w:color w:val="000000"/>
          <w:sz w:val="20"/>
          <w:szCs w:val="20"/>
        </w:rPr>
        <w:t>onsored by educational entities, municipalities and not-for-profit entities, as well as small and medium-sized businesses.</w:t>
      </w:r>
    </w:p>
    <w:p w:rsidR="00000000" w:rsidRDefault="005C524C">
      <w:pPr>
        <w:ind w:hanging="360"/>
        <w:jc w:val="both"/>
        <w:divId w:val="1150826233"/>
        <w:rPr>
          <w:rFonts w:eastAsia="Times New Roman"/>
        </w:rPr>
      </w:pPr>
      <w:r>
        <w:rPr>
          <w:rFonts w:eastAsia="Times New Roman"/>
          <w:color w:val="000000"/>
          <w:sz w:val="20"/>
          <w:szCs w:val="20"/>
        </w:rPr>
        <w:t>•The Investment Management and Research segment provides diversified investment management, research and related solutions globally t</w:t>
      </w:r>
      <w:r>
        <w:rPr>
          <w:rFonts w:eastAsia="Times New Roman"/>
          <w:color w:val="000000"/>
          <w:sz w:val="20"/>
          <w:szCs w:val="20"/>
        </w:rPr>
        <w:t>o a broad range of clients through three main client channels - Institutional, Retail and Private Wealth - and distributes its institutional research products and solutions through Bernstein Research Services.</w:t>
      </w:r>
    </w:p>
    <w:p w:rsidR="00000000" w:rsidRDefault="005C524C">
      <w:pPr>
        <w:ind w:hanging="360"/>
        <w:divId w:val="2040819004"/>
        <w:rPr>
          <w:rFonts w:eastAsia="Times New Roman"/>
        </w:rPr>
      </w:pPr>
      <w:r>
        <w:rPr>
          <w:rFonts w:eastAsia="Times New Roman"/>
          <w:color w:val="000000"/>
          <w:sz w:val="20"/>
          <w:szCs w:val="20"/>
        </w:rPr>
        <w:t>•The Protection Solutions segment includes our</w:t>
      </w:r>
      <w:r>
        <w:rPr>
          <w:rFonts w:eastAsia="Times New Roman"/>
          <w:color w:val="000000"/>
          <w:sz w:val="20"/>
          <w:szCs w:val="20"/>
        </w:rPr>
        <w:t xml:space="preserve"> life insurance and group employee benefits businesses. Our life insurance business offers a variety of VUL, UL and term life products to help affluent and high net worth individuals, as well as small and medium-sized business owners, with their wealth pro</w:t>
      </w:r>
      <w:r>
        <w:rPr>
          <w:rFonts w:eastAsia="Times New Roman"/>
          <w:color w:val="000000"/>
          <w:sz w:val="20"/>
          <w:szCs w:val="20"/>
        </w:rPr>
        <w:t>tection, wealth transfer and corporate needs. Our group employee benefits business offers a suite of dental, vision, life, and short- and long-term disability and other insurance products to small and medium-size businesses across the United States.</w:t>
      </w:r>
    </w:p>
    <w:p w:rsidR="00000000" w:rsidRDefault="005C524C">
      <w:pPr>
        <w:divId w:val="864754742"/>
        <w:rPr>
          <w:rFonts w:eastAsia="Times New Roman"/>
        </w:rPr>
      </w:pPr>
      <w:r>
        <w:rPr>
          <w:rFonts w:eastAsia="Times New Roman"/>
          <w:color w:val="000000"/>
          <w:sz w:val="20"/>
          <w:szCs w:val="20"/>
          <w:u w:val="single"/>
        </w:rPr>
        <w:t>Measur</w:t>
      </w:r>
      <w:r>
        <w:rPr>
          <w:rFonts w:eastAsia="Times New Roman"/>
          <w:color w:val="000000"/>
          <w:sz w:val="20"/>
          <w:szCs w:val="20"/>
          <w:u w:val="single"/>
        </w:rPr>
        <w:t>ement</w:t>
      </w:r>
    </w:p>
    <w:p w:rsidR="00000000" w:rsidRDefault="005C524C">
      <w:pPr>
        <w:divId w:val="1161384454"/>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profitability of the Company’s core business. By excluding items that can be distortive and unpredic</w:t>
      </w:r>
      <w:r>
        <w:rPr>
          <w:rFonts w:eastAsia="Times New Roman"/>
          <w:color w:val="000000"/>
          <w:sz w:val="20"/>
          <w:szCs w:val="20"/>
        </w:rPr>
        <w:t>table such as investment gains (losses) and investment income (loss) from derivative instruments, the Company believes operating earnings (loss) by segment enhances the understanding of the Company’s underlying drivers of profitability and trends in the Co</w:t>
      </w:r>
      <w:r>
        <w:rPr>
          <w:rFonts w:eastAsia="Times New Roman"/>
          <w:color w:val="000000"/>
          <w:sz w:val="20"/>
          <w:szCs w:val="20"/>
        </w:rPr>
        <w:t>mpany’s segments.</w:t>
      </w:r>
    </w:p>
    <w:p w:rsidR="00000000" w:rsidRDefault="005C524C">
      <w:pPr>
        <w:divId w:val="1355224804"/>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5C524C">
      <w:pPr>
        <w:ind w:hanging="360"/>
        <w:jc w:val="both"/>
        <w:divId w:val="1090588084"/>
        <w:rPr>
          <w:rFonts w:eastAsia="Times New Roman"/>
        </w:rPr>
      </w:pPr>
      <w:r>
        <w:rPr>
          <w:rFonts w:eastAsia="Times New Roman"/>
          <w:color w:val="000000"/>
          <w:sz w:val="20"/>
          <w:szCs w:val="20"/>
        </w:rPr>
        <w:t>•</w:t>
      </w: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including extraordinary ec</w:t>
      </w:r>
      <w:r>
        <w:rPr>
          <w:rFonts w:eastAsia="Times New Roman"/>
          <w:color w:val="000000"/>
          <w:sz w:val="20"/>
          <w:szCs w:val="20"/>
        </w:rPr>
        <w:t xml:space="preserve">onomic conditions or events such as COVID-19; (iii) changes in the fair value of the embedded derivatives reflected within variable annuity products’ net derivative results and the impact of these items on DAC amortization on our SCS product; and (iv) DAC </w:t>
      </w:r>
      <w:r>
        <w:rPr>
          <w:rFonts w:eastAsia="Times New Roman"/>
          <w:color w:val="000000"/>
          <w:sz w:val="20"/>
          <w:szCs w:val="20"/>
        </w:rPr>
        <w:t xml:space="preserve">amortization for the SCS variable annuity product arising from near-term fluctuations in index segment returns; </w:t>
      </w:r>
    </w:p>
    <w:p w:rsidR="00000000" w:rsidRDefault="005C524C">
      <w:pPr>
        <w:ind w:hanging="360"/>
        <w:jc w:val="both"/>
        <w:divId w:val="1262449583"/>
        <w:rPr>
          <w:rFonts w:eastAsia="Times New Roman"/>
        </w:rPr>
      </w:pPr>
      <w:r>
        <w:rPr>
          <w:rFonts w:eastAsia="Times New Roman"/>
          <w:color w:val="000000"/>
          <w:sz w:val="20"/>
          <w:szCs w:val="20"/>
        </w:rPr>
        <w:t>•Investment (gains) losses, which includes credit loss impairments of securities/investments, sales or disposals of securities/investments, rea</w:t>
      </w:r>
      <w:r>
        <w:rPr>
          <w:rFonts w:eastAsia="Times New Roman"/>
          <w:color w:val="000000"/>
          <w:sz w:val="20"/>
          <w:szCs w:val="20"/>
        </w:rPr>
        <w:t>lized capital gains/losses and valuation allowances;</w:t>
      </w:r>
    </w:p>
    <w:p w:rsidR="00000000" w:rsidRDefault="005C524C">
      <w:pPr>
        <w:ind w:hanging="360"/>
        <w:jc w:val="both"/>
        <w:divId w:val="890768426"/>
        <w:rPr>
          <w:rFonts w:eastAsia="Times New Roman"/>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w:t>
      </w:r>
      <w:r>
        <w:rPr>
          <w:rFonts w:eastAsia="Times New Roman"/>
          <w:color w:val="000000"/>
          <w:sz w:val="20"/>
          <w:szCs w:val="20"/>
        </w:rPr>
        <w:t>given period related to pension, other postretirement benefit obligations, and the one-time impact of the settlement of the defined benefit obligation;</w:t>
      </w:r>
    </w:p>
    <w:p w:rsidR="00000000" w:rsidRDefault="005C524C">
      <w:pPr>
        <w:ind w:hanging="360"/>
        <w:jc w:val="both"/>
        <w:divId w:val="917130182"/>
        <w:rPr>
          <w:rFonts w:eastAsia="Times New Roman"/>
        </w:rPr>
      </w:pPr>
      <w:r>
        <w:rPr>
          <w:rFonts w:eastAsia="Times New Roman"/>
          <w:color w:val="000000"/>
          <w:sz w:val="20"/>
          <w:szCs w:val="20"/>
        </w:rPr>
        <w:t>•Other adjustments, which primarily include restructuring costs related to severance and separation, COV</w:t>
      </w:r>
      <w:r>
        <w:rPr>
          <w:rFonts w:eastAsia="Times New Roman"/>
          <w:color w:val="000000"/>
          <w:sz w:val="20"/>
          <w:szCs w:val="20"/>
        </w:rPr>
        <w:t>ID-19 related impacts, net derivative gains (losses) on certain Non-GMxB derivatives, net investment income from certain items including consolidated VIE investments, seed capital mark-to-market adjustments, unrealized gain/losses associated with equity se</w:t>
      </w:r>
      <w:r>
        <w:rPr>
          <w:rFonts w:eastAsia="Times New Roman"/>
          <w:color w:val="000000"/>
          <w:sz w:val="20"/>
          <w:szCs w:val="20"/>
        </w:rPr>
        <w:t>curities, certain legal accruals; and a bespoke deal to repurchase UL policies from one entity that had invested in numerous policies purchased in the life settlement market, which disposed of the risk of additional COI litigation by that entity related to</w:t>
      </w:r>
      <w:r>
        <w:rPr>
          <w:rFonts w:eastAsia="Times New Roman"/>
          <w:color w:val="000000"/>
          <w:sz w:val="20"/>
          <w:szCs w:val="20"/>
        </w:rPr>
        <w:t xml:space="preserve"> those UL policies; and </w:t>
      </w:r>
    </w:p>
    <w:p w:rsidR="00000000" w:rsidRDefault="005C524C">
      <w:pPr>
        <w:ind w:hanging="360"/>
        <w:divId w:val="2123377037"/>
        <w:rPr>
          <w:rFonts w:eastAsia="Times New Roman"/>
        </w:rPr>
      </w:pPr>
      <w:r>
        <w:rPr>
          <w:rFonts w:eastAsia="Times New Roman"/>
          <w:color w:val="000000"/>
          <w:sz w:val="20"/>
          <w:szCs w:val="20"/>
        </w:rPr>
        <w:t>•</w:t>
      </w: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5C524C">
      <w:pPr>
        <w:jc w:val="center"/>
        <w:divId w:val="432747729"/>
        <w:rPr>
          <w:rFonts w:eastAsia="Times New Roman"/>
        </w:rPr>
      </w:pPr>
      <w:r>
        <w:rPr>
          <w:rFonts w:eastAsia="Times New Roman"/>
          <w:color w:val="000000"/>
          <w:sz w:val="20"/>
          <w:szCs w:val="20"/>
        </w:rPr>
        <w:t>66</w:t>
      </w:r>
    </w:p>
    <w:p w:rsidR="00000000" w:rsidRDefault="005C524C">
      <w:pPr>
        <w:rPr>
          <w:rFonts w:eastAsia="Times New Roman"/>
        </w:rPr>
      </w:pPr>
      <w:r>
        <w:rPr>
          <w:rFonts w:eastAsia="Times New Roman"/>
        </w:rPr>
        <w:pict>
          <v:rect id="_x0000_i1092" style="width:0;height:1.5pt" o:hralign="center" o:hrstd="t" o:hr="t" fillcolor="#a0a0a0" stroked="f"/>
        </w:pict>
      </w:r>
    </w:p>
    <w:p w:rsidR="00000000" w:rsidRDefault="005C524C">
      <w:pPr>
        <w:divId w:val="151830511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1275941544"/>
        <w:rPr>
          <w:rFonts w:eastAsia="Times New Roman"/>
        </w:rPr>
      </w:pPr>
      <w:r>
        <w:rPr>
          <w:rFonts w:eastAsia="Times New Roman"/>
          <w:b/>
          <w:bCs/>
          <w:color w:val="000000"/>
          <w:sz w:val="20"/>
          <w:szCs w:val="20"/>
        </w:rPr>
        <w:t>EQUITABLE HOLDINGS, INC.</w:t>
      </w:r>
    </w:p>
    <w:p w:rsidR="00000000" w:rsidRDefault="005C524C">
      <w:pPr>
        <w:jc w:val="center"/>
        <w:divId w:val="1275941544"/>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1275941544"/>
        <w:rPr>
          <w:rFonts w:eastAsia="Times New Roman"/>
        </w:rPr>
      </w:pPr>
    </w:p>
    <w:p w:rsidR="00000000" w:rsidRDefault="005C524C">
      <w:pPr>
        <w:divId w:val="537937395"/>
        <w:rPr>
          <w:rFonts w:eastAsia="Times New Roman"/>
        </w:rPr>
      </w:pPr>
      <w:r>
        <w:rPr>
          <w:rFonts w:eastAsia="Times New Roman"/>
          <w:color w:val="000000"/>
          <w:sz w:val="20"/>
          <w:szCs w:val="20"/>
        </w:rPr>
        <w:t>In the first quarter 2022, the Company updated its Operating earnings measure to exclude the DAC amortization impact of near-term fluctuat</w:t>
      </w:r>
      <w:r>
        <w:rPr>
          <w:rFonts w:eastAsia="Times New Roman"/>
          <w:color w:val="000000"/>
          <w:sz w:val="20"/>
          <w:szCs w:val="20"/>
        </w:rPr>
        <w:t xml:space="preserve">ions in indexed segment returns on the SCS variable annuity product to reflect the impact of market fluctuations consistently with the long term duration of the product. Operating earnings was favorably impacted by this change in the amount of $50 million </w:t>
      </w:r>
      <w:r>
        <w:rPr>
          <w:rFonts w:eastAsia="Times New Roman"/>
          <w:color w:val="000000"/>
          <w:sz w:val="20"/>
          <w:szCs w:val="20"/>
        </w:rPr>
        <w:t>and $70 million for the three and six months ended June 30, 2022, respectively. The presentation of Operating earnings in prior periods was not revised to reflect this modification, however, the Company estimated that had the treatment in the Company’s Ope</w:t>
      </w:r>
      <w:r>
        <w:rPr>
          <w:rFonts w:eastAsia="Times New Roman"/>
          <w:color w:val="000000"/>
          <w:sz w:val="20"/>
          <w:szCs w:val="20"/>
        </w:rPr>
        <w:t>rating earnings measure of the Amortization of DAC for SCS been modified in 2020, the pre-tax impact on Operating earnings of excluding the SCS-related DAC amortization from Operating earnings would have been a decrease of $10 million, $14 million, $16 mil</w:t>
      </w:r>
      <w:r>
        <w:rPr>
          <w:rFonts w:eastAsia="Times New Roman"/>
          <w:color w:val="000000"/>
          <w:sz w:val="20"/>
          <w:szCs w:val="20"/>
        </w:rPr>
        <w:t xml:space="preserve">lion and $34 million for the three and six months ended June 30, 2021, and years ended December 31, 2021 and 2020, respectively. </w:t>
      </w:r>
    </w:p>
    <w:p w:rsidR="00000000" w:rsidRDefault="005C524C">
      <w:pPr>
        <w:divId w:val="684794444"/>
        <w:rPr>
          <w:rFonts w:eastAsia="Times New Roman"/>
        </w:rPr>
      </w:pPr>
      <w:r>
        <w:rPr>
          <w:rFonts w:eastAsia="Times New Roman"/>
          <w:color w:val="000000"/>
          <w:sz w:val="20"/>
          <w:szCs w:val="20"/>
        </w:rPr>
        <w:t>The General Account investment portfolio is used to support the insurance and annuity liabilities of our Individual Retirement</w:t>
      </w:r>
      <w:r>
        <w:rPr>
          <w:rFonts w:eastAsia="Times New Roman"/>
          <w:color w:val="000000"/>
          <w:sz w:val="20"/>
          <w:szCs w:val="20"/>
        </w:rPr>
        <w:t>, Group Retirement and Protection Solutions businesses segments. In the first quarter 2022, the Company changed its methodology for allocating its General Account investment portfolio, which resulted in a change in the asset and net investment income alloc</w:t>
      </w:r>
      <w:r>
        <w:rPr>
          <w:rFonts w:eastAsia="Times New Roman"/>
          <w:color w:val="000000"/>
          <w:sz w:val="20"/>
          <w:szCs w:val="20"/>
        </w:rPr>
        <w:t>ation amongst the Company’s business segments. Following this change the segmentation of the general account investments is now more closely aligned with the liability characteristics of the product groups. Management determined that the change in the allo</w:t>
      </w:r>
      <w:r>
        <w:rPr>
          <w:rFonts w:eastAsia="Times New Roman"/>
          <w:color w:val="000000"/>
          <w:sz w:val="20"/>
          <w:szCs w:val="20"/>
        </w:rPr>
        <w:t>cation methodology allows for improved flexibility and infuses an active asset liability management practice into the segmentation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w:t>
      </w:r>
      <w:r>
        <w:rPr>
          <w:rFonts w:eastAsia="Times New Roman"/>
          <w:color w:val="000000"/>
          <w:sz w:val="20"/>
          <w:szCs w:val="20"/>
        </w:rPr>
        <w:t xml:space="preserve">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includes the investment income on the assets less interest credited on the funding agreements. The net spread as reflected in net investment income is allocated to t</w:t>
      </w:r>
      <w:r>
        <w:rPr>
          <w:rFonts w:eastAsia="Times New Roman"/>
          <w:color w:val="000000"/>
          <w:sz w:val="20"/>
          <w:szCs w:val="20"/>
        </w:rPr>
        <w:t xml:space="preserve">he segments based on the percentage of the individual segment insurance liabilities over the combined segments insurance liabilities. </w:t>
      </w:r>
    </w:p>
    <w:p w:rsidR="00000000" w:rsidRDefault="005C524C">
      <w:pPr>
        <w:divId w:val="1527984935"/>
        <w:rPr>
          <w:rFonts w:eastAsia="Times New Roman"/>
        </w:rPr>
      </w:pPr>
      <w:r>
        <w:rPr>
          <w:rFonts w:eastAsia="Times New Roman"/>
          <w:color w:val="000000"/>
          <w:sz w:val="20"/>
          <w:szCs w:val="20"/>
        </w:rPr>
        <w:t>This</w:t>
      </w:r>
      <w:r>
        <w:rPr>
          <w:rFonts w:eastAsia="Times New Roman"/>
          <w:color w:val="000000"/>
          <w:sz w:val="20"/>
          <w:szCs w:val="20"/>
        </w:rPr>
        <w:t> </w:t>
      </w:r>
      <w:r>
        <w:rPr>
          <w:rFonts w:eastAsia="Times New Roman"/>
          <w:color w:val="000000"/>
          <w:sz w:val="20"/>
          <w:szCs w:val="20"/>
        </w:rPr>
        <w:t>change</w:t>
      </w:r>
      <w:r>
        <w:rPr>
          <w:rFonts w:eastAsia="Times New Roman"/>
          <w:color w:val="000000"/>
          <w:sz w:val="20"/>
          <w:szCs w:val="20"/>
        </w:rPr>
        <w:t> </w:t>
      </w:r>
      <w:r>
        <w:rPr>
          <w:rFonts w:eastAsia="Times New Roman"/>
          <w:color w:val="000000"/>
          <w:sz w:val="20"/>
          <w:szCs w:val="20"/>
        </w:rPr>
        <w:t>in</w:t>
      </w:r>
      <w:r>
        <w:rPr>
          <w:rFonts w:eastAsia="Times New Roman"/>
          <w:color w:val="000000"/>
          <w:sz w:val="20"/>
          <w:szCs w:val="20"/>
        </w:rPr>
        <w:t> </w:t>
      </w:r>
      <w:r>
        <w:rPr>
          <w:rFonts w:eastAsia="Times New Roman"/>
          <w:color w:val="000000"/>
          <w:sz w:val="20"/>
          <w:szCs w:val="20"/>
        </w:rPr>
        <w:t>measurement</w:t>
      </w:r>
      <w:r>
        <w:rPr>
          <w:rFonts w:eastAsia="Times New Roman"/>
          <w:color w:val="000000"/>
          <w:sz w:val="20"/>
          <w:szCs w:val="20"/>
        </w:rPr>
        <w:t> </w:t>
      </w:r>
      <w:r>
        <w:rPr>
          <w:rFonts w:eastAsia="Times New Roman"/>
          <w:color w:val="000000"/>
          <w:sz w:val="20"/>
          <w:szCs w:val="20"/>
        </w:rPr>
        <w:t>only impacts our segment disclosures, and thus it has no impact on our overall consolidated fi</w:t>
      </w:r>
      <w:r>
        <w:rPr>
          <w:rFonts w:eastAsia="Times New Roman"/>
          <w:color w:val="000000"/>
          <w:sz w:val="20"/>
          <w:szCs w:val="20"/>
        </w:rPr>
        <w:t xml:space="preserve">nancial statements. Historical segment operating income (loss), revenues and assets have not been recast in the tables as the impact was immaterial. </w:t>
      </w:r>
    </w:p>
    <w:p w:rsidR="00000000" w:rsidRDefault="005C524C">
      <w:pPr>
        <w:divId w:val="2249146"/>
        <w:rPr>
          <w:rFonts w:eastAsia="Times New Roman"/>
        </w:rPr>
      </w:pPr>
      <w:r>
        <w:rPr>
          <w:rFonts w:eastAsia="Times New Roman"/>
          <w:color w:val="000000"/>
          <w:sz w:val="20"/>
          <w:szCs w:val="20"/>
        </w:rPr>
        <w:t xml:space="preserve">Revenues derived from any customer did not exceed 10% of revenues for the three and six months ended June </w:t>
      </w:r>
      <w:r>
        <w:rPr>
          <w:rFonts w:eastAsia="Times New Roman"/>
          <w:color w:val="000000"/>
          <w:sz w:val="20"/>
          <w:szCs w:val="20"/>
        </w:rPr>
        <w:t>30, 2022 and 2021.</w:t>
      </w:r>
    </w:p>
    <w:p w:rsidR="00000000" w:rsidRDefault="005C524C">
      <w:pPr>
        <w:divId w:val="1877815051"/>
        <w:rPr>
          <w:rFonts w:eastAsia="Times New Roman"/>
        </w:rPr>
      </w:pPr>
      <w:r>
        <w:rPr>
          <w:rFonts w:eastAsia="Times New Roman"/>
          <w:color w:val="000000"/>
          <w:sz w:val="20"/>
          <w:szCs w:val="20"/>
        </w:rPr>
        <w:t>The table below presents operating earnings (loss) by segment and Corporate and Other and a reconciliation to net income (loss) attributable to Holdings for the three and six months ended June 30,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202"/>
        <w:gridCol w:w="39"/>
        <w:gridCol w:w="120"/>
        <w:gridCol w:w="683"/>
        <w:gridCol w:w="36"/>
        <w:gridCol w:w="36"/>
        <w:gridCol w:w="36"/>
        <w:gridCol w:w="36"/>
        <w:gridCol w:w="121"/>
        <w:gridCol w:w="683"/>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252981594"/>
        </w:trPr>
        <w:tc>
          <w:tcPr>
            <w:tcW w:w="50" w:type="pct"/>
            <w:vAlign w:val="center"/>
            <w:hideMark/>
          </w:tcPr>
          <w:p w:rsidR="00000000" w:rsidRDefault="005C524C">
            <w:pPr>
              <w:rPr>
                <w:rFonts w:eastAsia="Times New Roman"/>
              </w:rPr>
            </w:pPr>
          </w:p>
        </w:tc>
        <w:tc>
          <w:tcPr>
            <w:tcW w:w="26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(2,525)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3,460 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adjustments (1) (2)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Income tax expense (benefit) related to above adjustments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Non-recurring tax items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Operating earnings (loss) by segment: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Individual Retirement</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Group Retirement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Management and Research</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Protection Solutions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298159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Corporate and Other (4)</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720"/>
        <w:divId w:val="1753578739"/>
        <w:rPr>
          <w:rFonts w:eastAsia="Times New Roman"/>
        </w:rPr>
      </w:pPr>
      <w:r>
        <w:rPr>
          <w:rFonts w:eastAsia="Times New Roman"/>
          <w:color w:val="000000"/>
          <w:sz w:val="18"/>
          <w:szCs w:val="18"/>
        </w:rPr>
        <w:t>______________</w:t>
      </w:r>
    </w:p>
    <w:p w:rsidR="00000000" w:rsidRDefault="005C524C">
      <w:pPr>
        <w:jc w:val="center"/>
        <w:divId w:val="912082496"/>
        <w:rPr>
          <w:rFonts w:eastAsia="Times New Roman"/>
        </w:rPr>
      </w:pPr>
      <w:r>
        <w:rPr>
          <w:rFonts w:eastAsia="Times New Roman"/>
          <w:color w:val="000000"/>
          <w:sz w:val="20"/>
          <w:szCs w:val="20"/>
        </w:rPr>
        <w:t>67</w:t>
      </w:r>
    </w:p>
    <w:p w:rsidR="00000000" w:rsidRDefault="005C524C">
      <w:pPr>
        <w:rPr>
          <w:rFonts w:eastAsia="Times New Roman"/>
        </w:rPr>
      </w:pPr>
      <w:r>
        <w:rPr>
          <w:rFonts w:eastAsia="Times New Roman"/>
        </w:rPr>
        <w:pict>
          <v:rect id="_x0000_i1093" style="width:0;height:1.5pt" o:hralign="center" o:hrstd="t" o:hr="t" fillcolor="#a0a0a0" stroked="f"/>
        </w:pict>
      </w:r>
    </w:p>
    <w:p w:rsidR="00000000" w:rsidRDefault="005C524C">
      <w:pPr>
        <w:divId w:val="34671017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989597076"/>
        <w:rPr>
          <w:rFonts w:eastAsia="Times New Roman"/>
        </w:rPr>
      </w:pPr>
      <w:r>
        <w:rPr>
          <w:rFonts w:eastAsia="Times New Roman"/>
          <w:b/>
          <w:bCs/>
          <w:color w:val="000000"/>
          <w:sz w:val="20"/>
          <w:szCs w:val="20"/>
        </w:rPr>
        <w:t>EQUITABLE HOLDINGS, INC.</w:t>
      </w:r>
    </w:p>
    <w:p w:rsidR="00000000" w:rsidRDefault="005C524C">
      <w:pPr>
        <w:jc w:val="center"/>
        <w:divId w:val="989597076"/>
        <w:rPr>
          <w:rFonts w:eastAsia="Times New Roman"/>
        </w:rPr>
      </w:pPr>
      <w:r>
        <w:rPr>
          <w:rFonts w:eastAsia="Times New Roman"/>
          <w:b/>
          <w:bCs/>
          <w:color w:val="000000"/>
          <w:sz w:val="20"/>
          <w:szCs w:val="20"/>
        </w:rPr>
        <w:t>Notes to Consolidated Financial Statements (Unaudited), Continued</w:t>
      </w:r>
    </w:p>
    <w:p w:rsidR="00000000" w:rsidRDefault="005C524C">
      <w:pPr>
        <w:jc w:val="center"/>
        <w:divId w:val="989597076"/>
        <w:rPr>
          <w:rFonts w:eastAsia="Times New Roman"/>
        </w:rPr>
      </w:pPr>
    </w:p>
    <w:p w:rsidR="00000000" w:rsidRDefault="005C524C">
      <w:pPr>
        <w:ind w:hanging="360"/>
        <w:divId w:val="1966621773"/>
        <w:rPr>
          <w:rFonts w:eastAsia="Times New Roman"/>
        </w:rPr>
      </w:pPr>
      <w:r>
        <w:rPr>
          <w:rFonts w:eastAsia="Times New Roman"/>
          <w:color w:val="000000"/>
          <w:sz w:val="18"/>
          <w:szCs w:val="18"/>
        </w:rPr>
        <w:t xml:space="preserve">(1)Includes separation costs of $16 million and $37 million for the three and six months ended June 30, 2021, respectively. Separation costs were completed during </w:t>
      </w:r>
      <w:r>
        <w:rPr>
          <w:rFonts w:eastAsia="Times New Roman"/>
          <w:color w:val="000000"/>
          <w:sz w:val="18"/>
          <w:szCs w:val="18"/>
        </w:rPr>
        <w:t>2021.</w:t>
      </w:r>
    </w:p>
    <w:p w:rsidR="00000000" w:rsidRDefault="005C524C">
      <w:pPr>
        <w:ind w:hanging="360"/>
        <w:divId w:val="1665738488"/>
        <w:rPr>
          <w:rFonts w:eastAsia="Times New Roman"/>
        </w:rPr>
      </w:pPr>
      <w:r>
        <w:rPr>
          <w:rFonts w:eastAsia="Times New Roman"/>
          <w:color w:val="000000"/>
          <w:sz w:val="18"/>
          <w:szCs w:val="18"/>
        </w:rPr>
        <w:t>(2)Includes certain gross legal expenses related to the COI litigation of $107 million, $0 million, $166 million and $180 million for the three and six months ended June 30, 2022 and 2021, respectively. Includes policyholder benefit costs of $0 milli</w:t>
      </w:r>
      <w:r>
        <w:rPr>
          <w:rFonts w:eastAsia="Times New Roman"/>
          <w:color w:val="000000"/>
          <w:sz w:val="18"/>
          <w:szCs w:val="18"/>
        </w:rPr>
        <w:t xml:space="preserve">on and $75 million for the three and six months ended June 30, 2022 stemming from a deal to repurchase UL policies from one entity that had invested in numerous policies purchased in the life settlement market. </w:t>
      </w:r>
    </w:p>
    <w:p w:rsidR="00000000" w:rsidRDefault="005C524C">
      <w:pPr>
        <w:ind w:hanging="360"/>
        <w:divId w:val="183177851"/>
        <w:rPr>
          <w:rFonts w:eastAsia="Times New Roman"/>
        </w:rPr>
      </w:pPr>
      <w:r>
        <w:rPr>
          <w:rFonts w:eastAsia="Times New Roman"/>
          <w:color w:val="000000"/>
          <w:sz w:val="18"/>
          <w:szCs w:val="18"/>
        </w:rPr>
        <w:t>(3)Includes Non-GMxB related derivative hedg</w:t>
      </w:r>
      <w:r>
        <w:rPr>
          <w:rFonts w:eastAsia="Times New Roman"/>
          <w:color w:val="000000"/>
          <w:sz w:val="18"/>
          <w:szCs w:val="18"/>
        </w:rPr>
        <w:t>e gains and losses of ($38) million, ($100) million, ($40) million and $144 million for the three and six months ended June 30, 2022 and 2021, respectively.</w:t>
      </w:r>
    </w:p>
    <w:p w:rsidR="00000000" w:rsidRDefault="005C524C">
      <w:pPr>
        <w:ind w:hanging="360"/>
        <w:divId w:val="303197151"/>
        <w:rPr>
          <w:rFonts w:eastAsia="Times New Roman"/>
        </w:rPr>
      </w:pPr>
      <w:r>
        <w:rPr>
          <w:rFonts w:eastAsia="Times New Roman"/>
          <w:color w:val="000000"/>
          <w:sz w:val="18"/>
          <w:szCs w:val="18"/>
        </w:rPr>
        <w:t xml:space="preserve">(4)Includes interest expense and financing fees of $52 million, $57 million, $105 million and $115 </w:t>
      </w:r>
      <w:r>
        <w:rPr>
          <w:rFonts w:eastAsia="Times New Roman"/>
          <w:color w:val="000000"/>
          <w:sz w:val="18"/>
          <w:szCs w:val="18"/>
        </w:rPr>
        <w:t>million for the three and six months ended June 30, 2022 and 2021, respectively.</w:t>
      </w:r>
    </w:p>
    <w:p w:rsidR="00000000" w:rsidRDefault="005C524C">
      <w:pPr>
        <w:ind w:firstLine="360"/>
        <w:divId w:val="2000768815"/>
        <w:rPr>
          <w:rFonts w:eastAsia="Times New Roman"/>
        </w:rPr>
      </w:pPr>
    </w:p>
    <w:p w:rsidR="00000000" w:rsidRDefault="005C524C">
      <w:pPr>
        <w:divId w:val="1640108103"/>
        <w:rPr>
          <w:rFonts w:eastAsia="Times New Roman"/>
        </w:rPr>
      </w:pPr>
      <w:r>
        <w:rPr>
          <w:rFonts w:eastAsia="Times New Roman"/>
          <w:color w:val="000000"/>
          <w:sz w:val="20"/>
          <w:szCs w:val="20"/>
        </w:rPr>
        <w:t xml:space="preserve">Segment revenues is a measure of the Company’s revenue by segment as adjusted to exclude certain items. The following table reconciles segment revenues to total revenues by </w:t>
      </w:r>
      <w:r>
        <w:rPr>
          <w:rFonts w:eastAsia="Times New Roman"/>
          <w:color w:val="000000"/>
          <w:sz w:val="20"/>
          <w:szCs w:val="20"/>
        </w:rPr>
        <w:t>excluding the following items:</w:t>
      </w:r>
    </w:p>
    <w:p w:rsidR="00000000" w:rsidRDefault="005C524C">
      <w:pPr>
        <w:ind w:hanging="360"/>
        <w:jc w:val="both"/>
        <w:divId w:val="65500376"/>
        <w:rPr>
          <w:rFonts w:eastAsia="Times New Roman"/>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value of the embedded derivat</w:t>
      </w:r>
      <w:r>
        <w:rPr>
          <w:rFonts w:eastAsia="Times New Roman"/>
          <w:color w:val="000000"/>
          <w:sz w:val="20"/>
          <w:szCs w:val="20"/>
        </w:rPr>
        <w:t>ives reflected within the net derivative results of variable annuity product features;</w:t>
      </w:r>
    </w:p>
    <w:p w:rsidR="00000000" w:rsidRDefault="005C524C">
      <w:pPr>
        <w:ind w:hanging="360"/>
        <w:jc w:val="both"/>
        <w:divId w:val="795565745"/>
        <w:rPr>
          <w:rFonts w:eastAsia="Times New Roman"/>
        </w:rPr>
      </w:pPr>
      <w:r>
        <w:rPr>
          <w:rFonts w:eastAsia="Times New Roman"/>
          <w:color w:val="000000"/>
          <w:sz w:val="20"/>
          <w:szCs w:val="20"/>
        </w:rPr>
        <w:t>•Investment (gains) losses, which includes credit loss impairments of securities/investments, sales or disposals of securities/investments, realized capital gains/losses</w:t>
      </w:r>
      <w:r>
        <w:rPr>
          <w:rFonts w:eastAsia="Times New Roman"/>
          <w:color w:val="000000"/>
          <w:sz w:val="20"/>
          <w:szCs w:val="20"/>
        </w:rPr>
        <w:t xml:space="preserve"> and valuation allowances; </w:t>
      </w:r>
    </w:p>
    <w:p w:rsidR="00000000" w:rsidRDefault="005C524C">
      <w:pPr>
        <w:ind w:hanging="360"/>
        <w:divId w:val="1237788638"/>
        <w:rPr>
          <w:rFonts w:eastAsia="Times New Roman"/>
        </w:rPr>
      </w:pPr>
      <w:r>
        <w:rPr>
          <w:rFonts w:eastAsia="Times New Roman"/>
          <w:color w:val="000000"/>
          <w:sz w:val="20"/>
          <w:szCs w:val="20"/>
        </w:rPr>
        <w:t>•Other adjustments, which primarily includes net derivative gains (losses) on certain Non-GMxB derivatives and net investment income from certain items including consolidated VIE investments, seed capital mark-to-market adjustme</w:t>
      </w:r>
      <w:r>
        <w:rPr>
          <w:rFonts w:eastAsia="Times New Roman"/>
          <w:color w:val="000000"/>
          <w:sz w:val="20"/>
          <w:szCs w:val="20"/>
        </w:rPr>
        <w:t>nts and unrealized gain/losses associated with equity securities.</w:t>
      </w:r>
    </w:p>
    <w:p w:rsidR="00000000" w:rsidRDefault="005C524C">
      <w:pPr>
        <w:divId w:val="331836415"/>
        <w:rPr>
          <w:rFonts w:eastAsia="Times New Roman"/>
        </w:rPr>
      </w:pPr>
      <w:r>
        <w:rPr>
          <w:rFonts w:eastAsia="Times New Roman"/>
          <w:color w:val="000000"/>
          <w:sz w:val="20"/>
          <w:szCs w:val="20"/>
        </w:rPr>
        <w:t>The table below presents segment revenues for the three and six months ended June 30, 2022 and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897"/>
        <w:gridCol w:w="38"/>
        <w:gridCol w:w="120"/>
        <w:gridCol w:w="837"/>
        <w:gridCol w:w="36"/>
        <w:gridCol w:w="36"/>
        <w:gridCol w:w="36"/>
        <w:gridCol w:w="36"/>
        <w:gridCol w:w="120"/>
        <w:gridCol w:w="837"/>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374500511"/>
          <w:jc w:val="center"/>
        </w:trPr>
        <w:tc>
          <w:tcPr>
            <w:tcW w:w="50" w:type="pct"/>
            <w:vAlign w:val="center"/>
            <w:hideMark/>
          </w:tcPr>
          <w:p w:rsidR="00000000" w:rsidRDefault="005C524C">
            <w:pPr>
              <w:rPr>
                <w:rFonts w:eastAsia="Times New Roman"/>
              </w:rPr>
            </w:pPr>
          </w:p>
        </w:tc>
        <w:tc>
          <w:tcPr>
            <w:tcW w:w="24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tcMar>
              <w:top w:w="30" w:type="dxa"/>
              <w:left w:w="20" w:type="dxa"/>
              <w:bottom w:w="30" w:type="dxa"/>
              <w:right w:w="20" w:type="dxa"/>
            </w:tcMar>
            <w:vAlign w:val="bottom"/>
            <w:hideMark/>
          </w:tcPr>
          <w:p w:rsidR="00000000" w:rsidRDefault="005C524C">
            <w:pPr>
              <w:spacing w:after="100"/>
              <w:divId w:val="791478452"/>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tcMar>
              <w:top w:w="30" w:type="dxa"/>
              <w:left w:w="20" w:type="dxa"/>
              <w:bottom w:w="30" w:type="dxa"/>
              <w:right w:w="20" w:type="dxa"/>
            </w:tcMar>
            <w:vAlign w:val="bottom"/>
            <w:hideMark/>
          </w:tcPr>
          <w:p w:rsidR="00000000" w:rsidRDefault="005C524C">
            <w:pPr>
              <w:spacing w:after="100"/>
              <w:divId w:val="1869098065"/>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Segment revenues: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Group Retirement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Management and Research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2,076 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Protection Solutions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1,658 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(3,494)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adjustments to segment revenues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374500511"/>
          <w:jc w:val="center"/>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revenues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2,950 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9,112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997079479"/>
        <w:rPr>
          <w:rFonts w:eastAsia="Times New Roman"/>
        </w:rPr>
      </w:pPr>
      <w:r>
        <w:rPr>
          <w:rFonts w:eastAsia="Times New Roman"/>
          <w:color w:val="000000"/>
          <w:sz w:val="18"/>
          <w:szCs w:val="18"/>
        </w:rPr>
        <w:t>______________</w:t>
      </w:r>
    </w:p>
    <w:p w:rsidR="00000000" w:rsidRDefault="005C524C">
      <w:pPr>
        <w:ind w:hanging="360"/>
        <w:divId w:val="1274820169"/>
        <w:rPr>
          <w:rFonts w:eastAsia="Times New Roman"/>
        </w:rPr>
      </w:pPr>
      <w:r>
        <w:rPr>
          <w:rFonts w:eastAsia="Times New Roman"/>
          <w:color w:val="000000"/>
          <w:sz w:val="18"/>
          <w:szCs w:val="18"/>
        </w:rPr>
        <w:t xml:space="preserve">(1)Includes investment expenses charged by AB of $23 million, $20 million, $44 million and $39 million for the three and six months ended </w:t>
      </w:r>
      <w:r>
        <w:rPr>
          <w:rFonts w:eastAsia="Times New Roman"/>
          <w:color w:val="000000"/>
          <w:sz w:val="18"/>
          <w:szCs w:val="18"/>
        </w:rPr>
        <w:t>June 30, 2022 and 2021, respectively, for services provided to the Company.</w:t>
      </w:r>
    </w:p>
    <w:p w:rsidR="00000000" w:rsidRDefault="005C524C">
      <w:pPr>
        <w:ind w:hanging="360"/>
        <w:divId w:val="755131387"/>
        <w:rPr>
          <w:rFonts w:eastAsia="Times New Roman"/>
        </w:rPr>
      </w:pPr>
      <w:r>
        <w:rPr>
          <w:rFonts w:eastAsia="Times New Roman"/>
          <w:color w:val="000000"/>
          <w:sz w:val="18"/>
          <w:szCs w:val="18"/>
        </w:rPr>
        <w:t>(2)Inter-segment investment management and other fees of $32 million, $32 million, $60 million and $62 million for the three and six months ended June 30, 2022 and 2021, respective</w:t>
      </w:r>
      <w:r>
        <w:rPr>
          <w:rFonts w:eastAsia="Times New Roman"/>
          <w:color w:val="000000"/>
          <w:sz w:val="18"/>
          <w:szCs w:val="18"/>
        </w:rPr>
        <w:t>ly, are included in segment revenues of the Investment Management and Research segment.</w:t>
      </w:r>
    </w:p>
    <w:p w:rsidR="00000000" w:rsidRDefault="005C524C">
      <w:pPr>
        <w:ind w:hanging="360"/>
        <w:divId w:val="1132357687"/>
        <w:rPr>
          <w:rFonts w:eastAsia="Times New Roman"/>
        </w:rPr>
      </w:pPr>
    </w:p>
    <w:p w:rsidR="00000000" w:rsidRDefault="005C524C">
      <w:pPr>
        <w:divId w:val="1074621280"/>
        <w:rPr>
          <w:rFonts w:eastAsia="Times New Roman"/>
        </w:rPr>
      </w:pPr>
      <w:r>
        <w:rPr>
          <w:rFonts w:eastAsia="Times New Roman"/>
          <w:color w:val="000000"/>
          <w:sz w:val="20"/>
          <w:szCs w:val="20"/>
        </w:rPr>
        <w:t>The table below presents total assets by segment as of June 30, 2022 and 2021:</w:t>
      </w:r>
    </w:p>
    <w:p w:rsidR="00000000" w:rsidRDefault="005C524C">
      <w:pPr>
        <w:jc w:val="center"/>
        <w:divId w:val="1576547196"/>
        <w:rPr>
          <w:rFonts w:eastAsia="Times New Roman"/>
        </w:rPr>
      </w:pPr>
      <w:r>
        <w:rPr>
          <w:rFonts w:eastAsia="Times New Roman"/>
          <w:color w:val="000000"/>
          <w:sz w:val="20"/>
          <w:szCs w:val="20"/>
        </w:rPr>
        <w:t>68</w:t>
      </w:r>
    </w:p>
    <w:p w:rsidR="00000000" w:rsidRDefault="005C524C">
      <w:pPr>
        <w:rPr>
          <w:rFonts w:eastAsia="Times New Roman"/>
        </w:rPr>
      </w:pPr>
      <w:r>
        <w:rPr>
          <w:rFonts w:eastAsia="Times New Roman"/>
        </w:rPr>
        <w:pict>
          <v:rect id="_x0000_i1094" style="width:0;height:1.5pt" o:hralign="center" o:hrstd="t" o:hr="t" fillcolor="#a0a0a0" stroked="f"/>
        </w:pict>
      </w:r>
    </w:p>
    <w:p w:rsidR="00000000" w:rsidRDefault="005C524C">
      <w:pPr>
        <w:ind w:firstLine="360"/>
        <w:divId w:val="815877034"/>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trPr>
          <w:divId w:val="284242409"/>
          <w:jc w:val="center"/>
        </w:trPr>
        <w:tc>
          <w:tcPr>
            <w:tcW w:w="50" w:type="pct"/>
            <w:vAlign w:val="center"/>
            <w:hideMark/>
          </w:tcPr>
          <w:p w:rsidR="00000000" w:rsidRDefault="005C524C">
            <w:pPr>
              <w:ind w:firstLine="360"/>
              <w:rPr>
                <w:rFonts w:eastAsia="Times New Roman"/>
              </w:rPr>
            </w:pPr>
          </w:p>
        </w:tc>
        <w:tc>
          <w:tcPr>
            <w:tcW w:w="356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284242409"/>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84242409"/>
          <w:jc w:val="center"/>
        </w:trPr>
        <w:tc>
          <w:tcPr>
            <w:tcW w:w="0" w:type="auto"/>
            <w:gridSpan w:val="3"/>
            <w:tcMar>
              <w:top w:w="30" w:type="dxa"/>
              <w:left w:w="20" w:type="dxa"/>
              <w:bottom w:w="30" w:type="dxa"/>
              <w:right w:w="20" w:type="dxa"/>
            </w:tcMar>
            <w:vAlign w:val="bottom"/>
            <w:hideMark/>
          </w:tcPr>
          <w:p w:rsidR="00000000" w:rsidRDefault="005C524C">
            <w:pPr>
              <w:spacing w:after="100"/>
              <w:divId w:val="1633706544"/>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divId w:val="284242409"/>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284242409"/>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284242409"/>
          <w:jc w:val="center"/>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126,393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143,663 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84242409"/>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40,356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55,368 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84242409"/>
          <w:jc w:val="center"/>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11,602 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84242409"/>
          <w:jc w:val="center"/>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38,384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50,686 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84242409"/>
          <w:jc w:val="center"/>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30,943 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284242409"/>
          <w:jc w:val="center"/>
        </w:trPr>
        <w:tc>
          <w:tcPr>
            <w:tcW w:w="0" w:type="auto"/>
            <w:gridSpan w:val="3"/>
            <w:shd w:val="clear" w:color="auto" w:fill="FFFF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253,482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292,262 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1582519610"/>
        <w:rPr>
          <w:rFonts w:eastAsia="Times New Roman"/>
        </w:rPr>
      </w:pPr>
    </w:p>
    <w:p w:rsidR="00000000" w:rsidRDefault="005C524C">
      <w:pPr>
        <w:divId w:val="1129595270"/>
        <w:rPr>
          <w:rFonts w:eastAsia="Times New Roman"/>
        </w:rPr>
      </w:pPr>
      <w:r>
        <w:rPr>
          <w:rFonts w:eastAsia="Times New Roman"/>
          <w:b/>
          <w:bCs/>
          <w:color w:val="000000"/>
          <w:sz w:val="20"/>
          <w:szCs w:val="20"/>
        </w:rPr>
        <w:t>15)    EARNINGS PER COMMON SHARE</w:t>
      </w:r>
    </w:p>
    <w:p w:rsidR="00000000" w:rsidRDefault="005C524C">
      <w:pPr>
        <w:divId w:val="1539508042"/>
        <w:rPr>
          <w:rFonts w:eastAsia="Times New Roman"/>
        </w:rPr>
      </w:pPr>
      <w:r>
        <w:rPr>
          <w:rFonts w:eastAsia="Times New Roman"/>
          <w:color w:val="000000"/>
          <w:sz w:val="20"/>
          <w:szCs w:val="20"/>
        </w:rPr>
        <w:t>The following table presents a reconciliation of Net income (loss) and Weighted-average common shares used in calculating basic and diluted Earnings per common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19"/>
        <w:gridCol w:w="36"/>
        <w:gridCol w:w="36"/>
        <w:gridCol w:w="36"/>
        <w:gridCol w:w="36"/>
        <w:gridCol w:w="120"/>
        <w:gridCol w:w="919"/>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1457479425"/>
        </w:trPr>
        <w:tc>
          <w:tcPr>
            <w:tcW w:w="50" w:type="pct"/>
            <w:vAlign w:val="center"/>
            <w:hideMark/>
          </w:tcPr>
          <w:p w:rsidR="00000000" w:rsidRDefault="005C524C">
            <w:pPr>
              <w:rPr>
                <w:rFonts w:eastAsia="Times New Roman"/>
              </w:rPr>
            </w:pPr>
          </w:p>
        </w:tc>
        <w:tc>
          <w:tcPr>
            <w:tcW w:w="23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1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tcMar>
              <w:top w:w="30" w:type="dxa"/>
              <w:left w:w="20" w:type="dxa"/>
              <w:bottom w:w="30" w:type="dxa"/>
              <w:right w:w="20" w:type="dxa"/>
            </w:tcMar>
            <w:vAlign w:val="bottom"/>
            <w:hideMark/>
          </w:tcPr>
          <w:p w:rsidR="00000000" w:rsidRDefault="005C524C">
            <w:pPr>
              <w:spacing w:after="100"/>
              <w:divId w:val="842280327"/>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607274678"/>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424.2 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Effect of dilutive potential common shares: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Employee share awards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243029534"/>
              <w:rPr>
                <w:rFonts w:eastAsia="Times New Roman"/>
              </w:rPr>
            </w:pPr>
            <w:r>
              <w:rPr>
                <w:rFonts w:eastAsia="Times New Roman"/>
                <w:color w:val="000000"/>
                <w:sz w:val="20"/>
                <w:szCs w:val="20"/>
              </w:rPr>
              <w:t>Weighted-average common shares outstanding — diluted (2)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428.3 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386.1</w:t>
            </w: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51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2,261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57479425"/>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333874676"/>
        <w:rPr>
          <w:rFonts w:eastAsia="Times New Roman"/>
        </w:rPr>
      </w:pPr>
      <w:r>
        <w:rPr>
          <w:rFonts w:eastAsia="Times New Roman"/>
          <w:color w:val="000000"/>
          <w:sz w:val="18"/>
          <w:szCs w:val="18"/>
        </w:rPr>
        <w:t>____</w:t>
      </w:r>
      <w:r>
        <w:rPr>
          <w:rFonts w:eastAsia="Times New Roman"/>
          <w:color w:val="000000"/>
          <w:sz w:val="18"/>
          <w:szCs w:val="18"/>
        </w:rPr>
        <w:t>_________</w:t>
      </w:r>
    </w:p>
    <w:p w:rsidR="00000000" w:rsidRDefault="005C524C">
      <w:pPr>
        <w:ind w:hanging="360"/>
        <w:divId w:val="1820803736"/>
        <w:rPr>
          <w:rFonts w:eastAsia="Times New Roman"/>
        </w:rPr>
      </w:pPr>
      <w:r>
        <w:rPr>
          <w:rFonts w:eastAsia="Times New Roman"/>
          <w:color w:val="000000"/>
          <w:sz w:val="18"/>
          <w:szCs w:val="18"/>
        </w:rPr>
        <w:t>(1)Calculated using the treasury stock method.</w:t>
      </w:r>
    </w:p>
    <w:p w:rsidR="00000000" w:rsidRDefault="005C524C">
      <w:pPr>
        <w:ind w:hanging="360"/>
        <w:divId w:val="1277983324"/>
        <w:rPr>
          <w:rFonts w:eastAsia="Times New Roman"/>
        </w:rPr>
      </w:pPr>
      <w:r>
        <w:rPr>
          <w:rFonts w:eastAsia="Times New Roman"/>
          <w:color w:val="000000"/>
          <w:sz w:val="18"/>
          <w:szCs w:val="18"/>
        </w:rPr>
        <w:t xml:space="preserve">(2)Due to net loss for the </w:t>
      </w:r>
      <w:r>
        <w:rPr>
          <w:rFonts w:eastAsia="Times New Roman"/>
          <w:color w:val="000000"/>
          <w:sz w:val="20"/>
          <w:szCs w:val="20"/>
        </w:rPr>
        <w:t xml:space="preserve">six months ended June 30, 2021 </w:t>
      </w:r>
      <w:r>
        <w:rPr>
          <w:rFonts w:eastAsia="Times New Roman"/>
          <w:color w:val="000000"/>
          <w:sz w:val="18"/>
          <w:szCs w:val="18"/>
        </w:rPr>
        <w:t>approximately 3.9 million share awards were excluded from the diluted EPS calculation.</w:t>
      </w:r>
    </w:p>
    <w:p w:rsidR="00000000" w:rsidRDefault="005C524C">
      <w:pPr>
        <w:divId w:val="1390303126"/>
        <w:rPr>
          <w:rFonts w:eastAsia="Times New Roman"/>
        </w:rPr>
      </w:pPr>
      <w:r>
        <w:rPr>
          <w:rFonts w:eastAsia="Times New Roman"/>
          <w:color w:val="000000"/>
          <w:sz w:val="20"/>
          <w:szCs w:val="20"/>
        </w:rPr>
        <w:t>For the three and six months ended June 30, 2022 and 2</w:t>
      </w:r>
      <w:r>
        <w:rPr>
          <w:rFonts w:eastAsia="Times New Roman"/>
          <w:color w:val="000000"/>
          <w:sz w:val="20"/>
          <w:szCs w:val="20"/>
        </w:rPr>
        <w:t>021, 3.3 million, 3.2 million, 4.5 million and 8.6 million of outstanding stock awards, respectively, were not included in the computation of diluted earnings per share because their effect was anti-dilutive.</w:t>
      </w:r>
    </w:p>
    <w:p w:rsidR="00000000" w:rsidRDefault="005C524C">
      <w:pPr>
        <w:jc w:val="center"/>
        <w:divId w:val="1000162505"/>
        <w:rPr>
          <w:rFonts w:eastAsia="Times New Roman"/>
        </w:rPr>
      </w:pPr>
      <w:r>
        <w:rPr>
          <w:rFonts w:eastAsia="Times New Roman"/>
          <w:color w:val="000000"/>
          <w:sz w:val="20"/>
          <w:szCs w:val="20"/>
        </w:rPr>
        <w:t>69</w:t>
      </w:r>
    </w:p>
    <w:p w:rsidR="00000000" w:rsidRDefault="005C524C">
      <w:pPr>
        <w:rPr>
          <w:rFonts w:eastAsia="Times New Roman"/>
        </w:rPr>
      </w:pPr>
      <w:r>
        <w:rPr>
          <w:rFonts w:eastAsia="Times New Roman"/>
        </w:rPr>
        <w:pict>
          <v:rect id="_x0000_i1095" style="width:0;height:1.5pt" o:hralign="center" o:hrstd="t" o:hr="t" fillcolor="#a0a0a0" stroked="f"/>
        </w:pict>
      </w:r>
    </w:p>
    <w:p w:rsidR="00000000" w:rsidRDefault="005C524C">
      <w:pPr>
        <w:ind w:firstLine="360"/>
        <w:divId w:val="1705788888"/>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148284542"/>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5C524C">
      <w:pPr>
        <w:ind w:firstLine="360"/>
        <w:divId w:val="59333288"/>
        <w:rPr>
          <w:rFonts w:eastAsia="Times New Roman"/>
        </w:rPr>
      </w:pPr>
      <w:r>
        <w:rPr>
          <w:rFonts w:eastAsia="Times New Roman"/>
          <w:i/>
          <w:iCs/>
          <w:color w:val="000000"/>
          <w:sz w:val="20"/>
          <w:szCs w:val="20"/>
        </w:rPr>
        <w:t xml:space="preserve">The following discussion and analysis of our financial condition and results of operations should be read in its entirety and in conjunction with the consolidated financial statements and related notes contained in </w:t>
      </w:r>
      <w:hyperlink w:anchor="i2588464f77ae40b48abb7647b419da5e_19"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of Financial Condition and Results of Operations” section contained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2021 (“2021 Form 10-K”).</w:t>
      </w:r>
    </w:p>
    <w:p w:rsidR="00000000" w:rsidRDefault="005C524C">
      <w:pPr>
        <w:ind w:firstLine="360"/>
        <w:divId w:val="2098280203"/>
        <w:rPr>
          <w:rFonts w:eastAsia="Times New Roman"/>
        </w:rPr>
      </w:pPr>
      <w:r>
        <w:rPr>
          <w:rFonts w:eastAsia="Times New Roman"/>
          <w:i/>
          <w:iCs/>
          <w:color w:val="000000"/>
          <w:sz w:val="20"/>
          <w:szCs w:val="20"/>
        </w:rPr>
        <w:t xml:space="preserve">In addition to historical data, this discussion contains forward-looking </w:t>
      </w:r>
      <w:r>
        <w:rPr>
          <w:rFonts w:eastAsia="Times New Roman"/>
          <w:i/>
          <w:iCs/>
          <w:color w:val="000000"/>
          <w:sz w:val="20"/>
          <w:szCs w:val="20"/>
        </w:rPr>
        <w:t xml:space="preserve">statements about our business, operations and financial performance based on current expectations that involve risks, uncertainties and assumptions. Actual results may differ materially from those discussed in the forward-looking statements as a result of </w:t>
      </w:r>
      <w:r>
        <w:rPr>
          <w:rFonts w:eastAsia="Times New Roman"/>
          <w:i/>
          <w:iCs/>
          <w:color w:val="000000"/>
          <w:sz w:val="20"/>
          <w:szCs w:val="20"/>
        </w:rPr>
        <w:t xml:space="preserve">various factors. See the Note Regarding Forward-Looking Statements and Information. Investors are directed to consider the risks and uncertainties discussed in </w:t>
      </w:r>
      <w:hyperlink w:anchor="i2588464f77ae40b48abb7647b419da5e_466" w:history="1">
        <w:r>
          <w:rPr>
            <w:rStyle w:val="a3"/>
            <w:rFonts w:eastAsia="Times New Roman"/>
            <w:i/>
            <w:iCs/>
            <w:sz w:val="20"/>
            <w:szCs w:val="20"/>
          </w:rPr>
          <w:t>Part II, Item 1A</w:t>
        </w:r>
      </w:hyperlink>
      <w:r>
        <w:rPr>
          <w:rFonts w:eastAsia="Times New Roman"/>
          <w:i/>
          <w:iCs/>
          <w:color w:val="000000"/>
          <w:sz w:val="20"/>
          <w:szCs w:val="20"/>
        </w:rPr>
        <w:t> of this Quarterly R</w:t>
      </w:r>
      <w:r>
        <w:rPr>
          <w:rFonts w:eastAsia="Times New Roman"/>
          <w:i/>
          <w:iCs/>
          <w:color w:val="000000"/>
          <w:sz w:val="20"/>
          <w:szCs w:val="20"/>
        </w:rPr>
        <w:t>eport on Form 10-Q, as well as in other documents we have filed with the SEC.</w:t>
      </w:r>
    </w:p>
    <w:p w:rsidR="00000000" w:rsidRDefault="005C524C">
      <w:pPr>
        <w:divId w:val="1059522169"/>
        <w:rPr>
          <w:rFonts w:eastAsia="Times New Roman"/>
        </w:rPr>
      </w:pPr>
      <w:r>
        <w:rPr>
          <w:rFonts w:eastAsia="Times New Roman"/>
          <w:b/>
          <w:bCs/>
          <w:color w:val="000000"/>
          <w:sz w:val="20"/>
          <w:szCs w:val="20"/>
        </w:rPr>
        <w:t xml:space="preserve">Executive Summary </w:t>
      </w:r>
    </w:p>
    <w:p w:rsidR="00000000" w:rsidRDefault="005C524C">
      <w:pPr>
        <w:jc w:val="both"/>
        <w:divId w:val="1650860243"/>
        <w:rPr>
          <w:rFonts w:eastAsia="Times New Roman"/>
        </w:rPr>
      </w:pPr>
      <w:r>
        <w:rPr>
          <w:rFonts w:eastAsia="Times New Roman"/>
          <w:b/>
          <w:bCs/>
          <w:i/>
          <w:iCs/>
          <w:color w:val="000000"/>
          <w:sz w:val="20"/>
          <w:szCs w:val="20"/>
        </w:rPr>
        <w:t xml:space="preserve">Overview </w:t>
      </w:r>
    </w:p>
    <w:p w:rsidR="00000000" w:rsidRDefault="005C524C">
      <w:pPr>
        <w:ind w:firstLine="360"/>
        <w:divId w:val="1115324255"/>
        <w:rPr>
          <w:rFonts w:eastAsia="Times New Roman"/>
        </w:rPr>
      </w:pPr>
      <w:r>
        <w:rPr>
          <w:rFonts w:eastAsia="Times New Roman"/>
          <w:color w:val="000000"/>
          <w:sz w:val="20"/>
          <w:szCs w:val="20"/>
        </w:rPr>
        <w:t>We are one of America’s leading financial services companies, providing: (i) advice and solutions for helping Americans set and meet their retirement</w:t>
      </w:r>
      <w:r>
        <w:rPr>
          <w:rFonts w:eastAsia="Times New Roman"/>
          <w:color w:val="000000"/>
          <w:sz w:val="20"/>
          <w:szCs w:val="20"/>
        </w:rPr>
        <w:t xml:space="preserve"> goals and protect and transfer their wealth across generations; and (ii) a wide range of investment management insights, expertise and innovations to drive better investment decisions and outcomes for clients worldwide. </w:t>
      </w:r>
    </w:p>
    <w:p w:rsidR="00000000" w:rsidRDefault="005C524C">
      <w:pPr>
        <w:ind w:firstLine="360"/>
        <w:divId w:val="456606489"/>
        <w:rPr>
          <w:rFonts w:eastAsia="Times New Roman"/>
        </w:rPr>
      </w:pPr>
      <w:r>
        <w:rPr>
          <w:rFonts w:eastAsia="Times New Roman"/>
          <w:color w:val="000000"/>
          <w:sz w:val="20"/>
          <w:szCs w:val="20"/>
        </w:rPr>
        <w:t>We manage our business through fou</w:t>
      </w:r>
      <w:r>
        <w:rPr>
          <w:rFonts w:eastAsia="Times New Roman"/>
          <w:color w:val="000000"/>
          <w:sz w:val="20"/>
          <w:szCs w:val="20"/>
        </w:rPr>
        <w:t>r segments: Individual Retirement, Group Retirement, Investment Management and Research, and Protection Solutions. We report certain activities and items that are not included in these segments in Corporate and Other. See Note 14 of the Notes to the Consol</w:t>
      </w:r>
      <w:r>
        <w:rPr>
          <w:rFonts w:eastAsia="Times New Roman"/>
          <w:color w:val="000000"/>
          <w:sz w:val="20"/>
          <w:szCs w:val="20"/>
        </w:rPr>
        <w:t>idated Financial Statements for further information on our segments.</w:t>
      </w:r>
    </w:p>
    <w:p w:rsidR="00000000" w:rsidRDefault="005C524C">
      <w:pPr>
        <w:ind w:firstLine="360"/>
        <w:divId w:val="535050128"/>
        <w:rPr>
          <w:rFonts w:eastAsia="Times New Roman"/>
        </w:rPr>
      </w:pPr>
      <w:r>
        <w:rPr>
          <w:rFonts w:eastAsia="Times New Roman"/>
          <w:color w:val="000000"/>
          <w:sz w:val="20"/>
          <w:szCs w:val="20"/>
        </w:rPr>
        <w:t xml:space="preserve">We benefit from our complementary mix of businesses. This business mix provides diversity in our earnings sources, which helps offset fluctuations in market conditions and variability in </w:t>
      </w:r>
      <w:r>
        <w:rPr>
          <w:rFonts w:eastAsia="Times New Roman"/>
          <w:color w:val="000000"/>
          <w:sz w:val="20"/>
          <w:szCs w:val="20"/>
        </w:rPr>
        <w:t xml:space="preserve">business results, while offering growth opportunities. </w:t>
      </w:r>
    </w:p>
    <w:p w:rsidR="00000000" w:rsidRDefault="005C524C">
      <w:pPr>
        <w:jc w:val="both"/>
        <w:divId w:val="666245648"/>
        <w:rPr>
          <w:rFonts w:eastAsia="Times New Roman"/>
        </w:rPr>
      </w:pPr>
      <w:r>
        <w:rPr>
          <w:rFonts w:eastAsia="Times New Roman"/>
          <w:b/>
          <w:bCs/>
          <w:i/>
          <w:iCs/>
          <w:color w:val="000000"/>
          <w:sz w:val="20"/>
          <w:szCs w:val="20"/>
        </w:rPr>
        <w:t>COVID-19 Impact</w:t>
      </w:r>
    </w:p>
    <w:p w:rsidR="00000000" w:rsidRDefault="005C524C">
      <w:pPr>
        <w:ind w:firstLine="360"/>
        <w:divId w:val="1646163740"/>
        <w:rPr>
          <w:rFonts w:eastAsia="Times New Roman"/>
        </w:rPr>
      </w:pPr>
      <w:r>
        <w:rPr>
          <w:rFonts w:eastAsia="Times New Roman"/>
          <w:color w:val="000000"/>
          <w:sz w:val="20"/>
          <w:szCs w:val="20"/>
        </w:rPr>
        <w:t>We continue to closely monitor COVID-19 developments and the impact on our business, operations and investment portfolio. The pandemic’s impact on us depends on future developments tha</w:t>
      </w:r>
      <w:r>
        <w:rPr>
          <w:rFonts w:eastAsia="Times New Roman"/>
          <w:color w:val="000000"/>
          <w:sz w:val="20"/>
          <w:szCs w:val="20"/>
        </w:rPr>
        <w:t>t are highly uncertain, including the scope and duration of the pandemic and any recovery period, the emergence and spread of COVID-19 variants, the availability, adoption and efficacy of COVID-19 treatments and vaccines, and future actions taken by govern</w:t>
      </w:r>
      <w:r>
        <w:rPr>
          <w:rFonts w:eastAsia="Times New Roman"/>
          <w:color w:val="000000"/>
          <w:sz w:val="20"/>
          <w:szCs w:val="20"/>
        </w:rPr>
        <w:t>mental authorities, central banks and other parties in response to COVID-19. It is not possible to predict or estimate the longer-term effects of the COVID-19 pandemic, on the economy and on our business, results of operations, and financial condition, inc</w:t>
      </w:r>
      <w:r>
        <w:rPr>
          <w:rFonts w:eastAsia="Times New Roman"/>
          <w:color w:val="000000"/>
          <w:sz w:val="20"/>
          <w:szCs w:val="20"/>
        </w:rPr>
        <w:t>luding the impact on our investment portfolio or the need for us to revisit or revise targets previously provided to the markets and/or aspects of our business model. For additional information regarding the actual and potential impacts of the COVID-19 pan</w:t>
      </w:r>
      <w:r>
        <w:rPr>
          <w:rFonts w:eastAsia="Times New Roman"/>
          <w:color w:val="000000"/>
          <w:sz w:val="20"/>
          <w:szCs w:val="20"/>
        </w:rPr>
        <w:t>demic and action we have taken to mitigate certain impacts, see “Risk Factors—Risks Relating to Conditions in the Financial Markets and Economy—The coronavirus (COVID-19) pandemic”, “Management’s Discussion and Analysis of Financial Condition and Results o</w:t>
      </w:r>
      <w:r>
        <w:rPr>
          <w:rFonts w:eastAsia="Times New Roman"/>
          <w:color w:val="000000"/>
          <w:sz w:val="20"/>
          <w:szCs w:val="20"/>
        </w:rPr>
        <w:t>f Operations—Executive Summary—COVID-19 Impact” and “Management’s Discussion and Analysis of Financial Condition and Results of Operations—General Account Investment Portfolio” in the 2021 Form 10-K.</w:t>
      </w:r>
    </w:p>
    <w:p w:rsidR="00000000" w:rsidRDefault="005C524C">
      <w:pPr>
        <w:divId w:val="336271846"/>
        <w:rPr>
          <w:rFonts w:eastAsia="Times New Roman"/>
        </w:rPr>
      </w:pPr>
      <w:r>
        <w:rPr>
          <w:rFonts w:eastAsia="Times New Roman"/>
          <w:b/>
          <w:bCs/>
          <w:color w:val="000000"/>
          <w:sz w:val="20"/>
          <w:szCs w:val="20"/>
        </w:rPr>
        <w:t>Revenues</w:t>
      </w:r>
    </w:p>
    <w:p w:rsidR="00000000" w:rsidRDefault="005C524C">
      <w:pPr>
        <w:ind w:firstLine="360"/>
        <w:divId w:val="624888473"/>
        <w:rPr>
          <w:rFonts w:eastAsia="Times New Roman"/>
        </w:rPr>
      </w:pPr>
      <w:r>
        <w:rPr>
          <w:rFonts w:eastAsia="Times New Roman"/>
          <w:color w:val="000000"/>
          <w:sz w:val="20"/>
          <w:szCs w:val="20"/>
        </w:rPr>
        <w:t>Our revenues come from three principal sources:</w:t>
      </w:r>
    </w:p>
    <w:p w:rsidR="00000000" w:rsidRDefault="005C524C">
      <w:pPr>
        <w:ind w:hanging="360"/>
        <w:jc w:val="both"/>
        <w:divId w:val="151803235"/>
        <w:rPr>
          <w:rFonts w:eastAsia="Times New Roman"/>
        </w:rPr>
      </w:pPr>
      <w:r>
        <w:rPr>
          <w:rFonts w:eastAsia="Times New Roman"/>
          <w:color w:val="000000"/>
          <w:sz w:val="20"/>
          <w:szCs w:val="20"/>
        </w:rPr>
        <w:t>•fee income derived from our retirement and protection products and our investment management and research services;</w:t>
      </w:r>
    </w:p>
    <w:p w:rsidR="00000000" w:rsidRDefault="005C524C">
      <w:pPr>
        <w:ind w:hanging="360"/>
        <w:jc w:val="both"/>
        <w:divId w:val="1538155297"/>
        <w:rPr>
          <w:rFonts w:eastAsia="Times New Roman"/>
        </w:rPr>
      </w:pPr>
      <w:r>
        <w:rPr>
          <w:rFonts w:eastAsia="Times New Roman"/>
          <w:color w:val="000000"/>
          <w:sz w:val="20"/>
          <w:szCs w:val="20"/>
        </w:rPr>
        <w:t>•premiums from our traditional life insurance and annuity products; and</w:t>
      </w:r>
    </w:p>
    <w:p w:rsidR="00000000" w:rsidRDefault="005C524C">
      <w:pPr>
        <w:ind w:hanging="360"/>
        <w:divId w:val="17465171"/>
        <w:rPr>
          <w:rFonts w:eastAsia="Times New Roman"/>
        </w:rPr>
      </w:pPr>
      <w:r>
        <w:rPr>
          <w:rFonts w:eastAsia="Times New Roman"/>
          <w:color w:val="000000"/>
          <w:sz w:val="20"/>
          <w:szCs w:val="20"/>
        </w:rPr>
        <w:t>•investment income from our General Account investment portfolio.</w:t>
      </w:r>
    </w:p>
    <w:p w:rsidR="00000000" w:rsidRDefault="005C524C">
      <w:pPr>
        <w:ind w:firstLine="360"/>
        <w:divId w:val="1231042166"/>
        <w:rPr>
          <w:rFonts w:eastAsia="Times New Roman"/>
        </w:rPr>
      </w:pPr>
      <w:r>
        <w:rPr>
          <w:rFonts w:eastAsia="Times New Roman"/>
          <w:color w:val="000000"/>
          <w:sz w:val="20"/>
          <w:szCs w:val="20"/>
        </w:rPr>
        <w:t xml:space="preserve">Our fee income varies directly in relation to the amount of the underlying AV or benefit base of our retirement and protection products and the amount of AUM of our Investment Management and Research business. AV and AUM, each as defined in “Key Operating </w:t>
      </w:r>
      <w:r>
        <w:rPr>
          <w:rFonts w:eastAsia="Times New Roman"/>
          <w:color w:val="000000"/>
          <w:sz w:val="20"/>
          <w:szCs w:val="20"/>
        </w:rPr>
        <w:t>Measures,” are influenced by changes in economic conditions, primarily equity market returns, as well as net flows. Our premium income is driven by the growth in new policies written and the persistency of our in-force policies, both of which are influence</w:t>
      </w:r>
      <w:r>
        <w:rPr>
          <w:rFonts w:eastAsia="Times New Roman"/>
          <w:color w:val="000000"/>
          <w:sz w:val="20"/>
          <w:szCs w:val="20"/>
        </w:rPr>
        <w:t xml:space="preserve">d by a combination of factors, including our efforts to attract and retain customers and market conditions that influence demand for our products. Our investment income is driven by the yield on our General </w:t>
      </w:r>
    </w:p>
    <w:p w:rsidR="00000000" w:rsidRDefault="005C524C">
      <w:pPr>
        <w:jc w:val="center"/>
        <w:divId w:val="1705400525"/>
        <w:rPr>
          <w:rFonts w:eastAsia="Times New Roman"/>
        </w:rPr>
      </w:pPr>
      <w:r>
        <w:rPr>
          <w:rFonts w:eastAsia="Times New Roman"/>
          <w:color w:val="000000"/>
          <w:sz w:val="20"/>
          <w:szCs w:val="20"/>
        </w:rPr>
        <w:t>70</w:t>
      </w:r>
    </w:p>
    <w:p w:rsidR="00000000" w:rsidRDefault="005C524C">
      <w:pPr>
        <w:rPr>
          <w:rFonts w:eastAsia="Times New Roman"/>
        </w:rPr>
      </w:pPr>
      <w:r>
        <w:rPr>
          <w:rFonts w:eastAsia="Times New Roman"/>
        </w:rPr>
        <w:pict>
          <v:rect id="_x0000_i1096" style="width:0;height:1.5pt" o:hralign="center" o:hrstd="t" o:hr="t" fillcolor="#a0a0a0" stroked="f"/>
        </w:pict>
      </w:r>
    </w:p>
    <w:p w:rsidR="00000000" w:rsidRDefault="005C524C">
      <w:pPr>
        <w:ind w:firstLine="360"/>
        <w:divId w:val="73396703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581525862"/>
        <w:rPr>
          <w:rFonts w:eastAsia="Times New Roman"/>
        </w:rPr>
      </w:pPr>
      <w:r>
        <w:rPr>
          <w:rFonts w:eastAsia="Times New Roman"/>
          <w:color w:val="000000"/>
          <w:sz w:val="20"/>
          <w:szCs w:val="20"/>
        </w:rPr>
        <w:t>Account investment portfolio and is impacted by the prevailing level of interest rates as we reinvest cash associated with maturing investments and net flows to the portfolio.</w:t>
      </w:r>
    </w:p>
    <w:p w:rsidR="00000000" w:rsidRDefault="005C524C">
      <w:pPr>
        <w:divId w:val="544374737"/>
        <w:rPr>
          <w:rFonts w:eastAsia="Times New Roman"/>
        </w:rPr>
      </w:pPr>
      <w:r>
        <w:rPr>
          <w:rFonts w:eastAsia="Times New Roman"/>
          <w:b/>
          <w:bCs/>
          <w:color w:val="000000"/>
          <w:sz w:val="20"/>
          <w:szCs w:val="20"/>
        </w:rPr>
        <w:t>Benefits and Other Deductions</w:t>
      </w:r>
    </w:p>
    <w:p w:rsidR="00000000" w:rsidRDefault="005C524C">
      <w:pPr>
        <w:ind w:firstLine="360"/>
        <w:divId w:val="300623405"/>
        <w:rPr>
          <w:rFonts w:eastAsia="Times New Roman"/>
        </w:rPr>
      </w:pPr>
      <w:r>
        <w:rPr>
          <w:rFonts w:eastAsia="Times New Roman"/>
          <w:color w:val="000000"/>
          <w:sz w:val="20"/>
          <w:szCs w:val="20"/>
        </w:rPr>
        <w:t>Our primary expenses are:</w:t>
      </w:r>
    </w:p>
    <w:p w:rsidR="00000000" w:rsidRDefault="005C524C">
      <w:pPr>
        <w:ind w:hanging="360"/>
        <w:jc w:val="both"/>
        <w:divId w:val="451947887"/>
        <w:rPr>
          <w:rFonts w:eastAsia="Times New Roman"/>
        </w:rPr>
      </w:pPr>
      <w:r>
        <w:rPr>
          <w:rFonts w:eastAsia="Times New Roman"/>
          <w:color w:val="000000"/>
          <w:sz w:val="20"/>
          <w:szCs w:val="20"/>
        </w:rPr>
        <w:t>•    policyholders’ bene</w:t>
      </w:r>
      <w:r>
        <w:rPr>
          <w:rFonts w:eastAsia="Times New Roman"/>
          <w:color w:val="000000"/>
          <w:sz w:val="20"/>
          <w:szCs w:val="20"/>
        </w:rPr>
        <w:t>fits and interest credited to policyholders’ account balances;</w:t>
      </w:r>
    </w:p>
    <w:p w:rsidR="00000000" w:rsidRDefault="005C524C">
      <w:pPr>
        <w:ind w:hanging="360"/>
        <w:jc w:val="both"/>
        <w:divId w:val="252787364"/>
        <w:rPr>
          <w:rFonts w:eastAsia="Times New Roman"/>
        </w:rPr>
      </w:pPr>
      <w:r>
        <w:rPr>
          <w:rFonts w:eastAsia="Times New Roman"/>
          <w:color w:val="000000"/>
          <w:sz w:val="20"/>
          <w:szCs w:val="20"/>
        </w:rPr>
        <w:t>•    sales commissions and compensation paid to intermediaries and advisors that distribute our products and services; and</w:t>
      </w:r>
    </w:p>
    <w:p w:rsidR="00000000" w:rsidRDefault="005C524C">
      <w:pPr>
        <w:ind w:hanging="360"/>
        <w:divId w:val="1320302451"/>
        <w:rPr>
          <w:rFonts w:eastAsia="Times New Roman"/>
        </w:rPr>
      </w:pPr>
      <w:r>
        <w:rPr>
          <w:rFonts w:eastAsia="Times New Roman"/>
          <w:color w:val="000000"/>
          <w:sz w:val="20"/>
          <w:szCs w:val="20"/>
        </w:rPr>
        <w:t>•    compensation and benefits provided to our employees and other ope</w:t>
      </w:r>
      <w:r>
        <w:rPr>
          <w:rFonts w:eastAsia="Times New Roman"/>
          <w:color w:val="000000"/>
          <w:sz w:val="20"/>
          <w:szCs w:val="20"/>
        </w:rPr>
        <w:t>rating expenses.</w:t>
      </w:r>
    </w:p>
    <w:p w:rsidR="00000000" w:rsidRDefault="005C524C">
      <w:pPr>
        <w:ind w:firstLine="360"/>
        <w:divId w:val="1225409088"/>
        <w:rPr>
          <w:rFonts w:eastAsia="Times New Roman"/>
        </w:rPr>
      </w:pPr>
      <w:r>
        <w:rPr>
          <w:rFonts w:eastAsia="Times New Roman"/>
          <w:color w:val="000000"/>
          <w:sz w:val="20"/>
          <w:szCs w:val="20"/>
        </w:rPr>
        <w:t>Policyholders’ benefits are driven primarily by mortality, customer withdrawals, and benefits which change in response to changes in capital market conditions. In addition, some of our policyholders’ benefits are directly tied to the AV an</w:t>
      </w:r>
      <w:r>
        <w:rPr>
          <w:rFonts w:eastAsia="Times New Roman"/>
          <w:color w:val="000000"/>
          <w:sz w:val="20"/>
          <w:szCs w:val="20"/>
        </w:rPr>
        <w:t>d benefit base of our variable annuity products. Interest credited to policyholders varies in relation to the amount of the underlying AV or benefit base. Sales commissions and compensation paid to intermediaries and advisors vary in relation to premium an</w:t>
      </w:r>
      <w:r>
        <w:rPr>
          <w:rFonts w:eastAsia="Times New Roman"/>
          <w:color w:val="000000"/>
          <w:sz w:val="20"/>
          <w:szCs w:val="20"/>
        </w:rPr>
        <w:t>d fee income generated from these sources, whereas compensation and benefits to our employees are more constant and impacted by market wages and decline with increases in efficiency. Our ability to manage these expenses across various economic cycles and p</w:t>
      </w:r>
      <w:r>
        <w:rPr>
          <w:rFonts w:eastAsia="Times New Roman"/>
          <w:color w:val="000000"/>
          <w:sz w:val="20"/>
          <w:szCs w:val="20"/>
        </w:rPr>
        <w:t>roducts is critical to the profitability of our company.</w:t>
      </w:r>
    </w:p>
    <w:p w:rsidR="00000000" w:rsidRDefault="005C524C">
      <w:pPr>
        <w:divId w:val="693116980"/>
        <w:rPr>
          <w:rFonts w:eastAsia="Times New Roman"/>
        </w:rPr>
      </w:pPr>
      <w:r>
        <w:rPr>
          <w:rFonts w:eastAsia="Times New Roman"/>
          <w:b/>
          <w:bCs/>
          <w:color w:val="000000"/>
          <w:sz w:val="20"/>
          <w:szCs w:val="20"/>
        </w:rPr>
        <w:t>Net Income Volatility</w:t>
      </w:r>
    </w:p>
    <w:p w:rsidR="00000000" w:rsidRDefault="005C524C">
      <w:pPr>
        <w:ind w:firstLine="360"/>
        <w:divId w:val="1954701782"/>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ograms designed to mitigate the economic exposure to us from these features due to equity market and interest rate movements. Changes in the values of the derivatives associated with these programs due to equity market and interest rate movements are recog</w:t>
      </w:r>
      <w:r>
        <w:rPr>
          <w:rFonts w:eastAsia="Times New Roman"/>
          <w:color w:val="000000"/>
          <w:sz w:val="20"/>
          <w:szCs w:val="20"/>
        </w:rPr>
        <w:t>nized in the periods in which they occur while corresponding changes in offsetting liabilities not measured at fair value are recognized over time. This results in net income volatility as further described below. See “—Significant Factors Impacting Our Re</w:t>
      </w:r>
      <w:r>
        <w:rPr>
          <w:rFonts w:eastAsia="Times New Roman"/>
          <w:color w:val="000000"/>
          <w:sz w:val="20"/>
          <w:szCs w:val="20"/>
        </w:rPr>
        <w:t>sults—Impact of Hedging and GMxB Reinsurance on Results.”</w:t>
      </w:r>
    </w:p>
    <w:p w:rsidR="00000000" w:rsidRDefault="005C524C">
      <w:pPr>
        <w:ind w:firstLine="360"/>
        <w:divId w:val="1662352181"/>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w:t>
      </w:r>
      <w:r>
        <w:rPr>
          <w:rFonts w:eastAsia="Times New Roman"/>
          <w:color w:val="000000"/>
          <w:sz w:val="20"/>
          <w:szCs w:val="20"/>
        </w:rPr>
        <w:t>ll continue to preserve the economic value of our variable annuity contracts and better protect our target variable annuity asset level. However, these static hedge positions increase the size of our derivative positions and may result in higher net income</w:t>
      </w:r>
      <w:r>
        <w:rPr>
          <w:rFonts w:eastAsia="Times New Roman"/>
          <w:color w:val="000000"/>
          <w:sz w:val="20"/>
          <w:szCs w:val="20"/>
        </w:rPr>
        <w:t xml:space="preserve"> volatility on a period-over-period basis.</w:t>
      </w:r>
    </w:p>
    <w:p w:rsidR="00000000" w:rsidRDefault="005C524C">
      <w:pPr>
        <w:ind w:firstLine="360"/>
        <w:divId w:val="1210337756"/>
        <w:rPr>
          <w:rFonts w:eastAsia="Times New Roman"/>
        </w:rPr>
      </w:pPr>
      <w:r>
        <w:rPr>
          <w:rFonts w:eastAsia="Times New Roman"/>
          <w:color w:val="000000"/>
          <w:sz w:val="20"/>
          <w:szCs w:val="20"/>
        </w:rPr>
        <w:t>Due to the impacts on our net income of equity market and interest rate movements and other items that are not part of the underlying profitability drivers of our business, we evaluate and manage our business perf</w:t>
      </w:r>
      <w:r>
        <w:rPr>
          <w:rFonts w:eastAsia="Times New Roman"/>
          <w:color w:val="000000"/>
          <w:sz w:val="20"/>
          <w:szCs w:val="20"/>
        </w:rPr>
        <w:t>ormance using Non-GAAP Operating Earnings, a non-GAAP financial measure that is intended to remove these impacts from our results. See “—Key Operating Measures—Non-GAAP Operating Earnings. ”</w:t>
      </w:r>
    </w:p>
    <w:p w:rsidR="00000000" w:rsidRDefault="005C524C">
      <w:pPr>
        <w:divId w:val="225191061"/>
        <w:rPr>
          <w:rFonts w:eastAsia="Times New Roman"/>
        </w:rPr>
      </w:pPr>
      <w:r>
        <w:rPr>
          <w:rFonts w:eastAsia="Times New Roman"/>
          <w:b/>
          <w:bCs/>
          <w:color w:val="000000"/>
          <w:sz w:val="20"/>
          <w:szCs w:val="20"/>
        </w:rPr>
        <w:t xml:space="preserve">Significant Factors Impacting Our Results </w:t>
      </w:r>
    </w:p>
    <w:p w:rsidR="00000000" w:rsidRDefault="005C524C">
      <w:pPr>
        <w:ind w:firstLine="360"/>
        <w:divId w:val="1816683693"/>
        <w:rPr>
          <w:rFonts w:eastAsia="Times New Roman"/>
        </w:rPr>
      </w:pPr>
      <w:r>
        <w:rPr>
          <w:rFonts w:eastAsia="Times New Roman"/>
          <w:color w:val="000000"/>
          <w:sz w:val="20"/>
          <w:szCs w:val="20"/>
        </w:rPr>
        <w:t>The following signific</w:t>
      </w:r>
      <w:r>
        <w:rPr>
          <w:rFonts w:eastAsia="Times New Roman"/>
          <w:color w:val="000000"/>
          <w:sz w:val="20"/>
          <w:szCs w:val="20"/>
        </w:rPr>
        <w:t xml:space="preserve">ant factors have impacted, and may in the future impact, our financial condition, results of operations or cash flows. </w:t>
      </w:r>
    </w:p>
    <w:p w:rsidR="00000000" w:rsidRDefault="005C524C">
      <w:pPr>
        <w:jc w:val="both"/>
        <w:divId w:val="1855074480"/>
        <w:rPr>
          <w:rFonts w:eastAsia="Times New Roman"/>
        </w:rPr>
      </w:pPr>
      <w:r>
        <w:rPr>
          <w:rFonts w:eastAsia="Times New Roman"/>
          <w:b/>
          <w:bCs/>
          <w:i/>
          <w:iCs/>
          <w:color w:val="000000"/>
          <w:sz w:val="20"/>
          <w:szCs w:val="20"/>
        </w:rPr>
        <w:t xml:space="preserve">Impact of Hedging and GMxB Reinsurance on Results </w:t>
      </w:r>
    </w:p>
    <w:p w:rsidR="00000000" w:rsidRDefault="005C524C">
      <w:pPr>
        <w:ind w:firstLine="360"/>
        <w:divId w:val="1980840828"/>
        <w:rPr>
          <w:rFonts w:eastAsia="Times New Roman"/>
        </w:rPr>
      </w:pPr>
      <w:r>
        <w:rPr>
          <w:rFonts w:eastAsia="Times New Roman"/>
          <w:color w:val="000000"/>
          <w:sz w:val="20"/>
          <w:szCs w:val="20"/>
        </w:rPr>
        <w:t>We have offered and continue to offer variable annuity products with GMxB features. T</w:t>
      </w:r>
      <w:r>
        <w:rPr>
          <w:rFonts w:eastAsia="Times New Roman"/>
          <w:color w:val="000000"/>
          <w:sz w:val="20"/>
          <w:szCs w:val="20"/>
        </w:rPr>
        <w:t>he future claims exposure on these features is sensitive to movements in the equity markets and interest rates. Accordingly, we have implemented hedging and reinsurance programs designed to mitigate the economic exposure to us from these features due to eq</w:t>
      </w:r>
      <w:r>
        <w:rPr>
          <w:rFonts w:eastAsia="Times New Roman"/>
          <w:color w:val="000000"/>
          <w:sz w:val="20"/>
          <w:szCs w:val="20"/>
        </w:rPr>
        <w:t xml:space="preserve">uity market and interest rate movements. These programs include: </w:t>
      </w:r>
    </w:p>
    <w:p w:rsidR="00000000" w:rsidRDefault="005C524C">
      <w:pPr>
        <w:ind w:hanging="360"/>
        <w:jc w:val="both"/>
        <w:divId w:val="360210870"/>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reevaluate our economic exposure at least daily and rebalance our hedge positions acc</w:t>
      </w:r>
      <w:r>
        <w:rPr>
          <w:rFonts w:eastAsia="Times New Roman"/>
          <w:color w:val="000000"/>
          <w:sz w:val="20"/>
          <w:szCs w:val="20"/>
        </w:rPr>
        <w:t>ordingly) to mitigate certain risks associated with the GMxB features that are embedded in our liabilities for our variable annuity products. This program utilizes various derivative instruments that are managed in an effort to reduce the economic impact o</w:t>
      </w:r>
      <w:r>
        <w:rPr>
          <w:rFonts w:eastAsia="Times New Roman"/>
          <w:color w:val="000000"/>
          <w:sz w:val="20"/>
          <w:szCs w:val="20"/>
        </w:rPr>
        <w:t>f unfavorable changes in GMxB features’ exposures attributable to movements in the equity markets and interest rates. Although this program is designed to provide a measure of economic protection against the impact of adverse market conditions, it does not</w:t>
      </w:r>
      <w:r>
        <w:rPr>
          <w:rFonts w:eastAsia="Times New Roman"/>
          <w:color w:val="000000"/>
          <w:sz w:val="20"/>
          <w:szCs w:val="20"/>
        </w:rPr>
        <w:t xml:space="preserve"> qualify for hedge accounting treatment. Accordingly, changes in value of the derivatives will be </w:t>
      </w:r>
    </w:p>
    <w:p w:rsidR="00000000" w:rsidRDefault="005C524C">
      <w:pPr>
        <w:jc w:val="center"/>
        <w:divId w:val="698354828"/>
        <w:rPr>
          <w:rFonts w:eastAsia="Times New Roman"/>
        </w:rPr>
      </w:pPr>
      <w:r>
        <w:rPr>
          <w:rFonts w:eastAsia="Times New Roman"/>
          <w:color w:val="000000"/>
          <w:sz w:val="20"/>
          <w:szCs w:val="20"/>
        </w:rPr>
        <w:t>71</w:t>
      </w:r>
    </w:p>
    <w:p w:rsidR="00000000" w:rsidRDefault="005C524C">
      <w:pPr>
        <w:rPr>
          <w:rFonts w:eastAsia="Times New Roman"/>
        </w:rPr>
      </w:pPr>
      <w:r>
        <w:rPr>
          <w:rFonts w:eastAsia="Times New Roman"/>
        </w:rPr>
        <w:pict>
          <v:rect id="_x0000_i1097" style="width:0;height:1.5pt" o:hralign="center" o:hrstd="t" o:hr="t" fillcolor="#a0a0a0" stroked="f"/>
        </w:pict>
      </w:r>
    </w:p>
    <w:p w:rsidR="00000000" w:rsidRDefault="005C524C">
      <w:pPr>
        <w:ind w:firstLine="360"/>
        <w:divId w:val="53647856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both"/>
        <w:divId w:val="2021852565"/>
        <w:rPr>
          <w:rFonts w:eastAsia="Times New Roman"/>
        </w:rPr>
      </w:pPr>
      <w:r>
        <w:rPr>
          <w:rFonts w:eastAsia="Times New Roman"/>
          <w:color w:val="000000"/>
          <w:sz w:val="20"/>
          <w:szCs w:val="20"/>
        </w:rPr>
        <w:t>recognized in the period in which they oc</w:t>
      </w:r>
      <w:r>
        <w:rPr>
          <w:rFonts w:eastAsia="Times New Roman"/>
          <w:color w:val="000000"/>
          <w:sz w:val="20"/>
          <w:szCs w:val="20"/>
        </w:rPr>
        <w:t xml:space="preserve">cur with offsetting changes in reserves partially recognized in the current period, resulting in net income volatility. In addition to our dynamic hedging program, we have a hedging program using static hedge positions (derivative positions intended to be </w:t>
      </w:r>
      <w:r>
        <w:rPr>
          <w:rFonts w:eastAsia="Times New Roman"/>
          <w:color w:val="000000"/>
          <w:sz w:val="20"/>
          <w:szCs w:val="20"/>
        </w:rPr>
        <w:t>HTM with less frequent re-balancing) to protect our statutory capital against stress scenarios. This program in addition to our dynamic hedge program has increased the size of our derivative positions, resulting in an increase in net income volatility. The</w:t>
      </w:r>
      <w:r>
        <w:rPr>
          <w:rFonts w:eastAsia="Times New Roman"/>
          <w:color w:val="000000"/>
          <w:sz w:val="20"/>
          <w:szCs w:val="20"/>
        </w:rPr>
        <w:t xml:space="preserve"> impacts are most pronounced for variable annuity products in our Individual Retirement segment. </w:t>
      </w:r>
    </w:p>
    <w:p w:rsidR="00000000" w:rsidRDefault="005C524C">
      <w:pPr>
        <w:ind w:hanging="450"/>
        <w:jc w:val="both"/>
        <w:divId w:val="478035909"/>
        <w:rPr>
          <w:rFonts w:eastAsia="Times New Roman"/>
        </w:rPr>
      </w:pPr>
      <w:r>
        <w:rPr>
          <w:rFonts w:eastAsia="Times New Roman"/>
          <w:color w:val="000000"/>
          <w:sz w:val="20"/>
          <w:szCs w:val="20"/>
        </w:rPr>
        <w:t>•</w:t>
      </w:r>
      <w:r>
        <w:rPr>
          <w:rFonts w:eastAsia="Times New Roman"/>
          <w:i/>
          <w:iCs/>
          <w:color w:val="000000"/>
          <w:sz w:val="20"/>
          <w:szCs w:val="20"/>
        </w:rPr>
        <w:t>GMxB reinsurance contracts.</w:t>
      </w:r>
      <w:r>
        <w:rPr>
          <w:rFonts w:eastAsia="Times New Roman"/>
          <w:color w:val="000000"/>
          <w:sz w:val="20"/>
          <w:szCs w:val="20"/>
        </w:rPr>
        <w:t xml:space="preserve"> Historically, GMIB reinsurance contracts were used to cede to non-affiliated reinsurers a portion of our exposure to variable ann</w:t>
      </w:r>
      <w:r>
        <w:rPr>
          <w:rFonts w:eastAsia="Times New Roman"/>
          <w:color w:val="000000"/>
          <w:sz w:val="20"/>
          <w:szCs w:val="20"/>
        </w:rPr>
        <w:t>uity products that offer a GMIB feature. We account for the GMIB reinsurance contracts as derivatives and report them at fair value. Gross GMIB reserves are calculated on the basis of assumptions related to projected benefits and related contract charges o</w:t>
      </w:r>
      <w:r>
        <w:rPr>
          <w:rFonts w:eastAsia="Times New Roman"/>
          <w:color w:val="000000"/>
          <w:sz w:val="20"/>
          <w:szCs w:val="20"/>
        </w:rPr>
        <w:t>ver the lives of the contracts. Accordingly, our gross reserves will not immediately reflect the offsetting impact on future claims exposure resulting from the same capital market or interest rate fluctuations that cause gains or losses on the fair value o</w:t>
      </w:r>
      <w:r>
        <w:rPr>
          <w:rFonts w:eastAsia="Times New Roman"/>
          <w:color w:val="000000"/>
          <w:sz w:val="20"/>
          <w:szCs w:val="20"/>
        </w:rPr>
        <w:t xml:space="preserve">f the GMIB reinsurance contracts. Because changes in the fair value of the GMIB reinsurance contracts are recorded in the period in which they occur and a majority of the changes in gross reserves for GMIB are recognized over time, net income will be more </w:t>
      </w:r>
      <w:r>
        <w:rPr>
          <w:rFonts w:eastAsia="Times New Roman"/>
          <w:color w:val="000000"/>
          <w:sz w:val="20"/>
          <w:szCs w:val="20"/>
        </w:rPr>
        <w:t>volatile. In addition, on June 1, 2021, we ceded legacy variable annuity policies sold by Equitable Financial between 2006-2008 (the “Block”), comprised of non-New York “Accumulator” policies containing fixed rate GMIB and/or GMDB guarantees. As this contr</w:t>
      </w:r>
      <w:r>
        <w:rPr>
          <w:rFonts w:eastAsia="Times New Roman"/>
          <w:color w:val="000000"/>
          <w:sz w:val="20"/>
          <w:szCs w:val="20"/>
        </w:rPr>
        <w:t xml:space="preserve">act provides full risk transfer and thus has the same risk attributes as the underlying direct contracts, the benefits of this treaty are accounted for in the same manner as the underlying gross reserves. </w:t>
      </w:r>
    </w:p>
    <w:p w:rsidR="00000000" w:rsidRDefault="005C524C">
      <w:pPr>
        <w:jc w:val="both"/>
        <w:divId w:val="2062515321"/>
        <w:rPr>
          <w:rFonts w:eastAsia="Times New Roman"/>
        </w:rPr>
      </w:pPr>
      <w:r>
        <w:rPr>
          <w:rFonts w:eastAsia="Times New Roman"/>
          <w:b/>
          <w:bCs/>
          <w:i/>
          <w:iCs/>
          <w:color w:val="000000"/>
          <w:sz w:val="20"/>
          <w:szCs w:val="20"/>
        </w:rPr>
        <w:t xml:space="preserve">Effect of Assumption Updates on Operating Results </w:t>
      </w:r>
    </w:p>
    <w:p w:rsidR="00000000" w:rsidRDefault="005C524C">
      <w:pPr>
        <w:ind w:firstLine="360"/>
        <w:divId w:val="1825900421"/>
        <w:rPr>
          <w:rFonts w:eastAsia="Times New Roman"/>
        </w:rPr>
      </w:pPr>
      <w:r>
        <w:rPr>
          <w:rFonts w:eastAsia="Times New Roman"/>
          <w:color w:val="000000"/>
          <w:sz w:val="20"/>
          <w:szCs w:val="20"/>
        </w:rPr>
        <w:t>During the third quarter of each year, we conduct our annual review of the assumptions underlying the valuation of DAC, deferred sales inducement assets, unearned revenue liabilities, liabilities for future policyholder benefits and embedded derivatives f</w:t>
      </w:r>
      <w:r>
        <w:rPr>
          <w:rFonts w:eastAsia="Times New Roman"/>
          <w:color w:val="000000"/>
          <w:sz w:val="20"/>
          <w:szCs w:val="20"/>
        </w:rPr>
        <w:t>or our Individual Retirement, Group Retirement, and Protection Solution segments (assumption reviews are not relevant for the Investment Management and Research segment). Assumptions are based on a combination of Company experience, industry experience, ma</w:t>
      </w:r>
      <w:r>
        <w:rPr>
          <w:rFonts w:eastAsia="Times New Roman"/>
          <w:color w:val="000000"/>
          <w:sz w:val="20"/>
          <w:szCs w:val="20"/>
        </w:rPr>
        <w:t xml:space="preserve">nagement actions and expert judgment and reflect our best estimate as of the date of the applicable financial statements. </w:t>
      </w:r>
    </w:p>
    <w:p w:rsidR="00000000" w:rsidRDefault="005C524C">
      <w:pPr>
        <w:ind w:firstLine="360"/>
        <w:divId w:val="2104106705"/>
        <w:rPr>
          <w:rFonts w:eastAsia="Times New Roman"/>
        </w:rPr>
      </w:pPr>
      <w:r>
        <w:rPr>
          <w:rFonts w:eastAsia="Times New Roman"/>
          <w:color w:val="000000"/>
          <w:sz w:val="20"/>
          <w:szCs w:val="20"/>
        </w:rPr>
        <w:t>Most of the variable annuity products, variable universal life insurance and universal life insurance products we offer maintain poli</w:t>
      </w:r>
      <w:r>
        <w:rPr>
          <w:rFonts w:eastAsia="Times New Roman"/>
          <w:color w:val="000000"/>
          <w:sz w:val="20"/>
          <w:szCs w:val="20"/>
        </w:rPr>
        <w:t>cyholder deposits that are reported as liabilities and classified within either Separate Accounts liabilities or policyholder account balances. Our products and riders also impact liabilities for future policyholder benefits and unearned revenues and asset</w:t>
      </w:r>
      <w:r>
        <w:rPr>
          <w:rFonts w:eastAsia="Times New Roman"/>
          <w:color w:val="000000"/>
          <w:sz w:val="20"/>
          <w:szCs w:val="20"/>
        </w:rPr>
        <w:t>s for DAC and DSI. The valuation of these assets and liabilities (other than deposits) is based on differing accounting methods depending on the product, each of which requires numerous assumptions and considerable judgment. The accounting guidance applied</w:t>
      </w:r>
      <w:r>
        <w:rPr>
          <w:rFonts w:eastAsia="Times New Roman"/>
          <w:color w:val="000000"/>
          <w:sz w:val="20"/>
          <w:szCs w:val="20"/>
        </w:rPr>
        <w:t xml:space="preserve"> in the valuation of these assets and liabilities includes, but is not limited to, the following: (i) traditional life insurance products for which assumptions are locked in at inception; (ii) universal life insurance and variable life insurance secondary </w:t>
      </w:r>
      <w:r>
        <w:rPr>
          <w:rFonts w:eastAsia="Times New Roman"/>
          <w:color w:val="000000"/>
          <w:sz w:val="20"/>
          <w:szCs w:val="20"/>
        </w:rPr>
        <w:t xml:space="preserve">guarantees for which benefit liabilities are determined by estimating the expected value of death benefits payable when the account balance is projected to be zero and recognizing those benefits ratably over the accumulation period based on total expected </w:t>
      </w:r>
      <w:r>
        <w:rPr>
          <w:rFonts w:eastAsia="Times New Roman"/>
          <w:color w:val="000000"/>
          <w:sz w:val="20"/>
          <w:szCs w:val="20"/>
        </w:rPr>
        <w:t>assessments; (iii) certain product guarantees for which benefit liabilities are accrued over the life of the contract in proportion to actual and future expected policy assessments; and (iv) certain product guarantees reported as embedded derivatives at fa</w:t>
      </w:r>
      <w:r>
        <w:rPr>
          <w:rFonts w:eastAsia="Times New Roman"/>
          <w:color w:val="000000"/>
          <w:sz w:val="20"/>
          <w:szCs w:val="20"/>
        </w:rPr>
        <w:t xml:space="preserve">ir value. </w:t>
      </w:r>
    </w:p>
    <w:p w:rsidR="00000000" w:rsidRDefault="005C524C">
      <w:pPr>
        <w:ind w:firstLine="360"/>
        <w:divId w:val="1411542316"/>
        <w:rPr>
          <w:rFonts w:eastAsia="Times New Roman"/>
        </w:rPr>
      </w:pPr>
      <w:r>
        <w:rPr>
          <w:rFonts w:eastAsia="Times New Roman"/>
          <w:color w:val="000000"/>
          <w:sz w:val="20"/>
          <w:szCs w:val="20"/>
        </w:rPr>
        <w:t>For further details of our accounting policies and related judgments pertaining to assumption updates, see Note 2 of the Notes to the Consolidated Financial Statements and “—Summary of Critical Accounting Estimates—Liability for Future Policy Be</w:t>
      </w:r>
      <w:r>
        <w:rPr>
          <w:rFonts w:eastAsia="Times New Roman"/>
          <w:color w:val="000000"/>
          <w:sz w:val="20"/>
          <w:szCs w:val="20"/>
        </w:rPr>
        <w:t>nefits” included in the 2021 Form 10-K.</w:t>
      </w:r>
    </w:p>
    <w:p w:rsidR="00000000" w:rsidRDefault="005C524C">
      <w:pPr>
        <w:divId w:val="1789886019"/>
        <w:rPr>
          <w:rFonts w:eastAsia="Times New Roman"/>
        </w:rPr>
      </w:pPr>
      <w:r>
        <w:rPr>
          <w:rFonts w:eastAsia="Times New Roman"/>
          <w:b/>
          <w:bCs/>
          <w:color w:val="000000"/>
          <w:sz w:val="20"/>
          <w:szCs w:val="20"/>
        </w:rPr>
        <w:t xml:space="preserve">Macroeconomic and Industry Trends </w:t>
      </w:r>
    </w:p>
    <w:p w:rsidR="00000000" w:rsidRDefault="005C524C">
      <w:pPr>
        <w:ind w:firstLine="360"/>
        <w:divId w:val="246623812"/>
        <w:rPr>
          <w:rFonts w:eastAsia="Times New Roman"/>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w:t>
      </w:r>
      <w:r>
        <w:rPr>
          <w:rFonts w:eastAsia="Times New Roman"/>
          <w:color w:val="000000"/>
          <w:sz w:val="20"/>
          <w:szCs w:val="20"/>
        </w:rPr>
        <w:t xml:space="preserve">est rate environment. </w:t>
      </w:r>
    </w:p>
    <w:p w:rsidR="00000000" w:rsidRDefault="005C524C">
      <w:pPr>
        <w:jc w:val="both"/>
        <w:divId w:val="2059819347"/>
        <w:rPr>
          <w:rFonts w:eastAsia="Times New Roman"/>
        </w:rPr>
      </w:pPr>
      <w:r>
        <w:rPr>
          <w:rFonts w:eastAsia="Times New Roman"/>
          <w:b/>
          <w:bCs/>
          <w:i/>
          <w:iCs/>
          <w:color w:val="000000"/>
          <w:sz w:val="20"/>
          <w:szCs w:val="20"/>
        </w:rPr>
        <w:t xml:space="preserve">Financial and Economic Environment </w:t>
      </w:r>
    </w:p>
    <w:p w:rsidR="00000000" w:rsidRDefault="005C524C">
      <w:pPr>
        <w:ind w:firstLine="360"/>
        <w:divId w:val="1740513975"/>
        <w:rPr>
          <w:rFonts w:eastAsia="Times New Roman"/>
        </w:rPr>
      </w:pPr>
      <w:r>
        <w:rPr>
          <w:rFonts w:eastAsia="Times New Roman"/>
          <w:color w:val="000000"/>
          <w:sz w:val="20"/>
          <w:szCs w:val="20"/>
        </w:rPr>
        <w:t>A wide variety of factors continue to impact financial and economic conditions. These factors include, among others, volatility in the capital markets, low interest rates, inflationary pressures, e</w:t>
      </w:r>
      <w:r>
        <w:rPr>
          <w:rFonts w:eastAsia="Times New Roman"/>
          <w:color w:val="000000"/>
          <w:sz w:val="20"/>
          <w:szCs w:val="20"/>
        </w:rPr>
        <w:t>conomic growth, fuel and energy costs supply chain disruptions, changes in fiscal or monetary policy and geopolitical tensions. The invasion of Ukraine by Russia and the sanctions and other measures imposed in response to this conflict significantly increa</w:t>
      </w:r>
      <w:r>
        <w:rPr>
          <w:rFonts w:eastAsia="Times New Roman"/>
          <w:color w:val="000000"/>
          <w:sz w:val="20"/>
          <w:szCs w:val="20"/>
        </w:rPr>
        <w:t>sed the level of volatility in the financial markets and have increased the level of economic and political uncertainty.</w:t>
      </w:r>
    </w:p>
    <w:p w:rsidR="00000000" w:rsidRDefault="005C524C">
      <w:pPr>
        <w:jc w:val="center"/>
        <w:divId w:val="1371413652"/>
        <w:rPr>
          <w:rFonts w:eastAsia="Times New Roman"/>
        </w:rPr>
      </w:pPr>
      <w:r>
        <w:rPr>
          <w:rFonts w:eastAsia="Times New Roman"/>
          <w:color w:val="000000"/>
          <w:sz w:val="20"/>
          <w:szCs w:val="20"/>
        </w:rPr>
        <w:t>72</w:t>
      </w:r>
    </w:p>
    <w:p w:rsidR="00000000" w:rsidRDefault="005C524C">
      <w:pPr>
        <w:rPr>
          <w:rFonts w:eastAsia="Times New Roman"/>
        </w:rPr>
      </w:pPr>
      <w:r>
        <w:rPr>
          <w:rFonts w:eastAsia="Times New Roman"/>
        </w:rPr>
        <w:pict>
          <v:rect id="_x0000_i1098" style="width:0;height:1.5pt" o:hralign="center" o:hrstd="t" o:hr="t" fillcolor="#a0a0a0" stroked="f"/>
        </w:pict>
      </w:r>
    </w:p>
    <w:p w:rsidR="00000000" w:rsidRDefault="005C524C">
      <w:pPr>
        <w:ind w:firstLine="360"/>
        <w:divId w:val="202034814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274756915"/>
        <w:rPr>
          <w:rFonts w:eastAsia="Times New Roman"/>
        </w:rPr>
      </w:pPr>
      <w:r>
        <w:rPr>
          <w:rFonts w:eastAsia="Times New Roman"/>
          <w:color w:val="000000"/>
          <w:sz w:val="20"/>
          <w:szCs w:val="20"/>
        </w:rPr>
        <w:t>Stressed conditions, volatility and disruptions in the capital markets, particular markets, or financial asset classes can have an adverse effect on us, in part because we have a large investment portfolio. In addition, our insurance liabilities and deriva</w:t>
      </w:r>
      <w:r>
        <w:rPr>
          <w:rFonts w:eastAsia="Times New Roman"/>
          <w:color w:val="000000"/>
          <w:sz w:val="20"/>
          <w:szCs w:val="20"/>
        </w:rPr>
        <w:t>tives are sensitive to changing market factors, including equity market performance and interest rates. During the second quarter 2022, equity markets continued their decline and interest rates continued to rise, and are anticipated to continue to rise thr</w:t>
      </w:r>
      <w:r>
        <w:rPr>
          <w:rFonts w:eastAsia="Times New Roman"/>
          <w:color w:val="000000"/>
          <w:sz w:val="20"/>
          <w:szCs w:val="20"/>
        </w:rPr>
        <w:t xml:space="preserve">oughout the year based on statements of members of the Board of Governors of the Federal Reserve System. An increase in market volatility could continue to affect our business, including through effects on the yields we earn on invested assets, changes in </w:t>
      </w:r>
      <w:r>
        <w:rPr>
          <w:rFonts w:eastAsia="Times New Roman"/>
          <w:color w:val="000000"/>
          <w:sz w:val="20"/>
          <w:szCs w:val="20"/>
        </w:rPr>
        <w:t xml:space="preserve">required reserves and capital and fluctuations in the value of our AUM, AV or AUA from which we derive our fee income. These effects could be exacerbated by uncertainty about future fiscal policy, changes in tax policy, the scope of potential deregulation </w:t>
      </w:r>
      <w:r>
        <w:rPr>
          <w:rFonts w:eastAsia="Times New Roman"/>
          <w:color w:val="000000"/>
          <w:sz w:val="20"/>
          <w:szCs w:val="20"/>
        </w:rPr>
        <w:t xml:space="preserve">and levels of global trade. </w:t>
      </w:r>
    </w:p>
    <w:p w:rsidR="00000000" w:rsidRDefault="005C524C">
      <w:pPr>
        <w:ind w:firstLine="360"/>
        <w:divId w:val="1542210863"/>
        <w:rPr>
          <w:rFonts w:eastAsia="Times New Roman"/>
        </w:rPr>
      </w:pPr>
      <w:r>
        <w:rPr>
          <w:rFonts w:eastAsia="Times New Roman"/>
          <w:color w:val="000000"/>
          <w:sz w:val="20"/>
          <w:szCs w:val="20"/>
        </w:rPr>
        <w:t>The potential for increased volatility, coupled with prevailing interest rates remaining below historical averages despite inflationary pressures, could pressure sales and reduce demand for our products as consumers consider pu</w:t>
      </w:r>
      <w:r>
        <w:rPr>
          <w:rFonts w:eastAsia="Times New Roman"/>
          <w:color w:val="000000"/>
          <w:sz w:val="20"/>
          <w:szCs w:val="20"/>
        </w:rPr>
        <w:t>rchasing alternative products to meet their objectives. In addition, this environment could make it difficult to consistently develop products that are attractive to customers. Financial performance can be adversely affected by market volatility and equity</w:t>
      </w:r>
      <w:r>
        <w:rPr>
          <w:rFonts w:eastAsia="Times New Roman"/>
          <w:color w:val="000000"/>
          <w:sz w:val="20"/>
          <w:szCs w:val="20"/>
        </w:rPr>
        <w:t xml:space="preserve"> market declines as fees driven by AV and AUM fluctuate, hedging costs increase and revenues decline due to reduced sales and increased outflows. </w:t>
      </w:r>
    </w:p>
    <w:p w:rsidR="00000000" w:rsidRDefault="005C524C">
      <w:pPr>
        <w:ind w:firstLine="360"/>
        <w:divId w:val="1171675857"/>
        <w:rPr>
          <w:rFonts w:eastAsia="Times New Roman"/>
        </w:rPr>
      </w:pPr>
      <w:r>
        <w:rPr>
          <w:rFonts w:eastAsia="Times New Roman"/>
          <w:color w:val="000000"/>
          <w:sz w:val="20"/>
          <w:szCs w:val="20"/>
        </w:rPr>
        <w:t>We monitor the behavior of our customers and other factors, including mortality rates, morbidity rates, annui</w:t>
      </w:r>
      <w:r>
        <w:rPr>
          <w:rFonts w:eastAsia="Times New Roman"/>
          <w:color w:val="000000"/>
          <w:sz w:val="20"/>
          <w:szCs w:val="20"/>
        </w:rPr>
        <w:t xml:space="preserve">tization rates and lapse and surrender rates, which change in response to changes in capital market conditions, to ensure that our products and solutions remain attractive and profitable. For additional information on our sensitivity to interest rates and </w:t>
      </w:r>
      <w:r>
        <w:rPr>
          <w:rFonts w:eastAsia="Times New Roman"/>
          <w:color w:val="000000"/>
          <w:sz w:val="20"/>
          <w:szCs w:val="20"/>
        </w:rPr>
        <w:t xml:space="preserve">capital market prices, see “Quantitative and Qualitative Disclosures About Market Risk.” </w:t>
      </w:r>
    </w:p>
    <w:p w:rsidR="00000000" w:rsidRDefault="005C524C">
      <w:pPr>
        <w:jc w:val="both"/>
        <w:divId w:val="412701694"/>
        <w:rPr>
          <w:rFonts w:eastAsia="Times New Roman"/>
        </w:rPr>
      </w:pPr>
      <w:r>
        <w:rPr>
          <w:rFonts w:eastAsia="Times New Roman"/>
          <w:b/>
          <w:bCs/>
          <w:i/>
          <w:iCs/>
          <w:color w:val="000000"/>
          <w:sz w:val="20"/>
          <w:szCs w:val="20"/>
        </w:rPr>
        <w:t xml:space="preserve">Interest Rate Environment </w:t>
      </w:r>
    </w:p>
    <w:p w:rsidR="00000000" w:rsidRDefault="005C524C">
      <w:pPr>
        <w:ind w:firstLine="360"/>
        <w:divId w:val="1167012634"/>
        <w:rPr>
          <w:rFonts w:eastAsia="Times New Roman"/>
        </w:rPr>
      </w:pPr>
      <w:r>
        <w:rPr>
          <w:rFonts w:eastAsia="Times New Roman"/>
          <w:color w:val="000000"/>
          <w:sz w:val="20"/>
          <w:szCs w:val="20"/>
        </w:rPr>
        <w:t xml:space="preserve">We believe the interest rate environment will continue to impact our business and financial performance in the future for several reasons, </w:t>
      </w:r>
      <w:r>
        <w:rPr>
          <w:rFonts w:eastAsia="Times New Roman"/>
          <w:color w:val="000000"/>
          <w:sz w:val="20"/>
          <w:szCs w:val="20"/>
        </w:rPr>
        <w:t xml:space="preserve">including the following: </w:t>
      </w:r>
    </w:p>
    <w:p w:rsidR="00000000" w:rsidRDefault="005C524C">
      <w:pPr>
        <w:ind w:hanging="360"/>
        <w:jc w:val="both"/>
        <w:divId w:val="229536833"/>
        <w:rPr>
          <w:rFonts w:eastAsia="Times New Roman"/>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w:t>
      </w:r>
      <w:r>
        <w:rPr>
          <w:rFonts w:eastAsia="Times New Roman"/>
          <w:color w:val="000000"/>
          <w:sz w:val="20"/>
          <w:szCs w:val="20"/>
        </w:rPr>
        <w:t>ulting investment margin compression negatively impacting earnings. In addition, we expect more policyholders to hold policies with comparatively high guaranteed rates longer (lower lapse rates) in a low interest rate environment. Conversely, a rise in ave</w:t>
      </w:r>
      <w:r>
        <w:rPr>
          <w:rFonts w:eastAsia="Times New Roman"/>
          <w:color w:val="000000"/>
          <w:sz w:val="20"/>
          <w:szCs w:val="20"/>
        </w:rPr>
        <w:t xml:space="preserve">rage yield on our investment portfolio should positively impact earnings. Similarly, we expect policyholders would be less likely to hold policies with existing guaranteed rates (higher lapse rates) as interest rates rise. </w:t>
      </w:r>
    </w:p>
    <w:p w:rsidR="00000000" w:rsidRDefault="005C524C">
      <w:pPr>
        <w:ind w:hanging="360"/>
        <w:divId w:val="364064452"/>
        <w:rPr>
          <w:rFonts w:eastAsia="Times New Roman"/>
        </w:rPr>
      </w:pPr>
      <w:r>
        <w:rPr>
          <w:rFonts w:eastAsia="Times New Roman"/>
          <w:color w:val="000000"/>
          <w:sz w:val="20"/>
          <w:szCs w:val="20"/>
        </w:rPr>
        <w:t>•A prolonged low interest rate e</w:t>
      </w:r>
      <w:r>
        <w:rPr>
          <w:rFonts w:eastAsia="Times New Roman"/>
          <w:color w:val="000000"/>
          <w:sz w:val="20"/>
          <w:szCs w:val="20"/>
        </w:rPr>
        <w:t xml:space="preserve">nvironment, despite recent interest rate increases, also may subject us to increased hedging costs or an increase in the amount of statutory reserves that our insurance subsidiaries are required to hold for GMxB features, lowering their statutory surplus, </w:t>
      </w:r>
      <w:r>
        <w:rPr>
          <w:rFonts w:eastAsia="Times New Roman"/>
          <w:color w:val="000000"/>
          <w:sz w:val="20"/>
          <w:szCs w:val="20"/>
        </w:rPr>
        <w:t>which would adversely affect their ability to pay dividends to us. In addition, it may also increase the perceived value of GMxB features to our policyholders, which in turn may lead to a higher rate of annuitization and higher persistency of those product</w:t>
      </w:r>
      <w:r>
        <w:rPr>
          <w:rFonts w:eastAsia="Times New Roman"/>
          <w:color w:val="000000"/>
          <w:sz w:val="20"/>
          <w:szCs w:val="20"/>
        </w:rPr>
        <w:t xml:space="preserve">s over time. Finally, low interest rates may continue to cause an acceleration of DAC amortization or reserve increase due to loss recognition for interest sensitive products, primarily for our Protection Solutions segment. </w:t>
      </w:r>
    </w:p>
    <w:p w:rsidR="00000000" w:rsidRDefault="005C524C">
      <w:pPr>
        <w:ind w:firstLine="360"/>
        <w:divId w:val="750856546"/>
        <w:rPr>
          <w:rFonts w:eastAsia="Times New Roman"/>
        </w:rPr>
      </w:pPr>
      <w:r>
        <w:rPr>
          <w:rFonts w:eastAsia="Times New Roman"/>
          <w:color w:val="000000"/>
          <w:sz w:val="20"/>
          <w:szCs w:val="20"/>
        </w:rPr>
        <w:t>For a discussion on derivatives</w:t>
      </w:r>
      <w:r>
        <w:rPr>
          <w:rFonts w:eastAsia="Times New Roman"/>
          <w:color w:val="000000"/>
          <w:sz w:val="20"/>
          <w:szCs w:val="20"/>
        </w:rPr>
        <w:t xml:space="preserve"> we used to hedge interest rates, see Note 4 of the Notes to the Consolidated Financial Statements in this Form 10-Q.</w:t>
      </w:r>
    </w:p>
    <w:p w:rsidR="00000000" w:rsidRDefault="005C524C">
      <w:pPr>
        <w:jc w:val="both"/>
        <w:divId w:val="484277043"/>
        <w:rPr>
          <w:rFonts w:eastAsia="Times New Roman"/>
        </w:rPr>
      </w:pPr>
      <w:r>
        <w:rPr>
          <w:rFonts w:eastAsia="Times New Roman"/>
          <w:b/>
          <w:bCs/>
          <w:i/>
          <w:iCs/>
          <w:color w:val="000000"/>
          <w:sz w:val="20"/>
          <w:szCs w:val="20"/>
        </w:rPr>
        <w:t xml:space="preserve">Regulatory Developments </w:t>
      </w:r>
    </w:p>
    <w:p w:rsidR="00000000" w:rsidRDefault="005C524C">
      <w:pPr>
        <w:ind w:firstLine="360"/>
        <w:divId w:val="56319984"/>
        <w:rPr>
          <w:rFonts w:eastAsia="Times New Roman"/>
        </w:rPr>
      </w:pPr>
      <w:r>
        <w:rPr>
          <w:rFonts w:eastAsia="Times New Roman"/>
          <w:color w:val="000000"/>
          <w:sz w:val="20"/>
          <w:szCs w:val="20"/>
        </w:rPr>
        <w:t xml:space="preserve">Our life insurance subsidiaries are regulated primarily at the state level, with some policies and products also </w:t>
      </w:r>
      <w:r>
        <w:rPr>
          <w:rFonts w:eastAsia="Times New Roman"/>
          <w:color w:val="000000"/>
          <w:sz w:val="20"/>
          <w:szCs w:val="20"/>
        </w:rPr>
        <w:t>subject to federal regulation. In addition, Holdings and its insurance subsidiaries are subject to regulation under the insurance holding company laws of various U.S. jurisdictions. Furthermore, on an ongoing basis, regulators refine capital requirements a</w:t>
      </w:r>
      <w:r>
        <w:rPr>
          <w:rFonts w:eastAsia="Times New Roman"/>
          <w:color w:val="000000"/>
          <w:sz w:val="20"/>
          <w:szCs w:val="20"/>
        </w:rPr>
        <w:t>nd introduce new reserving standards. Regulations recently adopted or currently under review can potentially impact our statutory reserve, capital requirements and profitability of the industry and result in increased regulation and oversight for the indus</w:t>
      </w:r>
      <w:r>
        <w:rPr>
          <w:rFonts w:eastAsia="Times New Roman"/>
          <w:color w:val="000000"/>
          <w:sz w:val="20"/>
          <w:szCs w:val="20"/>
        </w:rPr>
        <w:t>try. For additional information on regulatory developments and the risks we face, see “Business—Regulation” and “Risk Factors—Legal and Regulatory Risks.” in the 2021 Form 10-K.</w:t>
      </w:r>
    </w:p>
    <w:p w:rsidR="00000000" w:rsidRDefault="005C524C">
      <w:pPr>
        <w:ind w:firstLine="360"/>
        <w:divId w:val="473564453"/>
        <w:rPr>
          <w:rFonts w:eastAsia="Times New Roman"/>
        </w:rPr>
      </w:pPr>
      <w:r>
        <w:rPr>
          <w:rFonts w:eastAsia="Times New Roman"/>
          <w:i/>
          <w:iCs/>
          <w:color w:val="000000"/>
          <w:sz w:val="20"/>
          <w:szCs w:val="20"/>
        </w:rPr>
        <w:t>Climate Risks.</w:t>
      </w:r>
      <w:r>
        <w:rPr>
          <w:rFonts w:eastAsia="Times New Roman"/>
          <w:color w:val="000000"/>
          <w:sz w:val="20"/>
          <w:szCs w:val="20"/>
        </w:rPr>
        <w:t xml:space="preserve"> In March 2022, the SEC released proposed rule changes on climat</w:t>
      </w:r>
      <w:r>
        <w:rPr>
          <w:rFonts w:eastAsia="Times New Roman"/>
          <w:color w:val="000000"/>
          <w:sz w:val="20"/>
          <w:szCs w:val="20"/>
        </w:rPr>
        <w:t>e-related disclosure. The proposed rule changes would require companies to include certain climate-related disclosures including information about climate-related risks that have had or reasonably likely to have a material impact on their business, results</w:t>
      </w:r>
      <w:r>
        <w:rPr>
          <w:rFonts w:eastAsia="Times New Roman"/>
          <w:color w:val="000000"/>
          <w:sz w:val="20"/>
          <w:szCs w:val="20"/>
        </w:rPr>
        <w:t xml:space="preserve"> of operations, or financial condition, and certain climate-related financial statement metrics in a note to the audited financial statements. Among other things, the </w:t>
      </w:r>
    </w:p>
    <w:p w:rsidR="00000000" w:rsidRDefault="005C524C">
      <w:pPr>
        <w:jc w:val="center"/>
        <w:divId w:val="1584029176"/>
        <w:rPr>
          <w:rFonts w:eastAsia="Times New Roman"/>
        </w:rPr>
      </w:pPr>
      <w:r>
        <w:rPr>
          <w:rFonts w:eastAsia="Times New Roman"/>
          <w:color w:val="000000"/>
          <w:sz w:val="20"/>
          <w:szCs w:val="20"/>
        </w:rPr>
        <w:t>73</w:t>
      </w:r>
    </w:p>
    <w:p w:rsidR="00000000" w:rsidRDefault="005C524C">
      <w:pPr>
        <w:rPr>
          <w:rFonts w:eastAsia="Times New Roman"/>
        </w:rPr>
      </w:pPr>
      <w:r>
        <w:rPr>
          <w:rFonts w:eastAsia="Times New Roman"/>
        </w:rPr>
        <w:pict>
          <v:rect id="_x0000_i1099" style="width:0;height:1.5pt" o:hralign="center" o:hrstd="t" o:hr="t" fillcolor="#a0a0a0" stroked="f"/>
        </w:pict>
      </w:r>
    </w:p>
    <w:p w:rsidR="00000000" w:rsidRDefault="005C524C">
      <w:pPr>
        <w:ind w:firstLine="360"/>
        <w:divId w:val="56291410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466776395"/>
        <w:rPr>
          <w:rFonts w:eastAsia="Times New Roman"/>
        </w:rPr>
      </w:pPr>
      <w:r>
        <w:rPr>
          <w:rFonts w:eastAsia="Times New Roman"/>
          <w:color w:val="000000"/>
          <w:sz w:val="20"/>
          <w:szCs w:val="20"/>
        </w:rPr>
        <w:t>required information about climate-related risks also would include disclosure of a company’s greenhouse gas emissions, information about climate-related targets and goals, and if</w:t>
      </w:r>
      <w:r>
        <w:rPr>
          <w:rFonts w:eastAsia="Times New Roman"/>
          <w:color w:val="000000"/>
          <w:sz w:val="20"/>
          <w:szCs w:val="20"/>
        </w:rPr>
        <w:t xml:space="preserve"> a transition plan, has been adopted as part of climate-related risk management strategy, and requires extensive attestation requirements. If adopted as proposed, the rule changes are expected to result in additional compliance and reporting costs.</w:t>
      </w:r>
    </w:p>
    <w:p w:rsidR="00000000" w:rsidRDefault="005C524C">
      <w:pPr>
        <w:ind w:firstLine="360"/>
        <w:divId w:val="1306161957"/>
        <w:rPr>
          <w:rFonts w:eastAsia="Times New Roman"/>
        </w:rPr>
      </w:pPr>
      <w:r>
        <w:rPr>
          <w:rFonts w:eastAsia="Times New Roman"/>
          <w:i/>
          <w:iCs/>
          <w:color w:val="000000"/>
          <w:sz w:val="20"/>
          <w:szCs w:val="20"/>
        </w:rPr>
        <w:t>Privacy</w:t>
      </w:r>
      <w:r>
        <w:rPr>
          <w:rFonts w:eastAsia="Times New Roman"/>
          <w:i/>
          <w:iCs/>
          <w:color w:val="000000"/>
          <w:sz w:val="20"/>
          <w:szCs w:val="20"/>
        </w:rPr>
        <w:t xml:space="preserve"> and Security of Customer Information and Cybersecurity Regulation</w:t>
      </w:r>
      <w:r>
        <w:rPr>
          <w:rFonts w:eastAsia="Times New Roman"/>
          <w:color w:val="000000"/>
          <w:sz w:val="20"/>
          <w:szCs w:val="20"/>
        </w:rPr>
        <w:t xml:space="preserve">. In March 2022, the SEC released proposed rules enhancing cybersecurity risk and management disclosure requirements for companies. If enacted, the proposed rules would, among other things, </w:t>
      </w:r>
      <w:r>
        <w:rPr>
          <w:rFonts w:eastAsia="Times New Roman"/>
          <w:color w:val="000000"/>
          <w:sz w:val="20"/>
          <w:szCs w:val="20"/>
        </w:rPr>
        <w:t>require disclosure of any material cybersecurity incident on its Form 8-K within four business days of determining that the incident it has experienced is material. They would also require periodic disclosures of, among other things, (i) details on the com</w:t>
      </w:r>
      <w:r>
        <w:rPr>
          <w:rFonts w:eastAsia="Times New Roman"/>
          <w:color w:val="000000"/>
          <w:sz w:val="20"/>
          <w:szCs w:val="20"/>
        </w:rPr>
        <w:t>pany’s cybersecurity policies and procedures, (ii) cybersecurity governance, oversight policies and risk management policies, including the board of directors’ oversight of cybersecurity risks, (iii) the relevant expertise of members of the board of direct</w:t>
      </w:r>
      <w:r>
        <w:rPr>
          <w:rFonts w:eastAsia="Times New Roman"/>
          <w:color w:val="000000"/>
          <w:sz w:val="20"/>
          <w:szCs w:val="20"/>
        </w:rPr>
        <w:t>ors with respect to cybersecurity issues and (iv) details of any cybersecurity incident that was previously disclosed on Form 8-K, as well as any undisclosed incidents that were non-material, but have become material in the aggregate.</w:t>
      </w:r>
    </w:p>
    <w:p w:rsidR="00000000" w:rsidRDefault="005C524C">
      <w:pPr>
        <w:divId w:val="128864434"/>
        <w:rPr>
          <w:rFonts w:eastAsia="Times New Roman"/>
        </w:rPr>
      </w:pPr>
      <w:r>
        <w:rPr>
          <w:rFonts w:eastAsia="Times New Roman"/>
          <w:b/>
          <w:bCs/>
          <w:color w:val="000000"/>
          <w:sz w:val="20"/>
          <w:szCs w:val="20"/>
        </w:rPr>
        <w:t>Productivity Strategi</w:t>
      </w:r>
      <w:r>
        <w:rPr>
          <w:rFonts w:eastAsia="Times New Roman"/>
          <w:b/>
          <w:bCs/>
          <w:color w:val="000000"/>
          <w:sz w:val="20"/>
          <w:szCs w:val="20"/>
        </w:rPr>
        <w:t xml:space="preserve">es </w:t>
      </w:r>
    </w:p>
    <w:p w:rsidR="00000000" w:rsidRDefault="005C524C">
      <w:pPr>
        <w:divId w:val="1382095041"/>
        <w:rPr>
          <w:rFonts w:eastAsia="Times New Roman"/>
        </w:rPr>
      </w:pPr>
      <w:r>
        <w:rPr>
          <w:rFonts w:eastAsia="Times New Roman"/>
          <w:i/>
          <w:iCs/>
          <w:color w:val="000000"/>
          <w:sz w:val="20"/>
          <w:szCs w:val="20"/>
          <w:u w:val="single"/>
        </w:rPr>
        <w:t xml:space="preserve">Retirement and Protection Businesses </w:t>
      </w:r>
    </w:p>
    <w:p w:rsidR="00000000" w:rsidRDefault="005C524C">
      <w:pPr>
        <w:ind w:firstLine="360"/>
        <w:divId w:val="761753995"/>
        <w:rPr>
          <w:rFonts w:eastAsia="Times New Roman"/>
        </w:rPr>
      </w:pPr>
      <w:r>
        <w:rPr>
          <w:rFonts w:eastAsia="Times New Roman"/>
          <w:color w:val="000000"/>
          <w:sz w:val="20"/>
          <w:szCs w:val="20"/>
        </w:rPr>
        <w:t>As part of our continuing efforts to drive productivity improvements, in January 2021, we began a new program expected to achieve $80 million of targeted run-rate expense savings by 2023, of which $39 million has b</w:t>
      </w:r>
      <w:r>
        <w:rPr>
          <w:rFonts w:eastAsia="Times New Roman"/>
          <w:color w:val="000000"/>
          <w:sz w:val="20"/>
          <w:szCs w:val="20"/>
        </w:rPr>
        <w:t>een achieved as of June 30, 2022. We expect to achieve these savings by shifting our workforce into an agile working model, leveraging technology-enabled capabilities, optimizing our real estate footprint, and continuing to realize a portion of COVID-19 re</w:t>
      </w:r>
      <w:r>
        <w:rPr>
          <w:rFonts w:eastAsia="Times New Roman"/>
          <w:color w:val="000000"/>
          <w:sz w:val="20"/>
          <w:szCs w:val="20"/>
        </w:rPr>
        <w:t xml:space="preserve">lated savings. </w:t>
      </w:r>
    </w:p>
    <w:p w:rsidR="00000000" w:rsidRDefault="005C524C">
      <w:pPr>
        <w:divId w:val="2060745743"/>
        <w:rPr>
          <w:rFonts w:eastAsia="Times New Roman"/>
        </w:rPr>
      </w:pPr>
      <w:r>
        <w:rPr>
          <w:rFonts w:eastAsia="Times New Roman"/>
          <w:b/>
          <w:bCs/>
          <w:color w:val="000000"/>
          <w:sz w:val="20"/>
          <w:szCs w:val="20"/>
        </w:rPr>
        <w:t xml:space="preserve">Key Operating Measures </w:t>
      </w:r>
    </w:p>
    <w:p w:rsidR="00000000" w:rsidRDefault="005C524C">
      <w:pPr>
        <w:ind w:firstLine="360"/>
        <w:divId w:val="1943149556"/>
        <w:rPr>
          <w:rFonts w:eastAsia="Times New Roman"/>
        </w:rPr>
      </w:pPr>
      <w:r>
        <w:rPr>
          <w:rFonts w:eastAsia="Times New Roman"/>
          <w:color w:val="000000"/>
          <w:sz w:val="20"/>
          <w:szCs w:val="20"/>
        </w:rPr>
        <w:t>In addition to our results presented in accordance with U.S. GAAP, we report Non-GAAP Operating Earnings, Non-GAAP Operating ROE, and Non-GAAP operating common EPS, each of which is a measure that is not determined i</w:t>
      </w:r>
      <w:r>
        <w:rPr>
          <w:rFonts w:eastAsia="Times New Roman"/>
          <w:color w:val="000000"/>
          <w:sz w:val="20"/>
          <w:szCs w:val="20"/>
        </w:rPr>
        <w:t xml:space="preserve">n accordance with U.S. GAAP. Management principally uses these non-GAAP financial measures in evaluating performance because they present a clearer picture of our operating performance and they allow management to allocate resources. Similarly, management </w:t>
      </w:r>
      <w:r>
        <w:rPr>
          <w:rFonts w:eastAsia="Times New Roman"/>
          <w:color w:val="000000"/>
          <w:sz w:val="20"/>
          <w:szCs w:val="20"/>
        </w:rPr>
        <w:t>believes that the use of these Non-GAAP financial measures, together with relevant U.S. GAAP measures, provide investors with a better understanding of our results of operations and the underlying profitability drivers and trends of our business. These non</w:t>
      </w:r>
      <w:r>
        <w:rPr>
          <w:rFonts w:eastAsia="Times New Roman"/>
          <w:color w:val="000000"/>
          <w:sz w:val="20"/>
          <w:szCs w:val="20"/>
        </w:rPr>
        <w:t>-GAAP financial measures are intended to remove from our results of operations the impact of market changes (where there is mismatch in the valuation of assets and liabilities) as well as certain other expenses which are not part of our underlying profitab</w:t>
      </w:r>
      <w:r>
        <w:rPr>
          <w:rFonts w:eastAsia="Times New Roman"/>
          <w:color w:val="000000"/>
          <w:sz w:val="20"/>
          <w:szCs w:val="20"/>
        </w:rPr>
        <w:t>ility drivers or likely to re-occur in the foreseeable future, as such items fluctuate from period-to-period in a manner inconsistent with these drivers. These measures should be considered supplementary to our results that are presented in accordance with</w:t>
      </w:r>
      <w:r>
        <w:rPr>
          <w:rFonts w:eastAsia="Times New Roman"/>
          <w:color w:val="000000"/>
          <w:sz w:val="20"/>
          <w:szCs w:val="20"/>
        </w:rPr>
        <w:t xml:space="preserve"> U.S. GAAP and should not be viewed as a substitute for the U.S. GAAP measures. Other companies may use similarly titled non-GAAP financial measures that are calculated differently from the way we calculate such measures. Consequently, our non-GAAP financi</w:t>
      </w:r>
      <w:r>
        <w:rPr>
          <w:rFonts w:eastAsia="Times New Roman"/>
          <w:color w:val="000000"/>
          <w:sz w:val="20"/>
          <w:szCs w:val="20"/>
        </w:rPr>
        <w:t xml:space="preserve">al measures may not be comparable to similar measures used by other companies. </w:t>
      </w:r>
    </w:p>
    <w:p w:rsidR="00000000" w:rsidRDefault="005C524C">
      <w:pPr>
        <w:ind w:firstLine="360"/>
        <w:divId w:val="2069378332"/>
        <w:rPr>
          <w:rFonts w:eastAsia="Times New Roman"/>
        </w:rPr>
      </w:pPr>
      <w:r>
        <w:rPr>
          <w:rFonts w:eastAsia="Times New Roman"/>
          <w:color w:val="000000"/>
          <w:sz w:val="20"/>
          <w:szCs w:val="20"/>
        </w:rPr>
        <w:t>We also discuss certain operating measures, including AUM, AUA, AV, Protection Solutions Reserves and certain other operating measures, which management believes provide useful</w:t>
      </w:r>
      <w:r>
        <w:rPr>
          <w:rFonts w:eastAsia="Times New Roman"/>
          <w:color w:val="000000"/>
          <w:sz w:val="20"/>
          <w:szCs w:val="20"/>
        </w:rPr>
        <w:t xml:space="preserve"> information about our businesses and the operational factors underlying our financial performance. </w:t>
      </w:r>
    </w:p>
    <w:p w:rsidR="00000000" w:rsidRDefault="005C524C">
      <w:pPr>
        <w:jc w:val="both"/>
        <w:divId w:val="54013312"/>
        <w:rPr>
          <w:rFonts w:eastAsia="Times New Roman"/>
        </w:rPr>
      </w:pPr>
      <w:r>
        <w:rPr>
          <w:rFonts w:eastAsia="Times New Roman"/>
          <w:b/>
          <w:bCs/>
          <w:i/>
          <w:iCs/>
          <w:color w:val="000000"/>
          <w:sz w:val="20"/>
          <w:szCs w:val="20"/>
        </w:rPr>
        <w:t xml:space="preserve">Non-GAAP Operating Earnings </w:t>
      </w:r>
    </w:p>
    <w:p w:rsidR="00000000" w:rsidRDefault="005C524C">
      <w:pPr>
        <w:ind w:firstLine="360"/>
        <w:divId w:val="709694016"/>
        <w:rPr>
          <w:rFonts w:eastAsia="Times New Roman"/>
        </w:rPr>
      </w:pPr>
      <w:r>
        <w:rPr>
          <w:rFonts w:eastAsia="Times New Roman"/>
          <w:color w:val="000000"/>
          <w:sz w:val="20"/>
          <w:szCs w:val="20"/>
        </w:rPr>
        <w:t>Non-GAAP Operating Earnings is an after-tax non-GAAP financial measure used to evaluate our financial performance on a consoli</w:t>
      </w:r>
      <w:r>
        <w:rPr>
          <w:rFonts w:eastAsia="Times New Roman"/>
          <w:color w:val="000000"/>
          <w:sz w:val="20"/>
          <w:szCs w:val="20"/>
        </w:rPr>
        <w:t>dated basis that is determined by making certain adjustments to our consolidated after-tax net income attributable to Holdings. The most significant of such adjustments relates to our derivative positions, which protect economic value and statutory capital</w:t>
      </w:r>
      <w:r>
        <w:rPr>
          <w:rFonts w:eastAsia="Times New Roman"/>
          <w:color w:val="000000"/>
          <w:sz w:val="20"/>
          <w:szCs w:val="20"/>
        </w:rPr>
        <w:t xml:space="preserve">, and are more sensitive to changes in market conditions than the variable annuity product liabilities as valued under U.S. GAAP. This is a large source of volatility in net income. </w:t>
      </w:r>
    </w:p>
    <w:p w:rsidR="00000000" w:rsidRDefault="005C524C">
      <w:pPr>
        <w:ind w:firstLine="360"/>
        <w:divId w:val="775637582"/>
        <w:rPr>
          <w:rFonts w:eastAsia="Times New Roman"/>
        </w:rPr>
      </w:pPr>
      <w:r>
        <w:rPr>
          <w:rFonts w:eastAsia="Times New Roman"/>
          <w:color w:val="000000"/>
          <w:sz w:val="20"/>
          <w:szCs w:val="20"/>
        </w:rPr>
        <w:t xml:space="preserve">Non-GAAP Operating Earnings equals our consolidated after-tax net income </w:t>
      </w:r>
      <w:r>
        <w:rPr>
          <w:rFonts w:eastAsia="Times New Roman"/>
          <w:color w:val="000000"/>
          <w:sz w:val="20"/>
          <w:szCs w:val="20"/>
        </w:rPr>
        <w:t xml:space="preserve">attributable to Holdings adjusted to eliminate the impact of the following items: </w:t>
      </w:r>
    </w:p>
    <w:p w:rsidR="00000000" w:rsidRDefault="005C524C">
      <w:pPr>
        <w:ind w:hanging="360"/>
        <w:divId w:val="923221967"/>
        <w:rPr>
          <w:rFonts w:eastAsia="Times New Roman"/>
        </w:rPr>
      </w:pPr>
      <w:r>
        <w:rPr>
          <w:rFonts w:ascii="Calibri" w:eastAsia="Times New Roman" w:hAnsi="Calibri" w:cs="Calibri"/>
          <w:color w:val="000000"/>
          <w:sz w:val="22"/>
          <w:szCs w:val="22"/>
        </w:rPr>
        <w:t>•</w:t>
      </w: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including extraordinary ec</w:t>
      </w:r>
      <w:r>
        <w:rPr>
          <w:rFonts w:eastAsia="Times New Roman"/>
          <w:color w:val="000000"/>
          <w:sz w:val="20"/>
          <w:szCs w:val="20"/>
        </w:rPr>
        <w:t xml:space="preserve">onomic conditions or events such as COVID-19; (iii) changes in the fair value of the embedded derivatives reflected within variable annuity products’ net derivative results and the impact of these items on DAC </w:t>
      </w:r>
    </w:p>
    <w:p w:rsidR="00000000" w:rsidRDefault="005C524C">
      <w:pPr>
        <w:jc w:val="center"/>
        <w:divId w:val="322927007"/>
        <w:rPr>
          <w:rFonts w:eastAsia="Times New Roman"/>
        </w:rPr>
      </w:pPr>
      <w:r>
        <w:rPr>
          <w:rFonts w:eastAsia="Times New Roman"/>
          <w:color w:val="000000"/>
          <w:sz w:val="20"/>
          <w:szCs w:val="20"/>
        </w:rPr>
        <w:t>74</w:t>
      </w:r>
    </w:p>
    <w:p w:rsidR="00000000" w:rsidRDefault="005C524C">
      <w:pPr>
        <w:rPr>
          <w:rFonts w:eastAsia="Times New Roman"/>
        </w:rPr>
      </w:pPr>
      <w:r>
        <w:rPr>
          <w:rFonts w:eastAsia="Times New Roman"/>
        </w:rPr>
        <w:pict>
          <v:rect id="_x0000_i1100" style="width:0;height:1.5pt" o:hralign="center" o:hrstd="t" o:hr="t" fillcolor="#a0a0a0" stroked="f"/>
        </w:pict>
      </w:r>
    </w:p>
    <w:p w:rsidR="00000000" w:rsidRDefault="005C524C">
      <w:pPr>
        <w:ind w:firstLine="360"/>
        <w:divId w:val="84078024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089235158"/>
        <w:rPr>
          <w:rFonts w:eastAsia="Times New Roman"/>
        </w:rPr>
      </w:pPr>
      <w:r>
        <w:rPr>
          <w:rFonts w:eastAsia="Times New Roman"/>
          <w:color w:val="000000"/>
          <w:sz w:val="20"/>
          <w:szCs w:val="20"/>
        </w:rPr>
        <w:t xml:space="preserve">amortization on our SCS product; and (iv) DAC amortization for the SCS variable annuity product arising from near-term fluctuations in index segment returns; </w:t>
      </w:r>
    </w:p>
    <w:p w:rsidR="00000000" w:rsidRDefault="005C524C">
      <w:pPr>
        <w:ind w:hanging="360"/>
        <w:jc w:val="both"/>
        <w:divId w:val="328481221"/>
        <w:rPr>
          <w:rFonts w:eastAsia="Times New Roman"/>
        </w:rPr>
      </w:pPr>
      <w:r>
        <w:rPr>
          <w:rFonts w:eastAsia="Times New Roman"/>
          <w:color w:val="000000"/>
          <w:sz w:val="20"/>
          <w:szCs w:val="20"/>
        </w:rPr>
        <w:t>•</w:t>
      </w: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p w:rsidR="00000000" w:rsidRDefault="005C524C">
      <w:pPr>
        <w:ind w:hanging="360"/>
        <w:jc w:val="both"/>
        <w:divId w:val="1256792463"/>
        <w:rPr>
          <w:rFonts w:eastAsia="Times New Roman"/>
        </w:rPr>
      </w:pPr>
      <w:r>
        <w:rPr>
          <w:rFonts w:eastAsia="Times New Roman"/>
          <w:color w:val="000000"/>
          <w:sz w:val="20"/>
          <w:szCs w:val="20"/>
        </w:rPr>
        <w:t>•Net actuarial (gains) losses, which includes actuarial gain</w:t>
      </w:r>
      <w:r>
        <w:rPr>
          <w:rFonts w:eastAsia="Times New Roman"/>
          <w:color w:val="000000"/>
          <w:sz w:val="20"/>
          <w:szCs w:val="20"/>
        </w:rPr>
        <w:t>s and losses as a result of differences between actual and expected experience on pension plan assets or projected benefit obligation during a given period related to pension, other postretirement benefit obligations, and the one-time impact of the settlem</w:t>
      </w:r>
      <w:r>
        <w:rPr>
          <w:rFonts w:eastAsia="Times New Roman"/>
          <w:color w:val="000000"/>
          <w:sz w:val="20"/>
          <w:szCs w:val="20"/>
        </w:rPr>
        <w:t xml:space="preserve">ent of the defined benefit obligation; </w:t>
      </w:r>
    </w:p>
    <w:p w:rsidR="00000000" w:rsidRDefault="005C524C">
      <w:pPr>
        <w:ind w:hanging="360"/>
        <w:jc w:val="both"/>
        <w:divId w:val="2143618501"/>
        <w:rPr>
          <w:rFonts w:eastAsia="Times New Roman"/>
        </w:rPr>
      </w:pPr>
      <w:r>
        <w:rPr>
          <w:rFonts w:eastAsia="Times New Roman"/>
          <w:color w:val="000000"/>
          <w:sz w:val="20"/>
          <w:szCs w:val="20"/>
        </w:rPr>
        <w:t>•Other adjustments, which primarily include restructuring costs related to severance and separation, COVID-19 related impacts, net derivative gains (losses) on certain Non-GMxB derivatives, net investment income from</w:t>
      </w:r>
      <w:r>
        <w:rPr>
          <w:rFonts w:eastAsia="Times New Roman"/>
          <w:color w:val="000000"/>
          <w:sz w:val="20"/>
          <w:szCs w:val="20"/>
        </w:rPr>
        <w:t xml:space="preserve"> certain items including consolidated VIE investments, seed capital mark-to-market adjustments, unrealized gain/losses associated with equity securities, certain legal accruals; and a bespoke deal to repurchase UL policies from one entity that had invested</w:t>
      </w:r>
      <w:r>
        <w:rPr>
          <w:rFonts w:eastAsia="Times New Roman"/>
          <w:color w:val="000000"/>
          <w:sz w:val="20"/>
          <w:szCs w:val="20"/>
        </w:rPr>
        <w:t xml:space="preserve"> in numerous policies purchased in the life settlement market, which disposed of the risk of additional COI litigation by that entity related to those UL policies; and </w:t>
      </w:r>
    </w:p>
    <w:p w:rsidR="00000000" w:rsidRDefault="005C524C">
      <w:pPr>
        <w:ind w:hanging="360"/>
        <w:divId w:val="1406875872"/>
        <w:rPr>
          <w:rFonts w:eastAsia="Times New Roman"/>
        </w:rPr>
      </w:pPr>
      <w:r>
        <w:rPr>
          <w:rFonts w:eastAsia="Times New Roman"/>
          <w:color w:val="000000"/>
          <w:sz w:val="20"/>
          <w:szCs w:val="20"/>
        </w:rPr>
        <w:t>•Income tax expense (benefit) related to the above items and non-recurring tax items, w</w:t>
      </w:r>
      <w:r>
        <w:rPr>
          <w:rFonts w:eastAsia="Times New Roman"/>
          <w:color w:val="000000"/>
          <w:sz w:val="20"/>
          <w:szCs w:val="20"/>
        </w:rPr>
        <w:t>hich includes the effect of uncertain tax positions for a given audit period.</w:t>
      </w:r>
    </w:p>
    <w:p w:rsidR="00000000" w:rsidRDefault="005C524C">
      <w:pPr>
        <w:ind w:firstLine="360"/>
        <w:divId w:val="1928611517"/>
        <w:rPr>
          <w:rFonts w:eastAsia="Times New Roman"/>
        </w:rPr>
      </w:pPr>
      <w:r>
        <w:rPr>
          <w:rFonts w:eastAsia="Times New Roman"/>
          <w:color w:val="000000"/>
          <w:sz w:val="20"/>
          <w:szCs w:val="20"/>
        </w:rPr>
        <w:t>In the first quarter 2022, the Company updated its Operating earnings measure to exclude the DAC amortization impact of near-term fluctuations in indexed segment returns on the S</w:t>
      </w:r>
      <w:r>
        <w:rPr>
          <w:rFonts w:eastAsia="Times New Roman"/>
          <w:color w:val="000000"/>
          <w:sz w:val="20"/>
          <w:szCs w:val="20"/>
        </w:rPr>
        <w:t>CS variable annuity product to reflect the impact of market fluctuations consistently with the long term duration of the product. For the three and six months ended June 30, 2022, Operating earnings was favorably impacted by this change in the amount of $5</w:t>
      </w:r>
      <w:r>
        <w:rPr>
          <w:rFonts w:eastAsia="Times New Roman"/>
          <w:color w:val="000000"/>
          <w:sz w:val="20"/>
          <w:szCs w:val="20"/>
        </w:rPr>
        <w:t>0 million and $70 million for the three and six months ended June 30, 2022, respectively. The presentation of Operating earnings in prior periods was not revised to reflect this modification, however, the Company estimated that had the treatment in the Com</w:t>
      </w:r>
      <w:r>
        <w:rPr>
          <w:rFonts w:eastAsia="Times New Roman"/>
          <w:color w:val="000000"/>
          <w:sz w:val="20"/>
          <w:szCs w:val="20"/>
        </w:rPr>
        <w:t>pany’s Operating earnings measure of the Amortization of DAC for SCS been modified in 2020, the pre-tax impact on Operating earnings of excluding the SCS-related DAC amortization from Operating earnings would have been a decrease of $10 million, $14 millio</w:t>
      </w:r>
      <w:r>
        <w:rPr>
          <w:rFonts w:eastAsia="Times New Roman"/>
          <w:color w:val="000000"/>
          <w:sz w:val="20"/>
          <w:szCs w:val="20"/>
        </w:rPr>
        <w:t xml:space="preserve">n, $16 million and $34 million for the for the three and six months ended June 30, 2021, and years ended December 31, 2021 and 2020, respectively. </w:t>
      </w:r>
    </w:p>
    <w:p w:rsidR="00000000" w:rsidRDefault="005C524C">
      <w:pPr>
        <w:ind w:firstLine="360"/>
        <w:divId w:val="1399131057"/>
        <w:rPr>
          <w:rFonts w:eastAsia="Times New Roman"/>
        </w:rPr>
      </w:pPr>
      <w:r>
        <w:rPr>
          <w:rFonts w:eastAsia="Times New Roman"/>
          <w:color w:val="000000"/>
          <w:sz w:val="20"/>
          <w:szCs w:val="20"/>
        </w:rPr>
        <w:t>Because Non-GAAP operating earnings excludes the foregoing items that can be distortive or unpredictable, ma</w:t>
      </w:r>
      <w:r>
        <w:rPr>
          <w:rFonts w:eastAsia="Times New Roman"/>
          <w:color w:val="000000"/>
          <w:sz w:val="20"/>
          <w:szCs w:val="20"/>
        </w:rPr>
        <w:t xml:space="preserve">nagement believes that this measure enhances the understanding of the Company’s underlying drivers of profitability and trends in our business, thereby allowing management to make decisions that will positively impact our business. </w:t>
      </w:r>
    </w:p>
    <w:p w:rsidR="00000000" w:rsidRDefault="005C524C">
      <w:pPr>
        <w:ind w:firstLine="360"/>
        <w:divId w:val="545681305"/>
        <w:rPr>
          <w:rFonts w:eastAsia="Times New Roman"/>
        </w:rPr>
      </w:pPr>
      <w:r>
        <w:rPr>
          <w:rFonts w:eastAsia="Times New Roman"/>
          <w:color w:val="000000"/>
          <w:sz w:val="20"/>
          <w:szCs w:val="20"/>
        </w:rPr>
        <w:t>We use the prevailing c</w:t>
      </w:r>
      <w:r>
        <w:rPr>
          <w:rFonts w:eastAsia="Times New Roman"/>
          <w:color w:val="000000"/>
          <w:sz w:val="20"/>
          <w:szCs w:val="20"/>
        </w:rPr>
        <w:t>orporate federal income tax rate of 21% while taking into account any non-recurring differences for events recognized differently in our financial statements and federal income tax returns as well as partnership income taxed at lower rates when reconciling</w:t>
      </w:r>
      <w:r>
        <w:rPr>
          <w:rFonts w:eastAsia="Times New Roman"/>
          <w:color w:val="000000"/>
          <w:sz w:val="20"/>
          <w:szCs w:val="20"/>
        </w:rPr>
        <w:t xml:space="preserve"> Net income (loss) attributable to Holdings to Non-GAAP operating earnings. </w:t>
      </w:r>
    </w:p>
    <w:p w:rsidR="00000000" w:rsidRDefault="005C524C">
      <w:pPr>
        <w:ind w:firstLine="360"/>
        <w:divId w:val="1849632654"/>
        <w:rPr>
          <w:rFonts w:eastAsia="Times New Roman"/>
        </w:rPr>
      </w:pPr>
      <w:r>
        <w:rPr>
          <w:rFonts w:eastAsia="Times New Roman"/>
          <w:color w:val="000000"/>
          <w:sz w:val="20"/>
          <w:szCs w:val="20"/>
        </w:rPr>
        <w:t>The table below presents a reconciliation of net income (loss) attributable to Holdings to Non-GAAP operating earnings for the three and six months ended June 30, 2022 and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802"/>
        <w:gridCol w:w="36"/>
        <w:gridCol w:w="36"/>
        <w:gridCol w:w="36"/>
        <w:gridCol w:w="36"/>
        <w:gridCol w:w="121"/>
        <w:gridCol w:w="718"/>
        <w:gridCol w:w="36"/>
        <w:gridCol w:w="36"/>
        <w:gridCol w:w="36"/>
        <w:gridCol w:w="36"/>
        <w:gridCol w:w="120"/>
        <w:gridCol w:w="661"/>
        <w:gridCol w:w="36"/>
        <w:gridCol w:w="36"/>
        <w:gridCol w:w="36"/>
        <w:gridCol w:w="36"/>
        <w:gridCol w:w="120"/>
        <w:gridCol w:w="661"/>
        <w:gridCol w:w="36"/>
      </w:tblGrid>
      <w:tr w:rsidR="00000000">
        <w:trPr>
          <w:divId w:val="926428824"/>
        </w:trPr>
        <w:tc>
          <w:tcPr>
            <w:tcW w:w="50" w:type="pct"/>
            <w:vAlign w:val="center"/>
            <w:hideMark/>
          </w:tcPr>
          <w:p w:rsidR="00000000" w:rsidRDefault="005C524C">
            <w:pPr>
              <w:ind w:firstLine="360"/>
              <w:rPr>
                <w:rFonts w:eastAsia="Times New Roman"/>
              </w:rPr>
            </w:pPr>
          </w:p>
        </w:tc>
        <w:tc>
          <w:tcPr>
            <w:tcW w:w="26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92642882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926428824"/>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926428824"/>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926428824"/>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attributable to Holdings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1,728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2,301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(1,365)</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926428824"/>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Variable annuity product features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(1,924)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(2,525)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3,460 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adjustments (1) (2) (3)</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FFFF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Income tax expense (benefit) related to above adjustments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ascii="Calibri" w:eastAsia="Times New Roman" w:hAnsi="Calibri" w:cs="Calibri"/>
                <w:color w:val="000000"/>
                <w:sz w:val="18"/>
                <w:szCs w:val="18"/>
              </w:rPr>
              <w:t>Non-recurring tax items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926428824"/>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Non-GAAP Operating Earnings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363099700"/>
        <w:rPr>
          <w:rFonts w:eastAsia="Times New Roman"/>
        </w:rPr>
      </w:pPr>
      <w:r>
        <w:rPr>
          <w:rFonts w:eastAsia="Times New Roman"/>
          <w:color w:val="000000"/>
          <w:sz w:val="18"/>
          <w:szCs w:val="18"/>
        </w:rPr>
        <w:t>______________</w:t>
      </w:r>
    </w:p>
    <w:p w:rsidR="00000000" w:rsidRDefault="005C524C">
      <w:pPr>
        <w:ind w:hanging="360"/>
        <w:divId w:val="1685014755"/>
        <w:rPr>
          <w:rFonts w:eastAsia="Times New Roman"/>
        </w:rPr>
      </w:pPr>
      <w:r>
        <w:rPr>
          <w:rFonts w:eastAsia="Times New Roman"/>
          <w:color w:val="000000"/>
          <w:sz w:val="18"/>
          <w:szCs w:val="18"/>
        </w:rPr>
        <w:t>(1) Includes Separation Costs of $16 million and $37 million for the three months and six months ended June 30, 2021, respectively. Separation costs were completed during 2021.</w:t>
      </w:r>
    </w:p>
    <w:p w:rsidR="00000000" w:rsidRDefault="005C524C">
      <w:pPr>
        <w:ind w:hanging="360"/>
        <w:divId w:val="1464881443"/>
        <w:rPr>
          <w:rFonts w:eastAsia="Times New Roman"/>
        </w:rPr>
      </w:pPr>
      <w:r>
        <w:rPr>
          <w:rFonts w:eastAsia="Times New Roman"/>
          <w:color w:val="000000"/>
          <w:sz w:val="18"/>
          <w:szCs w:val="18"/>
        </w:rPr>
        <w:t>(2)Includes certain gross</w:t>
      </w:r>
      <w:r>
        <w:rPr>
          <w:rFonts w:eastAsia="Times New Roman"/>
          <w:color w:val="000000"/>
          <w:sz w:val="18"/>
          <w:szCs w:val="18"/>
        </w:rPr>
        <w:t xml:space="preserve"> legal expenses related to the cost of insurance litigation of $107 million and $0 million, $166 million and $180 million for the three and six months ended June 30, 2022 and 2021, respectively. Includes policyholder benefit costs of $0 million and </w:t>
      </w:r>
    </w:p>
    <w:p w:rsidR="00000000" w:rsidRDefault="005C524C">
      <w:pPr>
        <w:jc w:val="center"/>
        <w:divId w:val="1162744623"/>
        <w:rPr>
          <w:rFonts w:eastAsia="Times New Roman"/>
        </w:rPr>
      </w:pPr>
      <w:r>
        <w:rPr>
          <w:rFonts w:eastAsia="Times New Roman"/>
          <w:color w:val="000000"/>
          <w:sz w:val="20"/>
          <w:szCs w:val="20"/>
        </w:rPr>
        <w:t>75</w:t>
      </w:r>
    </w:p>
    <w:p w:rsidR="00000000" w:rsidRDefault="005C524C">
      <w:pPr>
        <w:rPr>
          <w:rFonts w:eastAsia="Times New Roman"/>
        </w:rPr>
      </w:pPr>
      <w:r>
        <w:rPr>
          <w:rFonts w:eastAsia="Times New Roman"/>
        </w:rPr>
        <w:pict>
          <v:rect id="_x0000_i1101" style="width:0;height:1.5pt" o:hralign="center" o:hrstd="t" o:hr="t" fillcolor="#a0a0a0" stroked="f"/>
        </w:pict>
      </w:r>
    </w:p>
    <w:p w:rsidR="00000000" w:rsidRDefault="005C524C">
      <w:pPr>
        <w:ind w:firstLine="360"/>
        <w:divId w:val="154101691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42406882"/>
        <w:rPr>
          <w:rFonts w:eastAsia="Times New Roman"/>
        </w:rPr>
      </w:pPr>
      <w:r>
        <w:rPr>
          <w:rFonts w:eastAsia="Times New Roman"/>
          <w:color w:val="000000"/>
          <w:sz w:val="18"/>
          <w:szCs w:val="18"/>
        </w:rPr>
        <w:t xml:space="preserve">$75 million for the three and six months ended June 30, 2022 stemming from a deal to repurchase UL policies from one entity that had invested in </w:t>
      </w:r>
      <w:r>
        <w:rPr>
          <w:rFonts w:eastAsia="Times New Roman"/>
          <w:color w:val="000000"/>
          <w:sz w:val="18"/>
          <w:szCs w:val="18"/>
        </w:rPr>
        <w:t xml:space="preserve">numerous policies purchased in the life settlement market. </w:t>
      </w:r>
    </w:p>
    <w:p w:rsidR="00000000" w:rsidRDefault="005C524C">
      <w:pPr>
        <w:ind w:hanging="360"/>
        <w:divId w:val="1284650483"/>
        <w:rPr>
          <w:rFonts w:eastAsia="Times New Roman"/>
        </w:rPr>
      </w:pPr>
      <w:r>
        <w:rPr>
          <w:rFonts w:eastAsia="Times New Roman"/>
          <w:color w:val="000000"/>
          <w:sz w:val="18"/>
          <w:szCs w:val="18"/>
        </w:rPr>
        <w:t>(3)Includes Non-GMxB related derivative hedge losses of ($38) million, ($100) million, ($40) million and $144 million for the three and six months ended June 30, 2022 and 2021, respectively.</w:t>
      </w:r>
    </w:p>
    <w:p w:rsidR="00000000" w:rsidRDefault="005C524C">
      <w:pPr>
        <w:ind w:firstLine="360"/>
        <w:divId w:val="1114789566"/>
        <w:rPr>
          <w:rFonts w:eastAsia="Times New Roman"/>
        </w:rPr>
      </w:pPr>
    </w:p>
    <w:p w:rsidR="00000000" w:rsidRDefault="005C524C">
      <w:pPr>
        <w:jc w:val="both"/>
        <w:divId w:val="1544294917"/>
        <w:rPr>
          <w:rFonts w:eastAsia="Times New Roman"/>
        </w:rPr>
      </w:pPr>
      <w:r>
        <w:rPr>
          <w:rFonts w:eastAsia="Times New Roman"/>
          <w:b/>
          <w:bCs/>
          <w:i/>
          <w:iCs/>
          <w:color w:val="000000"/>
          <w:sz w:val="20"/>
          <w:szCs w:val="20"/>
        </w:rPr>
        <w:t>Non</w:t>
      </w:r>
      <w:r>
        <w:rPr>
          <w:rFonts w:eastAsia="Times New Roman"/>
          <w:b/>
          <w:bCs/>
          <w:i/>
          <w:iCs/>
          <w:color w:val="000000"/>
          <w:sz w:val="20"/>
          <w:szCs w:val="20"/>
        </w:rPr>
        <w:t xml:space="preserve">-GAAP Operating ROE </w:t>
      </w:r>
    </w:p>
    <w:p w:rsidR="00000000" w:rsidRDefault="005C524C">
      <w:pPr>
        <w:ind w:firstLine="360"/>
        <w:divId w:val="1743678918"/>
        <w:rPr>
          <w:rFonts w:eastAsia="Times New Roman"/>
        </w:rPr>
      </w:pPr>
      <w:r>
        <w:rPr>
          <w:rFonts w:eastAsia="Times New Roman"/>
          <w:color w:val="000000"/>
          <w:sz w:val="20"/>
          <w:szCs w:val="20"/>
        </w:rPr>
        <w:t>We calculate Non-GAAP Operating ROE by dividing Non-GAAP operating earnings for the previous twelve calendar months by consolidated average equity attributable to Holdings’ common shareholders, excluding AOCI. AOCI fluctuates period-to-period in a manner i</w:t>
      </w:r>
      <w:r>
        <w:rPr>
          <w:rFonts w:eastAsia="Times New Roman"/>
          <w:color w:val="000000"/>
          <w:sz w:val="20"/>
          <w:szCs w:val="20"/>
        </w:rPr>
        <w:t xml:space="preserve">nconsistent with our underlying profitability drivers as the majority of such fluctuation is related to the market volatility of the unrealized gains and losses associated with our AFS securities. Therefore, we believe excluding AOCI is more effective for </w:t>
      </w:r>
      <w:r>
        <w:rPr>
          <w:rFonts w:eastAsia="Times New Roman"/>
          <w:color w:val="000000"/>
          <w:sz w:val="20"/>
          <w:szCs w:val="20"/>
        </w:rPr>
        <w:t xml:space="preserve">analyzing the trends of our operations. </w:t>
      </w:r>
    </w:p>
    <w:p w:rsidR="00000000" w:rsidRDefault="005C524C">
      <w:pPr>
        <w:ind w:firstLine="360"/>
        <w:divId w:val="1723677433"/>
        <w:rPr>
          <w:rFonts w:eastAsia="Times New Roman"/>
        </w:rPr>
      </w:pPr>
      <w:r>
        <w:rPr>
          <w:rFonts w:eastAsia="Times New Roman"/>
          <w:color w:val="000000"/>
          <w:sz w:val="20"/>
          <w:szCs w:val="20"/>
        </w:rPr>
        <w:t>The following table presents return on average equity attributable to Holdings’ common shareholders, excluding AOCI and Non-GAAP Operating ROE for the trailing twelve months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trPr>
          <w:divId w:val="1018309750"/>
        </w:trPr>
        <w:tc>
          <w:tcPr>
            <w:tcW w:w="50" w:type="pct"/>
            <w:vAlign w:val="center"/>
            <w:hideMark/>
          </w:tcPr>
          <w:p w:rsidR="00000000" w:rsidRDefault="005C524C">
            <w:pPr>
              <w:ind w:firstLine="360"/>
              <w:rPr>
                <w:rFonts w:eastAsia="Times New Roman"/>
              </w:rPr>
            </w:pPr>
          </w:p>
        </w:tc>
        <w:tc>
          <w:tcPr>
            <w:tcW w:w="392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9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01830975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Trailing Twelve Months Ended June 30, 2022</w:t>
            </w:r>
          </w:p>
        </w:tc>
      </w:tr>
      <w:tr w:rsidR="00000000">
        <w:trPr>
          <w:divId w:val="101830975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01830975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3,147</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01830975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8,487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01830975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018309750"/>
          <w:trHeight w:val="280"/>
        </w:trPr>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01830975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01830975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8,487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01830975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bl>
    <w:p w:rsidR="00000000" w:rsidRDefault="005C524C">
      <w:pPr>
        <w:jc w:val="both"/>
        <w:divId w:val="1326974028"/>
        <w:rPr>
          <w:rFonts w:eastAsia="Times New Roman"/>
        </w:rPr>
      </w:pPr>
      <w:r>
        <w:rPr>
          <w:rFonts w:eastAsia="Times New Roman"/>
          <w:b/>
          <w:bCs/>
          <w:i/>
          <w:iCs/>
          <w:color w:val="000000"/>
          <w:sz w:val="20"/>
          <w:szCs w:val="20"/>
        </w:rPr>
        <w:t>Non-GAAP Operating Common EPS</w:t>
      </w:r>
    </w:p>
    <w:p w:rsidR="00000000" w:rsidRDefault="005C524C">
      <w:pPr>
        <w:ind w:firstLine="360"/>
        <w:divId w:val="1470828751"/>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common EPS for the three and six months ended June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403"/>
        <w:gridCol w:w="38"/>
        <w:gridCol w:w="120"/>
        <w:gridCol w:w="701"/>
        <w:gridCol w:w="36"/>
        <w:gridCol w:w="36"/>
        <w:gridCol w:w="36"/>
        <w:gridCol w:w="36"/>
        <w:gridCol w:w="120"/>
        <w:gridCol w:w="642"/>
        <w:gridCol w:w="36"/>
        <w:gridCol w:w="36"/>
        <w:gridCol w:w="36"/>
        <w:gridCol w:w="36"/>
        <w:gridCol w:w="36"/>
        <w:gridCol w:w="120"/>
        <w:gridCol w:w="798"/>
        <w:gridCol w:w="36"/>
        <w:gridCol w:w="36"/>
        <w:gridCol w:w="36"/>
        <w:gridCol w:w="36"/>
        <w:gridCol w:w="120"/>
        <w:gridCol w:w="701"/>
        <w:gridCol w:w="36"/>
      </w:tblGrid>
      <w:tr w:rsidR="00000000">
        <w:trPr>
          <w:divId w:val="844513958"/>
        </w:trPr>
        <w:tc>
          <w:tcPr>
            <w:tcW w:w="50" w:type="pct"/>
            <w:vAlign w:val="center"/>
            <w:hideMark/>
          </w:tcPr>
          <w:p w:rsidR="00000000" w:rsidRDefault="005C524C">
            <w:pPr>
              <w:ind w:firstLine="360"/>
              <w:rPr>
                <w:rFonts w:eastAsia="Times New Roman"/>
              </w:rPr>
            </w:pPr>
          </w:p>
        </w:tc>
        <w:tc>
          <w:tcPr>
            <w:tcW w:w="271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84451395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844513958"/>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5C524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844513958"/>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1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(per share amounts)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844513958"/>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attributable to Holdings (1)</w:t>
            </w: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0.29 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5.96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(3.18)</w:t>
            </w:r>
          </w:p>
        </w:tc>
        <w:tc>
          <w:tcPr>
            <w:tcW w:w="0" w:type="auto"/>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Net income (loss) available to Holdings’ </w:t>
            </w:r>
            <w:r>
              <w:rPr>
                <w:rFonts w:eastAsia="Times New Roman"/>
                <w:color w:val="000000"/>
                <w:sz w:val="20"/>
                <w:szCs w:val="20"/>
              </w:rPr>
              <w:t>common shareholders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84451395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Variable annuity product features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(6.54)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8.06 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(0.98)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adjustments (2) (3) (4)</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Income tax expense (benefit) related to above adjustments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(0.40)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84451395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Non-GAAP operating common EPS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1737319280"/>
        <w:rPr>
          <w:rFonts w:eastAsia="Times New Roman"/>
        </w:rPr>
      </w:pPr>
      <w:r>
        <w:rPr>
          <w:rFonts w:eastAsia="Times New Roman"/>
          <w:color w:val="000000"/>
          <w:sz w:val="20"/>
          <w:szCs w:val="20"/>
        </w:rPr>
        <w:t>______________</w:t>
      </w:r>
    </w:p>
    <w:p w:rsidR="00000000" w:rsidRDefault="005C524C">
      <w:pPr>
        <w:ind w:hanging="360"/>
        <w:divId w:val="1730423403"/>
        <w:rPr>
          <w:rFonts w:eastAsia="Times New Roman"/>
        </w:rPr>
      </w:pPr>
      <w:r>
        <w:rPr>
          <w:rFonts w:eastAsia="Times New Roman"/>
          <w:color w:val="000000"/>
          <w:sz w:val="18"/>
          <w:szCs w:val="18"/>
        </w:rPr>
        <w:t>(1)For periods presented with a net loss, basic shares are used for EPS .</w:t>
      </w:r>
    </w:p>
    <w:p w:rsidR="00000000" w:rsidRDefault="005C524C">
      <w:pPr>
        <w:ind w:hanging="360"/>
        <w:divId w:val="1858083452"/>
        <w:rPr>
          <w:rFonts w:eastAsia="Times New Roman"/>
        </w:rPr>
      </w:pPr>
      <w:r>
        <w:rPr>
          <w:rFonts w:eastAsia="Times New Roman"/>
          <w:color w:val="000000"/>
          <w:sz w:val="18"/>
          <w:szCs w:val="18"/>
        </w:rPr>
        <w:t>(2)Includes separation costs of $0.04 and $0.09 for the three months and six months ended June 30, 2021, respectively.</w:t>
      </w:r>
    </w:p>
    <w:p w:rsidR="00000000" w:rsidRDefault="005C524C">
      <w:pPr>
        <w:ind w:hanging="360"/>
        <w:divId w:val="615990215"/>
        <w:rPr>
          <w:rFonts w:eastAsia="Times New Roman"/>
        </w:rPr>
      </w:pPr>
      <w:r>
        <w:rPr>
          <w:rFonts w:eastAsia="Times New Roman"/>
          <w:color w:val="000000"/>
          <w:sz w:val="18"/>
          <w:szCs w:val="18"/>
        </w:rPr>
        <w:t>(3)Includes certain gross legal expenses related to the cost of</w:t>
      </w:r>
      <w:r>
        <w:rPr>
          <w:rFonts w:eastAsia="Times New Roman"/>
          <w:color w:val="000000"/>
          <w:sz w:val="18"/>
          <w:szCs w:val="18"/>
        </w:rPr>
        <w:t xml:space="preserve"> insurance litigation of $0.28, $0.00, $0.43 and $0.42 for the three and six months ended June 30, 2022 and2021, respectively. Includes policyholder benefit costs of $$0.00 and $0.17 for the three and six months ended June 30, 2022 stemming from a deal to </w:t>
      </w:r>
      <w:r>
        <w:rPr>
          <w:rFonts w:eastAsia="Times New Roman"/>
          <w:color w:val="000000"/>
          <w:sz w:val="18"/>
          <w:szCs w:val="18"/>
        </w:rPr>
        <w:t>repurchase UL policies from one entity that had invested in numerous policies purchased in the life settlement market.</w:t>
      </w:r>
    </w:p>
    <w:p w:rsidR="00000000" w:rsidRDefault="005C524C">
      <w:pPr>
        <w:jc w:val="center"/>
        <w:divId w:val="1394507772"/>
        <w:rPr>
          <w:rFonts w:eastAsia="Times New Roman"/>
        </w:rPr>
      </w:pPr>
      <w:r>
        <w:rPr>
          <w:rFonts w:eastAsia="Times New Roman"/>
          <w:color w:val="000000"/>
          <w:sz w:val="20"/>
          <w:szCs w:val="20"/>
        </w:rPr>
        <w:t>76</w:t>
      </w:r>
    </w:p>
    <w:p w:rsidR="00000000" w:rsidRDefault="005C524C">
      <w:pPr>
        <w:rPr>
          <w:rFonts w:eastAsia="Times New Roman"/>
        </w:rPr>
      </w:pPr>
      <w:r>
        <w:rPr>
          <w:rFonts w:eastAsia="Times New Roman"/>
        </w:rPr>
        <w:pict>
          <v:rect id="_x0000_i1102" style="width:0;height:1.5pt" o:hralign="center" o:hrstd="t" o:hr="t" fillcolor="#a0a0a0" stroked="f"/>
        </w:pict>
      </w:r>
    </w:p>
    <w:p w:rsidR="00000000" w:rsidRDefault="005C524C">
      <w:pPr>
        <w:ind w:firstLine="360"/>
        <w:divId w:val="179956863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360"/>
        <w:divId w:val="218783429"/>
        <w:rPr>
          <w:rFonts w:eastAsia="Times New Roman"/>
        </w:rPr>
      </w:pPr>
      <w:r>
        <w:rPr>
          <w:rFonts w:eastAsia="Times New Roman"/>
          <w:color w:val="000000"/>
          <w:sz w:val="18"/>
          <w:szCs w:val="18"/>
        </w:rPr>
        <w:t>(4)</w:t>
      </w:r>
      <w:r>
        <w:rPr>
          <w:rFonts w:eastAsia="Times New Roman"/>
          <w:color w:val="000000"/>
          <w:sz w:val="18"/>
          <w:szCs w:val="18"/>
        </w:rPr>
        <w:t>Includes Non-GMxB related derivative hedge losses of ($0.10), ($0.23), ($0.09) and $0.34 for the three and six months ended June 30, 2022 and 2021, respectively.</w:t>
      </w:r>
    </w:p>
    <w:p w:rsidR="00000000" w:rsidRDefault="005C524C">
      <w:pPr>
        <w:jc w:val="both"/>
        <w:divId w:val="1068457959"/>
        <w:rPr>
          <w:rFonts w:eastAsia="Times New Roman"/>
        </w:rPr>
      </w:pPr>
      <w:r>
        <w:rPr>
          <w:rFonts w:eastAsia="Times New Roman"/>
          <w:b/>
          <w:bCs/>
          <w:i/>
          <w:iCs/>
          <w:color w:val="000000"/>
          <w:sz w:val="20"/>
          <w:szCs w:val="20"/>
        </w:rPr>
        <w:t xml:space="preserve">Assets Under Management </w:t>
      </w:r>
    </w:p>
    <w:p w:rsidR="00000000" w:rsidRDefault="005C524C">
      <w:pPr>
        <w:ind w:firstLine="360"/>
        <w:divId w:val="1371224562"/>
        <w:rPr>
          <w:rFonts w:eastAsia="Times New Roman"/>
        </w:rPr>
      </w:pPr>
      <w:r>
        <w:rPr>
          <w:rFonts w:eastAsia="Times New Roman"/>
          <w:color w:val="000000"/>
          <w:sz w:val="20"/>
          <w:szCs w:val="20"/>
        </w:rPr>
        <w:t>AUM means investment assets that are managed by one of our subsidiari</w:t>
      </w:r>
      <w:r>
        <w:rPr>
          <w:rFonts w:eastAsia="Times New Roman"/>
          <w:color w:val="000000"/>
          <w:sz w:val="20"/>
          <w:szCs w:val="20"/>
        </w:rPr>
        <w:t>es and includes: (i) assets managed by AB; (ii) the assets in our General Account investment portfolio; and (iii) the Separate Accounts assets of our Individual Retirement, Group Retirement and Protection Solutions businesses. Total AUM reflects exclusions</w:t>
      </w:r>
      <w:r>
        <w:rPr>
          <w:rFonts w:eastAsia="Times New Roman"/>
          <w:color w:val="000000"/>
          <w:sz w:val="20"/>
          <w:szCs w:val="20"/>
        </w:rPr>
        <w:t xml:space="preserve"> between segments to avoid double counting. </w:t>
      </w:r>
    </w:p>
    <w:p w:rsidR="00000000" w:rsidRDefault="005C524C">
      <w:pPr>
        <w:jc w:val="both"/>
        <w:divId w:val="328599356"/>
        <w:rPr>
          <w:rFonts w:eastAsia="Times New Roman"/>
        </w:rPr>
      </w:pPr>
      <w:r>
        <w:rPr>
          <w:rFonts w:eastAsia="Times New Roman"/>
          <w:b/>
          <w:bCs/>
          <w:i/>
          <w:iCs/>
          <w:color w:val="000000"/>
          <w:sz w:val="20"/>
          <w:szCs w:val="20"/>
        </w:rPr>
        <w:t xml:space="preserve">Assets Under Administration </w:t>
      </w:r>
    </w:p>
    <w:p w:rsidR="00000000" w:rsidRDefault="005C524C">
      <w:pPr>
        <w:ind w:firstLine="360"/>
        <w:divId w:val="72706046"/>
        <w:rPr>
          <w:rFonts w:eastAsia="Times New Roman"/>
        </w:rPr>
      </w:pPr>
      <w:r>
        <w:rPr>
          <w:rFonts w:eastAsia="Times New Roman"/>
          <w:color w:val="000000"/>
          <w:sz w:val="20"/>
          <w:szCs w:val="20"/>
        </w:rPr>
        <w:t>AUA includes non-insurance client assets that are invested in our savings and investment products or serviced by our Equitable Advisors platform. We provide administrative services f</w:t>
      </w:r>
      <w:r>
        <w:rPr>
          <w:rFonts w:eastAsia="Times New Roman"/>
          <w:color w:val="000000"/>
          <w:sz w:val="20"/>
          <w:szCs w:val="20"/>
        </w:rPr>
        <w:t xml:space="preserve">or these assets and generally record the revenues received as distribution fees. </w:t>
      </w:r>
    </w:p>
    <w:p w:rsidR="00000000" w:rsidRDefault="005C524C">
      <w:pPr>
        <w:jc w:val="both"/>
        <w:divId w:val="410273560"/>
        <w:rPr>
          <w:rFonts w:eastAsia="Times New Roman"/>
        </w:rPr>
      </w:pPr>
      <w:r>
        <w:rPr>
          <w:rFonts w:eastAsia="Times New Roman"/>
          <w:b/>
          <w:bCs/>
          <w:i/>
          <w:iCs/>
          <w:color w:val="000000"/>
          <w:sz w:val="20"/>
          <w:szCs w:val="20"/>
        </w:rPr>
        <w:t xml:space="preserve">Account Value </w:t>
      </w:r>
    </w:p>
    <w:p w:rsidR="00000000" w:rsidRDefault="005C524C">
      <w:pPr>
        <w:ind w:firstLine="360"/>
        <w:divId w:val="149903964"/>
        <w:rPr>
          <w:rFonts w:eastAsia="Times New Roman"/>
        </w:rPr>
      </w:pPr>
      <w:r>
        <w:rPr>
          <w:rFonts w:eastAsia="Times New Roman"/>
          <w:color w:val="000000"/>
          <w:sz w:val="20"/>
          <w:szCs w:val="20"/>
        </w:rPr>
        <w:t>AV generally equals the aggregate policy account value of our retirement products. General Account AV refers to account balances in investment options that are</w:t>
      </w:r>
      <w:r>
        <w:rPr>
          <w:rFonts w:eastAsia="Times New Roman"/>
          <w:color w:val="000000"/>
          <w:sz w:val="20"/>
          <w:szCs w:val="20"/>
        </w:rPr>
        <w:t xml:space="preserve"> backed by the General Account while Separate Accounts AV refers to Separate Accounts investment assets.</w:t>
      </w:r>
    </w:p>
    <w:p w:rsidR="00000000" w:rsidRDefault="005C524C">
      <w:pPr>
        <w:jc w:val="both"/>
        <w:divId w:val="477579767"/>
        <w:rPr>
          <w:rFonts w:eastAsia="Times New Roman"/>
        </w:rPr>
      </w:pPr>
      <w:r>
        <w:rPr>
          <w:rFonts w:eastAsia="Times New Roman"/>
          <w:b/>
          <w:bCs/>
          <w:i/>
          <w:iCs/>
          <w:color w:val="000000"/>
          <w:sz w:val="20"/>
          <w:szCs w:val="20"/>
        </w:rPr>
        <w:t xml:space="preserve">Protection Solutions Reserves </w:t>
      </w:r>
    </w:p>
    <w:p w:rsidR="00000000" w:rsidRDefault="005C524C">
      <w:pPr>
        <w:ind w:firstLine="360"/>
        <w:divId w:val="925727180"/>
        <w:rPr>
          <w:rFonts w:eastAsia="Times New Roman"/>
        </w:rPr>
      </w:pPr>
      <w:r>
        <w:rPr>
          <w:rFonts w:eastAsia="Times New Roman"/>
          <w:color w:val="000000"/>
          <w:sz w:val="20"/>
          <w:szCs w:val="20"/>
        </w:rPr>
        <w:t>Protection Solutions Reserves equals the aggregate value of policyholders’ account balances and future policy benefits f</w:t>
      </w:r>
      <w:r>
        <w:rPr>
          <w:rFonts w:eastAsia="Times New Roman"/>
          <w:color w:val="000000"/>
          <w:sz w:val="20"/>
          <w:szCs w:val="20"/>
        </w:rPr>
        <w:t xml:space="preserve">or policies in our Protection Solutions segment. </w:t>
      </w:r>
    </w:p>
    <w:p w:rsidR="00000000" w:rsidRDefault="005C524C">
      <w:pPr>
        <w:divId w:val="1048339089"/>
        <w:rPr>
          <w:rFonts w:eastAsia="Times New Roman"/>
        </w:rPr>
      </w:pPr>
      <w:r>
        <w:rPr>
          <w:rFonts w:eastAsia="Times New Roman"/>
          <w:b/>
          <w:bCs/>
          <w:color w:val="000000"/>
          <w:sz w:val="20"/>
          <w:szCs w:val="20"/>
        </w:rPr>
        <w:t xml:space="preserve">Consolidated Results of Operations </w:t>
      </w:r>
    </w:p>
    <w:p w:rsidR="00000000" w:rsidRDefault="005C524C">
      <w:pPr>
        <w:ind w:firstLine="360"/>
        <w:divId w:val="78143528"/>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 sensitive products. These p</w:t>
      </w:r>
      <w:r>
        <w:rPr>
          <w:rFonts w:eastAsia="Times New Roman"/>
          <w:color w:val="000000"/>
          <w:sz w:val="20"/>
          <w:szCs w:val="20"/>
        </w:rPr>
        <w:t>roducts have been a significant driver of our results of operations. Because the future claims exposure on these products is sensitive to movements in the equity markets and interest rates, we have in place various hedging and reinsurance programs that are</w:t>
      </w:r>
      <w:r>
        <w:rPr>
          <w:rFonts w:eastAsia="Times New Roman"/>
          <w:color w:val="000000"/>
          <w:sz w:val="20"/>
          <w:szCs w:val="20"/>
        </w:rPr>
        <w:t xml:space="preserve"> designed to mitigate the economic risk of movements in the equity markets and interest rates. The volatility in net income attributable to Holdings for the periods presented below results from the mismatch between: (i) the change in carrying value of the </w:t>
      </w:r>
      <w:r>
        <w:rPr>
          <w:rFonts w:eastAsia="Times New Roman"/>
          <w:color w:val="000000"/>
          <w:sz w:val="20"/>
          <w:szCs w:val="20"/>
        </w:rPr>
        <w:t>reserves for GMDB and certain GMIB features that do not fully and immediately reflect the impact of equity and interest market fluctuations; (ii) the change in fair value of products with the GMIB feature that have a no-lapse guarantee; and (iii) our hedgi</w:t>
      </w:r>
      <w:r>
        <w:rPr>
          <w:rFonts w:eastAsia="Times New Roman"/>
          <w:color w:val="000000"/>
          <w:sz w:val="20"/>
          <w:szCs w:val="20"/>
        </w:rPr>
        <w:t xml:space="preserve">ng and reinsurance programs. </w:t>
      </w:r>
    </w:p>
    <w:p w:rsidR="00000000" w:rsidRDefault="005C524C">
      <w:pPr>
        <w:jc w:val="both"/>
        <w:divId w:val="363363719"/>
        <w:rPr>
          <w:rFonts w:eastAsia="Times New Roman"/>
        </w:rPr>
      </w:pPr>
      <w:r>
        <w:rPr>
          <w:rFonts w:eastAsia="Times New Roman"/>
          <w:b/>
          <w:bCs/>
          <w:i/>
          <w:iCs/>
          <w:color w:val="000000"/>
          <w:sz w:val="20"/>
          <w:szCs w:val="20"/>
        </w:rPr>
        <w:t xml:space="preserve">Ownership and Consolidation of AllianceBernstein </w:t>
      </w:r>
    </w:p>
    <w:p w:rsidR="00000000" w:rsidRDefault="005C524C">
      <w:pPr>
        <w:ind w:firstLine="360"/>
        <w:divId w:val="1277130216"/>
        <w:rPr>
          <w:rFonts w:eastAsia="Times New Roman"/>
        </w:rPr>
      </w:pPr>
      <w:r>
        <w:rPr>
          <w:rFonts w:eastAsia="Times New Roman"/>
          <w:color w:val="000000"/>
          <w:sz w:val="20"/>
          <w:szCs w:val="20"/>
        </w:rPr>
        <w:t xml:space="preserve">Our indirect, wholly-owned subsidiary, AllianceBernstein Corporation, is the General Partner of AB. Accordingly, AB’s results are fully reflected in our consolidated financial </w:t>
      </w:r>
      <w:r>
        <w:rPr>
          <w:rFonts w:eastAsia="Times New Roman"/>
          <w:color w:val="000000"/>
          <w:sz w:val="20"/>
          <w:szCs w:val="20"/>
        </w:rPr>
        <w:t xml:space="preserve">statements. </w:t>
      </w:r>
    </w:p>
    <w:p w:rsidR="00000000" w:rsidRDefault="005C524C">
      <w:pPr>
        <w:ind w:firstLine="360"/>
        <w:divId w:val="1868788375"/>
        <w:rPr>
          <w:rFonts w:eastAsia="Times New Roman"/>
        </w:rPr>
      </w:pPr>
      <w:r>
        <w:rPr>
          <w:rFonts w:eastAsia="Times New Roman"/>
          <w:color w:val="000000"/>
          <w:sz w:val="20"/>
          <w:szCs w:val="20"/>
        </w:rPr>
        <w:t>Our economic interest in AB was approximately 65% during the three and six months ended June 30, 2022 and 2021.</w:t>
      </w:r>
    </w:p>
    <w:p w:rsidR="00000000" w:rsidRDefault="005C524C">
      <w:pPr>
        <w:jc w:val="both"/>
        <w:divId w:val="737018675"/>
        <w:rPr>
          <w:rFonts w:eastAsia="Times New Roman"/>
        </w:rPr>
      </w:pPr>
      <w:r>
        <w:rPr>
          <w:rFonts w:eastAsia="Times New Roman"/>
          <w:b/>
          <w:bCs/>
          <w:i/>
          <w:iCs/>
          <w:color w:val="000000"/>
          <w:sz w:val="20"/>
          <w:szCs w:val="20"/>
        </w:rPr>
        <w:t>Consolidated Results of Operations</w:t>
      </w:r>
    </w:p>
    <w:p w:rsidR="00000000" w:rsidRDefault="005C524C">
      <w:pPr>
        <w:ind w:firstLine="360"/>
        <w:divId w:val="1290164715"/>
        <w:rPr>
          <w:rFonts w:eastAsia="Times New Roman"/>
        </w:rPr>
      </w:pPr>
      <w:r>
        <w:rPr>
          <w:rFonts w:eastAsia="Times New Roman"/>
          <w:color w:val="000000"/>
          <w:sz w:val="20"/>
          <w:szCs w:val="20"/>
        </w:rPr>
        <w:t>The following table summarizes our consolidated statements of income (loss) for the three and si</w:t>
      </w:r>
      <w:r>
        <w:rPr>
          <w:rFonts w:eastAsia="Times New Roman"/>
          <w:color w:val="000000"/>
          <w:sz w:val="20"/>
          <w:szCs w:val="20"/>
        </w:rPr>
        <w:t>x months ended June 30, 2022 and 2021:</w:t>
      </w:r>
    </w:p>
    <w:p w:rsidR="00000000" w:rsidRDefault="005C524C">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7"/>
        <w:gridCol w:w="4207"/>
        <w:gridCol w:w="36"/>
        <w:gridCol w:w="121"/>
        <w:gridCol w:w="683"/>
        <w:gridCol w:w="36"/>
        <w:gridCol w:w="36"/>
        <w:gridCol w:w="36"/>
        <w:gridCol w:w="36"/>
        <w:gridCol w:w="121"/>
        <w:gridCol w:w="683"/>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10382720"/>
        </w:trPr>
        <w:tc>
          <w:tcPr>
            <w:tcW w:w="50" w:type="pct"/>
            <w:vAlign w:val="center"/>
            <w:hideMark/>
          </w:tcPr>
          <w:p w:rsidR="00000000" w:rsidRDefault="005C524C">
            <w:pPr>
              <w:jc w:val="center"/>
              <w:rPr>
                <w:rFonts w:eastAsia="Times New Roman"/>
              </w:rPr>
            </w:pPr>
          </w:p>
        </w:tc>
        <w:tc>
          <w:tcPr>
            <w:tcW w:w="26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939 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499 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038272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1567911314"/>
        <w:rPr>
          <w:rFonts w:eastAsia="Times New Roman"/>
        </w:rPr>
      </w:pPr>
      <w:r>
        <w:rPr>
          <w:rFonts w:eastAsia="Times New Roman"/>
          <w:color w:val="000000"/>
          <w:sz w:val="20"/>
          <w:szCs w:val="20"/>
        </w:rPr>
        <w:t>77</w:t>
      </w:r>
    </w:p>
    <w:p w:rsidR="00000000" w:rsidRDefault="005C524C">
      <w:pPr>
        <w:rPr>
          <w:rFonts w:eastAsia="Times New Roman"/>
        </w:rPr>
      </w:pPr>
      <w:r>
        <w:rPr>
          <w:rFonts w:eastAsia="Times New Roman"/>
        </w:rPr>
        <w:pict>
          <v:rect id="_x0000_i1103" style="width:0;height:1.5pt" o:hralign="center" o:hrstd="t" o:hr="t" fillcolor="#a0a0a0" stroked="f"/>
        </w:pict>
      </w:r>
    </w:p>
    <w:p w:rsidR="00000000" w:rsidRDefault="005C524C">
      <w:pPr>
        <w:ind w:firstLine="360"/>
        <w:divId w:val="2008170344"/>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2"/>
        <w:gridCol w:w="4200"/>
        <w:gridCol w:w="41"/>
        <w:gridCol w:w="120"/>
        <w:gridCol w:w="682"/>
        <w:gridCol w:w="36"/>
        <w:gridCol w:w="36"/>
        <w:gridCol w:w="36"/>
        <w:gridCol w:w="36"/>
        <w:gridCol w:w="120"/>
        <w:gridCol w:w="683"/>
        <w:gridCol w:w="36"/>
        <w:gridCol w:w="36"/>
        <w:gridCol w:w="36"/>
        <w:gridCol w:w="36"/>
        <w:gridCol w:w="120"/>
        <w:gridCol w:w="778"/>
        <w:gridCol w:w="36"/>
        <w:gridCol w:w="36"/>
        <w:gridCol w:w="36"/>
        <w:gridCol w:w="36"/>
        <w:gridCol w:w="120"/>
        <w:gridCol w:w="716"/>
        <w:gridCol w:w="36"/>
        <w:gridCol w:w="36"/>
        <w:gridCol w:w="36"/>
        <w:gridCol w:w="36"/>
        <w:gridCol w:w="36"/>
        <w:gridCol w:w="36"/>
        <w:gridCol w:w="36"/>
      </w:tblGrid>
      <w:tr w:rsidR="00000000">
        <w:trPr>
          <w:divId w:val="483205168"/>
        </w:trPr>
        <w:tc>
          <w:tcPr>
            <w:tcW w:w="50" w:type="pct"/>
            <w:vAlign w:val="center"/>
            <w:hideMark/>
          </w:tcPr>
          <w:p w:rsidR="00000000" w:rsidRDefault="005C524C">
            <w:pPr>
              <w:ind w:firstLine="360"/>
              <w:rPr>
                <w:rFonts w:eastAsia="Times New Roman"/>
              </w:rPr>
            </w:pPr>
          </w:p>
        </w:tc>
        <w:tc>
          <w:tcPr>
            <w:tcW w:w="265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Credit losses on available-for-sale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and service fees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2,575 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5,168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9,112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Height w:val="24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1,767 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1,055 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6,085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2,240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(1,365)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Height w:val="24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0.23 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83205168"/>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380.6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428.3 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386.1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461"/>
        <w:gridCol w:w="144"/>
        <w:gridCol w:w="144"/>
        <w:gridCol w:w="770"/>
        <w:gridCol w:w="144"/>
        <w:gridCol w:w="144"/>
        <w:gridCol w:w="144"/>
        <w:gridCol w:w="144"/>
        <w:gridCol w:w="144"/>
        <w:gridCol w:w="770"/>
        <w:gridCol w:w="144"/>
        <w:gridCol w:w="144"/>
        <w:gridCol w:w="867"/>
        <w:gridCol w:w="144"/>
        <w:gridCol w:w="144"/>
        <w:gridCol w:w="144"/>
        <w:gridCol w:w="144"/>
        <w:gridCol w:w="144"/>
        <w:gridCol w:w="867"/>
        <w:gridCol w:w="144"/>
        <w:gridCol w:w="160"/>
        <w:gridCol w:w="160"/>
        <w:gridCol w:w="160"/>
        <w:gridCol w:w="480"/>
        <w:gridCol w:w="480"/>
        <w:gridCol w:w="480"/>
      </w:tblGrid>
      <w:tr w:rsidR="00000000">
        <w:tc>
          <w:tcPr>
            <w:tcW w:w="50" w:type="pct"/>
            <w:vAlign w:val="center"/>
            <w:hideMark/>
          </w:tcPr>
          <w:p w:rsidR="00000000" w:rsidRDefault="005C524C">
            <w:pPr>
              <w:rPr>
                <w:rFonts w:eastAsia="Times New Roman"/>
              </w:rPr>
            </w:pPr>
          </w:p>
        </w:tc>
        <w:tc>
          <w:tcPr>
            <w:tcW w:w="268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238982851"/>
        <w:rPr>
          <w:rFonts w:eastAsia="Times New Roman"/>
        </w:rPr>
      </w:pPr>
    </w:p>
    <w:p w:rsidR="00000000" w:rsidRDefault="005C524C">
      <w:pPr>
        <w:ind w:firstLine="360"/>
        <w:divId w:val="1178665056"/>
        <w:rPr>
          <w:rFonts w:eastAsia="Times New Roman"/>
        </w:rPr>
      </w:pPr>
      <w:r>
        <w:rPr>
          <w:rFonts w:eastAsia="Times New Roman"/>
          <w:color w:val="000000"/>
          <w:sz w:val="20"/>
          <w:szCs w:val="20"/>
        </w:rPr>
        <w:t>The following table summarizes our Non-GAAP Operating Earnings per common share for the three and six months ended June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3672"/>
        <w:gridCol w:w="36"/>
        <w:gridCol w:w="480"/>
        <w:gridCol w:w="486"/>
        <w:gridCol w:w="36"/>
        <w:gridCol w:w="36"/>
        <w:gridCol w:w="36"/>
        <w:gridCol w:w="36"/>
        <w:gridCol w:w="480"/>
        <w:gridCol w:w="486"/>
        <w:gridCol w:w="36"/>
        <w:gridCol w:w="480"/>
        <w:gridCol w:w="675"/>
        <w:gridCol w:w="36"/>
        <w:gridCol w:w="36"/>
        <w:gridCol w:w="36"/>
        <w:gridCol w:w="36"/>
        <w:gridCol w:w="480"/>
        <w:gridCol w:w="418"/>
        <w:gridCol w:w="36"/>
        <w:gridCol w:w="36"/>
        <w:gridCol w:w="36"/>
        <w:gridCol w:w="36"/>
        <w:gridCol w:w="36"/>
        <w:gridCol w:w="36"/>
        <w:gridCol w:w="36"/>
      </w:tblGrid>
      <w:tr w:rsidR="00000000">
        <w:trPr>
          <w:divId w:val="1487548283"/>
        </w:trPr>
        <w:tc>
          <w:tcPr>
            <w:tcW w:w="50" w:type="pct"/>
            <w:vAlign w:val="center"/>
            <w:hideMark/>
          </w:tcPr>
          <w:p w:rsidR="00000000" w:rsidRDefault="005C524C">
            <w:pPr>
              <w:ind w:firstLine="360"/>
              <w:rPr>
                <w:rFonts w:eastAsia="Times New Roman"/>
              </w:rPr>
            </w:pPr>
          </w:p>
        </w:tc>
        <w:tc>
          <w:tcPr>
            <w:tcW w:w="25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8754828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shd w:val="clear" w:color="auto" w:fill="FFFFFF"/>
            <w:tcMar>
              <w:top w:w="30" w:type="dxa"/>
              <w:left w:w="20" w:type="dxa"/>
              <w:bottom w:w="30" w:type="dxa"/>
              <w:right w:w="20" w:type="dxa"/>
            </w:tcMar>
            <w:vAlign w:val="bottom"/>
            <w:hideMark/>
          </w:tcPr>
          <w:p w:rsidR="00000000" w:rsidRDefault="005C524C">
            <w:pPr>
              <w:spacing w:after="100"/>
              <w:ind w:firstLine="36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487548283"/>
        </w:trPr>
        <w:tc>
          <w:tcPr>
            <w:tcW w:w="0" w:type="auto"/>
            <w:gridSpan w:val="3"/>
            <w:tcMar>
              <w:top w:w="0" w:type="dxa"/>
              <w:left w:w="20" w:type="dxa"/>
              <w:bottom w:w="0" w:type="dxa"/>
              <w:right w:w="20" w:type="dxa"/>
            </w:tcMar>
            <w:vAlign w:val="center"/>
            <w:hideMark/>
          </w:tcPr>
          <w:p w:rsidR="00000000" w:rsidRDefault="005C524C">
            <w:pPr>
              <w:spacing w:after="100"/>
              <w:ind w:firstLine="36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ind w:firstLine="360"/>
              <w:rPr>
                <w:rFonts w:eastAsia="Times New Roman"/>
              </w:rPr>
            </w:pPr>
            <w:r>
              <w:rPr>
                <w:rFonts w:eastAsia="Times New Roman"/>
                <w:b/>
                <w:bCs/>
                <w:color w:val="000000"/>
                <w:sz w:val="20"/>
                <w:szCs w:val="20"/>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ind w:firstLine="36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ind w:firstLine="360"/>
              <w:rPr>
                <w:rFonts w:eastAsia="Times New Roman"/>
              </w:rPr>
            </w:pPr>
            <w:r>
              <w:rPr>
                <w:rFonts w:eastAsia="Times New Roman"/>
                <w:color w:val="000000"/>
                <w:sz w:val="20"/>
                <w:szCs w:val="20"/>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ind w:firstLine="360"/>
              <w:jc w:val="center"/>
              <w:rPr>
                <w:rFonts w:eastAsia="Times New Roman"/>
              </w:rPr>
            </w:pPr>
            <w:r>
              <w:rPr>
                <w:rFonts w:eastAsia="Times New Roman"/>
                <w:b/>
                <w:bCs/>
                <w:color w:val="000000"/>
                <w:sz w:val="18"/>
                <w:szCs w:val="18"/>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ind w:firstLine="36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5C524C">
            <w:pPr>
              <w:spacing w:after="100"/>
              <w:ind w:firstLine="36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87548283"/>
          <w:trHeight w:val="22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487548283"/>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Non-GAAP </w:t>
            </w:r>
            <w:r>
              <w:rPr>
                <w:rFonts w:eastAsia="Times New Roman"/>
                <w:color w:val="000000"/>
                <w:sz w:val="20"/>
                <w:szCs w:val="20"/>
              </w:rPr>
              <w:t>operating earnings per common share:</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8754828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Basic </w:t>
            </w:r>
          </w:p>
        </w:tc>
        <w:tc>
          <w:tcPr>
            <w:tcW w:w="0" w:type="auto"/>
            <w:shd w:val="clear" w:color="auto" w:fill="CCEE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48754828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397285589"/>
        <w:rPr>
          <w:rFonts w:eastAsia="Times New Roman"/>
        </w:rPr>
      </w:pPr>
      <w:r>
        <w:rPr>
          <w:rFonts w:eastAsia="Times New Roman"/>
          <w:color w:val="000000"/>
          <w:sz w:val="20"/>
          <w:szCs w:val="20"/>
        </w:rPr>
        <w:t>78</w:t>
      </w:r>
    </w:p>
    <w:p w:rsidR="00000000" w:rsidRDefault="005C524C">
      <w:pPr>
        <w:rPr>
          <w:rFonts w:eastAsia="Times New Roman"/>
        </w:rPr>
      </w:pPr>
      <w:r>
        <w:rPr>
          <w:rFonts w:eastAsia="Times New Roman"/>
        </w:rPr>
        <w:pict>
          <v:rect id="_x0000_i1104" style="width:0;height:1.5pt" o:hralign="center" o:hrstd="t" o:hr="t" fillcolor="#a0a0a0" stroked="f"/>
        </w:pict>
      </w:r>
    </w:p>
    <w:p w:rsidR="00000000" w:rsidRDefault="005C524C">
      <w:pPr>
        <w:ind w:firstLine="360"/>
        <w:divId w:val="29276000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1954943473"/>
        <w:rPr>
          <w:rFonts w:eastAsia="Times New Roman"/>
        </w:rPr>
      </w:pPr>
    </w:p>
    <w:p w:rsidR="00000000" w:rsidRDefault="005C524C">
      <w:pPr>
        <w:divId w:val="1422606640"/>
        <w:rPr>
          <w:rFonts w:eastAsia="Times New Roman"/>
        </w:rPr>
      </w:pPr>
      <w:r>
        <w:rPr>
          <w:rFonts w:eastAsia="Times New Roman"/>
          <w:b/>
          <w:bCs/>
          <w:color w:val="000000"/>
          <w:sz w:val="20"/>
          <w:szCs w:val="20"/>
        </w:rPr>
        <w:t>Three Months Ended June 30, 2022 Compared to the Three Months Ended June 30, 2021</w:t>
      </w:r>
    </w:p>
    <w:p w:rsidR="00000000" w:rsidRDefault="005C524C">
      <w:pPr>
        <w:jc w:val="both"/>
        <w:divId w:val="1688409033"/>
        <w:rPr>
          <w:rFonts w:eastAsia="Times New Roman"/>
        </w:rPr>
      </w:pPr>
      <w:r>
        <w:rPr>
          <w:rFonts w:eastAsia="Times New Roman"/>
          <w:b/>
          <w:bCs/>
          <w:i/>
          <w:iCs/>
          <w:color w:val="000000"/>
          <w:sz w:val="20"/>
          <w:szCs w:val="20"/>
        </w:rPr>
        <w:t>Net Income Attributable to Holdings</w:t>
      </w:r>
    </w:p>
    <w:p w:rsidR="00000000" w:rsidRDefault="005C524C">
      <w:pPr>
        <w:ind w:firstLine="360"/>
        <w:divId w:val="105121802"/>
        <w:rPr>
          <w:rFonts w:eastAsia="Times New Roman"/>
        </w:rPr>
      </w:pPr>
      <w:r>
        <w:rPr>
          <w:rFonts w:eastAsia="Times New Roman"/>
          <w:color w:val="000000"/>
          <w:sz w:val="20"/>
          <w:szCs w:val="20"/>
        </w:rPr>
        <w:t xml:space="preserve">Net income attributable to Holdings increased by $1.6 billion, to a net income of $1.7 billion for the three months ended June 30, 2022 from a net income of $123 million in the three months ended June 30, 2021. The following notable items were the primary </w:t>
      </w:r>
      <w:r>
        <w:rPr>
          <w:rFonts w:eastAsia="Times New Roman"/>
          <w:color w:val="000000"/>
          <w:sz w:val="20"/>
          <w:szCs w:val="20"/>
        </w:rPr>
        <w:t>drivers for the change in net income (loss):</w:t>
      </w:r>
    </w:p>
    <w:p w:rsidR="00000000" w:rsidRDefault="005C524C">
      <w:pPr>
        <w:ind w:firstLine="360"/>
        <w:divId w:val="45032112"/>
        <w:rPr>
          <w:rFonts w:eastAsia="Times New Roman"/>
        </w:rPr>
      </w:pPr>
      <w:r>
        <w:rPr>
          <w:rFonts w:eastAsia="Times New Roman"/>
          <w:color w:val="000000"/>
          <w:sz w:val="20"/>
          <w:szCs w:val="20"/>
        </w:rPr>
        <w:t>Favorable items included:</w:t>
      </w:r>
    </w:p>
    <w:p w:rsidR="00000000" w:rsidRDefault="005C524C">
      <w:pPr>
        <w:ind w:hanging="360"/>
        <w:divId w:val="1239364204"/>
        <w:rPr>
          <w:rFonts w:eastAsia="Times New Roman"/>
        </w:rPr>
      </w:pPr>
      <w:r>
        <w:rPr>
          <w:rFonts w:eastAsia="Times New Roman"/>
          <w:color w:val="000000"/>
          <w:sz w:val="20"/>
          <w:szCs w:val="20"/>
        </w:rPr>
        <w:t xml:space="preserve">•Net derivative gains increased by $3.4 billion from a $1.2 billion loss from prior period due to equity market depreciation in the second quarter 2022 and impacts from non-performance </w:t>
      </w:r>
      <w:r>
        <w:rPr>
          <w:rFonts w:eastAsia="Times New Roman"/>
          <w:color w:val="000000"/>
          <w:sz w:val="20"/>
          <w:szCs w:val="20"/>
        </w:rPr>
        <w:t>risk and credit spreads on embedded derivatives due to spread widening.</w:t>
      </w:r>
    </w:p>
    <w:p w:rsidR="00000000" w:rsidRDefault="005C524C">
      <w:pPr>
        <w:ind w:hanging="360"/>
        <w:divId w:val="1863744496"/>
        <w:rPr>
          <w:rFonts w:eastAsia="Times New Roman"/>
        </w:rPr>
      </w:pPr>
      <w:r>
        <w:rPr>
          <w:rFonts w:eastAsia="Times New Roman"/>
          <w:color w:val="000000"/>
          <w:sz w:val="20"/>
          <w:szCs w:val="20"/>
        </w:rPr>
        <w:t>•Net income attributable to noncontrolling interest decreased by $55 million mainly due to lower AB pre-tax income and lower consolidated VIE income.</w:t>
      </w:r>
    </w:p>
    <w:p w:rsidR="00000000" w:rsidRDefault="005C524C">
      <w:pPr>
        <w:ind w:firstLine="360"/>
        <w:divId w:val="1463159166"/>
        <w:rPr>
          <w:rFonts w:eastAsia="Times New Roman"/>
        </w:rPr>
      </w:pPr>
      <w:r>
        <w:rPr>
          <w:rFonts w:eastAsia="Times New Roman"/>
          <w:color w:val="000000"/>
          <w:sz w:val="20"/>
          <w:szCs w:val="20"/>
        </w:rPr>
        <w:t>These were partially offset by the</w:t>
      </w:r>
      <w:r>
        <w:rPr>
          <w:rFonts w:eastAsia="Times New Roman"/>
          <w:color w:val="000000"/>
          <w:sz w:val="20"/>
          <w:szCs w:val="20"/>
        </w:rPr>
        <w:t xml:space="preserve"> following unfavorable items:</w:t>
      </w:r>
    </w:p>
    <w:p w:rsidR="00000000" w:rsidRDefault="005C524C">
      <w:pPr>
        <w:ind w:hanging="360"/>
        <w:divId w:val="749081115"/>
        <w:rPr>
          <w:rFonts w:eastAsia="Times New Roman"/>
        </w:rPr>
      </w:pPr>
      <w:r>
        <w:rPr>
          <w:rFonts w:eastAsia="Times New Roman"/>
          <w:color w:val="000000"/>
          <w:sz w:val="20"/>
          <w:szCs w:val="20"/>
        </w:rPr>
        <w:t>•Investment gains decreased by $652 million mainly due to the rebalancing program to reduce duration during 2022.</w:t>
      </w:r>
    </w:p>
    <w:p w:rsidR="00000000" w:rsidRDefault="005C524C">
      <w:pPr>
        <w:ind w:hanging="360"/>
        <w:divId w:val="436828777"/>
        <w:rPr>
          <w:rFonts w:eastAsia="Times New Roman"/>
        </w:rPr>
      </w:pPr>
      <w:r>
        <w:rPr>
          <w:rFonts w:eastAsia="Times New Roman"/>
          <w:color w:val="000000"/>
          <w:sz w:val="20"/>
          <w:szCs w:val="20"/>
        </w:rPr>
        <w:t>•Net investment income decreased by $322 million mainly due to lower alternative investment income, lower prepay</w:t>
      </w:r>
      <w:r>
        <w:rPr>
          <w:rFonts w:eastAsia="Times New Roman"/>
          <w:color w:val="000000"/>
          <w:sz w:val="20"/>
          <w:szCs w:val="20"/>
        </w:rPr>
        <w:t>ments, lower assets due to the Venerable Transaction, and lower income from seed capital investments (offset by hedging gains in derivatives) partially offset higher income from TIPS (offset in inflation related hedging losses) and GA optimization.</w:t>
      </w:r>
    </w:p>
    <w:p w:rsidR="00000000" w:rsidRDefault="005C524C">
      <w:pPr>
        <w:ind w:hanging="360"/>
        <w:divId w:val="1221819003"/>
        <w:rPr>
          <w:rFonts w:eastAsia="Times New Roman"/>
        </w:rPr>
      </w:pPr>
      <w:r>
        <w:rPr>
          <w:rFonts w:eastAsia="Times New Roman"/>
          <w:color w:val="000000"/>
          <w:sz w:val="20"/>
          <w:szCs w:val="20"/>
        </w:rPr>
        <w:t>•Fee-ty</w:t>
      </w:r>
      <w:r>
        <w:rPr>
          <w:rFonts w:eastAsia="Times New Roman"/>
          <w:color w:val="000000"/>
          <w:sz w:val="20"/>
          <w:szCs w:val="20"/>
        </w:rPr>
        <w:t>pe revenue decreased by $236 million mainly driven by lower advisory base fees and performance-based fees and distribution revenues in our Investment Management &amp; Research segment as a result of lower average AUM due to net outflows and market depreciation</w:t>
      </w:r>
      <w:r>
        <w:rPr>
          <w:rFonts w:eastAsia="Times New Roman"/>
          <w:color w:val="000000"/>
          <w:sz w:val="20"/>
          <w:szCs w:val="20"/>
        </w:rPr>
        <w:t xml:space="preserve"> as well as lower average Separate Accounts AV within our Individual Retirement segment, as a result of lower equity markets and the impact of AV ceded to Venerable, partially offset by commission reimbursements in Other Income.</w:t>
      </w:r>
    </w:p>
    <w:p w:rsidR="00000000" w:rsidRDefault="005C524C">
      <w:pPr>
        <w:ind w:hanging="360"/>
        <w:divId w:val="1531920333"/>
        <w:rPr>
          <w:rFonts w:eastAsia="Times New Roman"/>
        </w:rPr>
      </w:pPr>
      <w:r>
        <w:rPr>
          <w:rFonts w:eastAsia="Times New Roman"/>
          <w:color w:val="000000"/>
          <w:sz w:val="20"/>
          <w:szCs w:val="20"/>
        </w:rPr>
        <w:t>•Compensation, benefits and</w:t>
      </w:r>
      <w:r>
        <w:rPr>
          <w:rFonts w:eastAsia="Times New Roman"/>
          <w:color w:val="000000"/>
          <w:sz w:val="20"/>
          <w:szCs w:val="20"/>
        </w:rPr>
        <w:t xml:space="preserve"> other operating expenses increased by $86 million mainly due to higher litigation reserve accruals.</w:t>
      </w:r>
    </w:p>
    <w:p w:rsidR="00000000" w:rsidRDefault="005C524C">
      <w:pPr>
        <w:ind w:hanging="360"/>
        <w:divId w:val="615674796"/>
        <w:rPr>
          <w:rFonts w:eastAsia="Times New Roman"/>
        </w:rPr>
      </w:pPr>
      <w:r>
        <w:rPr>
          <w:rFonts w:eastAsia="Times New Roman"/>
          <w:color w:val="000000"/>
          <w:sz w:val="20"/>
          <w:szCs w:val="20"/>
        </w:rPr>
        <w:t>•Policyholders’ benefits increased by $86 million mainly due to the equity market depreciation in the second quarter 2022 compared to equity market appreci</w:t>
      </w:r>
      <w:r>
        <w:rPr>
          <w:rFonts w:eastAsia="Times New Roman"/>
          <w:color w:val="000000"/>
          <w:sz w:val="20"/>
          <w:szCs w:val="20"/>
        </w:rPr>
        <w:t>ation during the second quarter 2021(offset in Net Derivative gains) partially offset by the impact of the Venerable Transaction on GMxB reserve accrual and lower mortality in our Protection Solutions segment.</w:t>
      </w:r>
    </w:p>
    <w:p w:rsidR="00000000" w:rsidRDefault="005C524C">
      <w:pPr>
        <w:ind w:hanging="360"/>
        <w:jc w:val="both"/>
        <w:divId w:val="746077954"/>
        <w:rPr>
          <w:rFonts w:eastAsia="Times New Roman"/>
        </w:rPr>
      </w:pPr>
      <w:r>
        <w:rPr>
          <w:rFonts w:eastAsia="Times New Roman"/>
          <w:color w:val="000000"/>
          <w:sz w:val="20"/>
          <w:szCs w:val="20"/>
        </w:rPr>
        <w:t xml:space="preserve">•Amortization of DAC increased by $54 million </w:t>
      </w:r>
      <w:r>
        <w:rPr>
          <w:rFonts w:eastAsia="Times New Roman"/>
          <w:color w:val="000000"/>
          <w:sz w:val="20"/>
          <w:szCs w:val="20"/>
        </w:rPr>
        <w:t xml:space="preserve">mainly due to the impact of equity market depreciation on SCS. </w:t>
      </w:r>
    </w:p>
    <w:p w:rsidR="00000000" w:rsidRDefault="005C524C">
      <w:pPr>
        <w:ind w:hanging="360"/>
        <w:jc w:val="both"/>
        <w:divId w:val="1521384894"/>
        <w:rPr>
          <w:rFonts w:eastAsia="Times New Roman"/>
        </w:rPr>
      </w:pPr>
      <w:r>
        <w:rPr>
          <w:rFonts w:eastAsia="Times New Roman"/>
          <w:color w:val="000000"/>
          <w:sz w:val="20"/>
          <w:szCs w:val="20"/>
        </w:rPr>
        <w:t xml:space="preserve">•Income tax expense increased by $446 million mainly due to an increase in pre-tax income in the second quarter of 2022. </w:t>
      </w:r>
    </w:p>
    <w:p w:rsidR="00000000" w:rsidRDefault="005C524C">
      <w:pPr>
        <w:jc w:val="both"/>
        <w:divId w:val="198398003"/>
        <w:rPr>
          <w:rFonts w:eastAsia="Times New Roman"/>
        </w:rPr>
      </w:pPr>
      <w:r>
        <w:rPr>
          <w:rFonts w:eastAsia="Times New Roman"/>
          <w:b/>
          <w:bCs/>
          <w:i/>
          <w:iCs/>
          <w:color w:val="000000"/>
          <w:sz w:val="20"/>
          <w:szCs w:val="20"/>
        </w:rPr>
        <w:t>Non-GAAP Operating Earnings</w:t>
      </w:r>
    </w:p>
    <w:p w:rsidR="00000000" w:rsidRDefault="005C524C">
      <w:pPr>
        <w:ind w:firstLine="360"/>
        <w:divId w:val="1703435754"/>
        <w:rPr>
          <w:rFonts w:eastAsia="Times New Roman"/>
        </w:rPr>
      </w:pPr>
      <w:r>
        <w:rPr>
          <w:rFonts w:eastAsia="Times New Roman"/>
          <w:color w:val="000000"/>
          <w:sz w:val="20"/>
          <w:szCs w:val="20"/>
        </w:rPr>
        <w:t>Non-GAAP Operating Earnings decreased by $</w:t>
      </w:r>
      <w:r>
        <w:rPr>
          <w:rFonts w:eastAsia="Times New Roman"/>
          <w:color w:val="000000"/>
          <w:sz w:val="20"/>
          <w:szCs w:val="20"/>
        </w:rPr>
        <w:t>232 million to $526 million for the three months ended June 30, 2022 from $758 million in the three months ended June 30, 2021. The following notable items were the primary drivers for the change in Non-GAAP Operating Earnings:</w:t>
      </w:r>
    </w:p>
    <w:p w:rsidR="00000000" w:rsidRDefault="005C524C">
      <w:pPr>
        <w:ind w:firstLine="360"/>
        <w:divId w:val="115098734"/>
        <w:rPr>
          <w:rFonts w:eastAsia="Times New Roman"/>
        </w:rPr>
      </w:pPr>
      <w:r>
        <w:rPr>
          <w:rFonts w:eastAsia="Times New Roman"/>
          <w:color w:val="000000"/>
          <w:sz w:val="20"/>
          <w:szCs w:val="20"/>
        </w:rPr>
        <w:t>Unfavorable items included:</w:t>
      </w:r>
    </w:p>
    <w:p w:rsidR="00000000" w:rsidRDefault="005C524C">
      <w:pPr>
        <w:ind w:hanging="180"/>
        <w:divId w:val="1240214049"/>
        <w:rPr>
          <w:rFonts w:eastAsia="Times New Roman"/>
        </w:rPr>
      </w:pPr>
      <w:r>
        <w:rPr>
          <w:rFonts w:eastAsia="Times New Roman"/>
          <w:color w:val="000000"/>
          <w:sz w:val="20"/>
          <w:szCs w:val="20"/>
        </w:rPr>
        <w:t>•Fee-type revenue decreased by $241 million mainly due to lower advisory base fees and performance-based fees and distribution revenues in our Investment Management &amp; Research segment as a result of lower average AUM due to net outflows and market deprecia</w:t>
      </w:r>
      <w:r>
        <w:rPr>
          <w:rFonts w:eastAsia="Times New Roman"/>
          <w:color w:val="000000"/>
          <w:sz w:val="20"/>
          <w:szCs w:val="20"/>
        </w:rPr>
        <w:t>tion as well as lower average Separate Accounts AV within our Individual Retirement segment, as a result of lower equity markets and the impact of AV ceded to Venerable, partially offset by commission reimbursements in Other Income.</w:t>
      </w:r>
    </w:p>
    <w:p w:rsidR="00000000" w:rsidRDefault="005C524C">
      <w:pPr>
        <w:ind w:hanging="180"/>
        <w:divId w:val="1194421385"/>
        <w:rPr>
          <w:rFonts w:eastAsia="Times New Roman"/>
        </w:rPr>
      </w:pPr>
      <w:r>
        <w:rPr>
          <w:rFonts w:eastAsia="Times New Roman"/>
          <w:color w:val="000000"/>
          <w:sz w:val="20"/>
          <w:szCs w:val="20"/>
        </w:rPr>
        <w:t xml:space="preserve">•Net investment income </w:t>
      </w:r>
      <w:r>
        <w:rPr>
          <w:rFonts w:eastAsia="Times New Roman"/>
          <w:color w:val="000000"/>
          <w:sz w:val="20"/>
          <w:szCs w:val="20"/>
        </w:rPr>
        <w:t xml:space="preserve">decreased by $218 million mainly due to lower alternative investment income, lower prepayments, lower assets due to the Venerable Transaction, and lower income from seed capital investments (offset </w:t>
      </w:r>
    </w:p>
    <w:p w:rsidR="00000000" w:rsidRDefault="005C524C">
      <w:pPr>
        <w:jc w:val="center"/>
        <w:divId w:val="1855992513"/>
        <w:rPr>
          <w:rFonts w:eastAsia="Times New Roman"/>
        </w:rPr>
      </w:pPr>
      <w:r>
        <w:rPr>
          <w:rFonts w:eastAsia="Times New Roman"/>
          <w:color w:val="000000"/>
          <w:sz w:val="20"/>
          <w:szCs w:val="20"/>
        </w:rPr>
        <w:t>79</w:t>
      </w:r>
    </w:p>
    <w:p w:rsidR="00000000" w:rsidRDefault="005C524C">
      <w:pPr>
        <w:rPr>
          <w:rFonts w:eastAsia="Times New Roman"/>
        </w:rPr>
      </w:pPr>
      <w:r>
        <w:rPr>
          <w:rFonts w:eastAsia="Times New Roman"/>
        </w:rPr>
        <w:pict>
          <v:rect id="_x0000_i1105" style="width:0;height:1.5pt" o:hralign="center" o:hrstd="t" o:hr="t" fillcolor="#a0a0a0" stroked="f"/>
        </w:pict>
      </w:r>
    </w:p>
    <w:p w:rsidR="00000000" w:rsidRDefault="005C524C">
      <w:pPr>
        <w:ind w:firstLine="360"/>
        <w:divId w:val="161297613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281155282"/>
        <w:rPr>
          <w:rFonts w:eastAsia="Times New Roman"/>
        </w:rPr>
      </w:pPr>
      <w:r>
        <w:rPr>
          <w:rFonts w:eastAsia="Times New Roman"/>
          <w:color w:val="000000"/>
          <w:sz w:val="20"/>
          <w:szCs w:val="20"/>
        </w:rPr>
        <w:t>by hedging gains in derivatives) partially offset higher income from TIPS (offset in inflation related hedging losses) and GA optimization.</w:t>
      </w:r>
    </w:p>
    <w:p w:rsidR="00000000" w:rsidRDefault="005C524C">
      <w:pPr>
        <w:ind w:hanging="180"/>
        <w:divId w:val="2036416384"/>
        <w:rPr>
          <w:rFonts w:eastAsia="Times New Roman"/>
        </w:rPr>
      </w:pPr>
      <w:r>
        <w:rPr>
          <w:rFonts w:eastAsia="Times New Roman"/>
          <w:color w:val="000000"/>
          <w:sz w:val="20"/>
          <w:szCs w:val="20"/>
        </w:rPr>
        <w:t>•Policyholders’ benefits increased by $171 million mainly</w:t>
      </w:r>
      <w:r>
        <w:rPr>
          <w:rFonts w:eastAsia="Times New Roman"/>
          <w:color w:val="000000"/>
          <w:sz w:val="20"/>
          <w:szCs w:val="20"/>
        </w:rPr>
        <w:t xml:space="preserve"> due to equity market depreciation in the second quarter 2022 compared to equity market appreciation during the second quarter 2021(offset in Net Derivative gains) partially offset by the impact of the Venerable Transaction on GMxB reserve accrual and lowe</w:t>
      </w:r>
      <w:r>
        <w:rPr>
          <w:rFonts w:eastAsia="Times New Roman"/>
          <w:color w:val="000000"/>
          <w:sz w:val="20"/>
          <w:szCs w:val="20"/>
        </w:rPr>
        <w:t>r mortality in our Protection Solutions segment.</w:t>
      </w:r>
    </w:p>
    <w:p w:rsidR="00000000" w:rsidRDefault="005C524C">
      <w:pPr>
        <w:ind w:hanging="180"/>
        <w:divId w:val="1004167155"/>
        <w:rPr>
          <w:rFonts w:eastAsia="Times New Roman"/>
        </w:rPr>
      </w:pPr>
      <w:r>
        <w:rPr>
          <w:rFonts w:eastAsia="Times New Roman"/>
          <w:color w:val="000000"/>
          <w:sz w:val="20"/>
          <w:szCs w:val="20"/>
        </w:rPr>
        <w:t xml:space="preserve">•Compensation, benefits and other operating costs and expenses increased by $21 million mainly due to unfavorable COLI impacts and higher consulting expenses partially offset by lower incentive compensation </w:t>
      </w:r>
      <w:r>
        <w:rPr>
          <w:rFonts w:eastAsia="Times New Roman"/>
          <w:color w:val="000000"/>
          <w:sz w:val="20"/>
          <w:szCs w:val="20"/>
        </w:rPr>
        <w:t xml:space="preserve">in our Investment Management &amp; Research segment and lower fund expenses from lower average assets due to the Venerable Transaction </w:t>
      </w:r>
    </w:p>
    <w:p w:rsidR="00000000" w:rsidRDefault="005C524C">
      <w:pPr>
        <w:ind w:hanging="180"/>
        <w:jc w:val="both"/>
        <w:divId w:val="119079030"/>
        <w:rPr>
          <w:rFonts w:eastAsia="Times New Roman"/>
        </w:rPr>
      </w:pPr>
      <w:r>
        <w:rPr>
          <w:rFonts w:eastAsia="Times New Roman"/>
          <w:color w:val="000000"/>
          <w:sz w:val="20"/>
          <w:szCs w:val="20"/>
        </w:rPr>
        <w:t>•</w:t>
      </w:r>
      <w:r>
        <w:rPr>
          <w:rFonts w:eastAsia="Times New Roman"/>
          <w:color w:val="000000"/>
          <w:sz w:val="20"/>
          <w:szCs w:val="20"/>
        </w:rPr>
        <w:t>Amortization of DAC increased by $14 million mainly due to equity market depreciation during first quarter 2022.</w:t>
      </w:r>
    </w:p>
    <w:p w:rsidR="00000000" w:rsidRDefault="005C524C">
      <w:pPr>
        <w:ind w:firstLine="360"/>
        <w:divId w:val="1125467889"/>
        <w:rPr>
          <w:rFonts w:eastAsia="Times New Roman"/>
        </w:rPr>
      </w:pPr>
      <w:r>
        <w:rPr>
          <w:rFonts w:eastAsia="Times New Roman"/>
          <w:color w:val="000000"/>
          <w:sz w:val="20"/>
          <w:szCs w:val="20"/>
        </w:rPr>
        <w:t>These were partially offset by the following favorable items:</w:t>
      </w:r>
    </w:p>
    <w:p w:rsidR="00000000" w:rsidRDefault="005C524C">
      <w:pPr>
        <w:ind w:hanging="180"/>
        <w:divId w:val="955409073"/>
        <w:rPr>
          <w:rFonts w:eastAsia="Times New Roman"/>
        </w:rPr>
      </w:pPr>
      <w:r>
        <w:rPr>
          <w:rFonts w:eastAsia="Times New Roman"/>
          <w:color w:val="000000"/>
          <w:sz w:val="20"/>
          <w:szCs w:val="20"/>
        </w:rPr>
        <w:t>•Net derivative gains increased by $356 million from a $110 million loss in the p</w:t>
      </w:r>
      <w:r>
        <w:rPr>
          <w:rFonts w:eastAsia="Times New Roman"/>
          <w:color w:val="000000"/>
          <w:sz w:val="20"/>
          <w:szCs w:val="20"/>
        </w:rPr>
        <w:t>rior period mainly due to equity market depreciation (offset in Policyholder’s benefits) partially offset by inflation related hedging losses on TIPS .</w:t>
      </w:r>
    </w:p>
    <w:p w:rsidR="00000000" w:rsidRDefault="005C524C">
      <w:pPr>
        <w:ind w:hanging="180"/>
        <w:divId w:val="1315258964"/>
        <w:rPr>
          <w:rFonts w:eastAsia="Times New Roman"/>
        </w:rPr>
      </w:pPr>
      <w:r>
        <w:rPr>
          <w:rFonts w:eastAsia="Times New Roman"/>
          <w:color w:val="000000"/>
          <w:sz w:val="20"/>
          <w:szCs w:val="20"/>
        </w:rPr>
        <w:t>•Earnings attributable to the noncontrolling interest decreased by $24 million mainly due to lower AB Op</w:t>
      </w:r>
      <w:r>
        <w:rPr>
          <w:rFonts w:eastAsia="Times New Roman"/>
          <w:color w:val="000000"/>
          <w:sz w:val="20"/>
          <w:szCs w:val="20"/>
        </w:rPr>
        <w:t>erating earnings in our Investment Management and Research segment.</w:t>
      </w:r>
    </w:p>
    <w:p w:rsidR="00000000" w:rsidRDefault="005C524C">
      <w:pPr>
        <w:ind w:hanging="180"/>
        <w:divId w:val="836923564"/>
        <w:rPr>
          <w:rFonts w:eastAsia="Times New Roman"/>
        </w:rPr>
      </w:pPr>
      <w:r>
        <w:rPr>
          <w:rFonts w:eastAsia="Times New Roman"/>
          <w:color w:val="000000"/>
          <w:sz w:val="20"/>
          <w:szCs w:val="20"/>
        </w:rPr>
        <w:t>•Income tax expense decreased by $49 million driven by lower pre-tax earnings, partially offset by a higher effective tax rate</w:t>
      </w:r>
    </w:p>
    <w:p w:rsidR="00000000" w:rsidRDefault="005C524C">
      <w:pPr>
        <w:ind w:hanging="180"/>
        <w:divId w:val="545416567"/>
        <w:rPr>
          <w:rFonts w:eastAsia="Times New Roman"/>
        </w:rPr>
      </w:pPr>
    </w:p>
    <w:p w:rsidR="00000000" w:rsidRDefault="005C524C">
      <w:pPr>
        <w:divId w:val="638654146"/>
        <w:rPr>
          <w:rFonts w:eastAsia="Times New Roman"/>
        </w:rPr>
      </w:pPr>
      <w:r>
        <w:rPr>
          <w:rFonts w:eastAsia="Times New Roman"/>
          <w:b/>
          <w:bCs/>
          <w:color w:val="000000"/>
          <w:sz w:val="20"/>
          <w:szCs w:val="20"/>
          <w:shd w:val="clear" w:color="auto" w:fill="FFFFFF"/>
        </w:rPr>
        <w:t>Six Months Ended June 30, 2022 Compared to the Six Months E</w:t>
      </w:r>
      <w:r>
        <w:rPr>
          <w:rFonts w:eastAsia="Times New Roman"/>
          <w:b/>
          <w:bCs/>
          <w:color w:val="000000"/>
          <w:sz w:val="20"/>
          <w:szCs w:val="20"/>
          <w:shd w:val="clear" w:color="auto" w:fill="FFFFFF"/>
        </w:rPr>
        <w:t>nded June 30, 2021</w:t>
      </w:r>
    </w:p>
    <w:p w:rsidR="00000000" w:rsidRDefault="005C524C">
      <w:pPr>
        <w:jc w:val="both"/>
        <w:divId w:val="656230773"/>
        <w:rPr>
          <w:rFonts w:eastAsia="Times New Roman"/>
        </w:rPr>
      </w:pPr>
      <w:r>
        <w:rPr>
          <w:rFonts w:eastAsia="Times New Roman"/>
          <w:b/>
          <w:bCs/>
          <w:i/>
          <w:iCs/>
          <w:color w:val="000000"/>
          <w:sz w:val="20"/>
          <w:szCs w:val="20"/>
          <w:shd w:val="clear" w:color="auto" w:fill="FFFFFF"/>
        </w:rPr>
        <w:t>Net Income Attributable to Holdings</w:t>
      </w:r>
    </w:p>
    <w:p w:rsidR="00000000" w:rsidRDefault="005C524C">
      <w:pPr>
        <w:ind w:firstLine="360"/>
        <w:divId w:val="637763523"/>
        <w:rPr>
          <w:rFonts w:eastAsia="Times New Roman"/>
        </w:rPr>
      </w:pPr>
      <w:r>
        <w:rPr>
          <w:rFonts w:eastAsia="Times New Roman"/>
          <w:color w:val="000000"/>
          <w:sz w:val="20"/>
          <w:szCs w:val="20"/>
        </w:rPr>
        <w:t xml:space="preserve">Net loss attributable to Holdings decreased by $3.7 billion to a net income of $2.3 billion for the six months ended June 30, 2022 from a net loss of $1.4 billion for the six months ended June 30, 2021. The following notable items were the primary drivers </w:t>
      </w:r>
      <w:r>
        <w:rPr>
          <w:rFonts w:eastAsia="Times New Roman"/>
          <w:color w:val="000000"/>
          <w:sz w:val="20"/>
          <w:szCs w:val="20"/>
        </w:rPr>
        <w:t>for the change in net income (loss):</w:t>
      </w:r>
    </w:p>
    <w:p w:rsidR="00000000" w:rsidRDefault="005C524C">
      <w:pPr>
        <w:divId w:val="13311107"/>
        <w:rPr>
          <w:rFonts w:eastAsia="Times New Roman"/>
        </w:rPr>
      </w:pPr>
      <w:r>
        <w:rPr>
          <w:rFonts w:eastAsia="Times New Roman"/>
          <w:color w:val="000000"/>
          <w:sz w:val="20"/>
          <w:szCs w:val="20"/>
        </w:rPr>
        <w:t>Favorable items included:</w:t>
      </w:r>
    </w:p>
    <w:p w:rsidR="00000000" w:rsidRDefault="005C524C">
      <w:pPr>
        <w:ind w:hanging="360"/>
        <w:divId w:val="1506358375"/>
        <w:rPr>
          <w:rFonts w:eastAsia="Times New Roman"/>
        </w:rPr>
      </w:pPr>
      <w:r>
        <w:rPr>
          <w:rFonts w:eastAsia="Times New Roman"/>
          <w:color w:val="000000"/>
          <w:sz w:val="20"/>
          <w:szCs w:val="20"/>
        </w:rPr>
        <w:t>•Net derivative gains increased $6.8 billion from a $3.7 billion loss in prior period driven by reduced interest rate derivative positions and equity market depreciation during the first half o</w:t>
      </w:r>
      <w:r>
        <w:rPr>
          <w:rFonts w:eastAsia="Times New Roman"/>
          <w:color w:val="000000"/>
          <w:sz w:val="20"/>
          <w:szCs w:val="20"/>
        </w:rPr>
        <w:t>f 2022 as compared to the first half of 2021.</w:t>
      </w:r>
    </w:p>
    <w:p w:rsidR="00000000" w:rsidRDefault="005C524C">
      <w:pPr>
        <w:ind w:hanging="360"/>
        <w:divId w:val="1894080145"/>
        <w:rPr>
          <w:rFonts w:eastAsia="Times New Roman"/>
        </w:rPr>
      </w:pPr>
      <w:r>
        <w:rPr>
          <w:rFonts w:eastAsia="Times New Roman"/>
          <w:color w:val="000000"/>
          <w:sz w:val="20"/>
          <w:szCs w:val="20"/>
        </w:rPr>
        <w:t>•Net income attributable to noncontrolling interest decreased by $77 million mainly due to losses from AB’s consolidated VIEs.</w:t>
      </w:r>
    </w:p>
    <w:p w:rsidR="00000000" w:rsidRDefault="005C524C">
      <w:pPr>
        <w:divId w:val="31805293"/>
        <w:rPr>
          <w:rFonts w:eastAsia="Times New Roman"/>
        </w:rPr>
      </w:pPr>
      <w:r>
        <w:rPr>
          <w:rFonts w:eastAsia="Times New Roman"/>
          <w:color w:val="000000"/>
          <w:sz w:val="20"/>
          <w:szCs w:val="20"/>
        </w:rPr>
        <w:t>These were partially offset by the following unfavorable items:</w:t>
      </w:r>
    </w:p>
    <w:p w:rsidR="00000000" w:rsidRDefault="005C524C">
      <w:pPr>
        <w:ind w:hanging="360"/>
        <w:divId w:val="590359080"/>
        <w:rPr>
          <w:rFonts w:eastAsia="Times New Roman"/>
        </w:rPr>
      </w:pPr>
      <w:r>
        <w:rPr>
          <w:rFonts w:eastAsia="Times New Roman"/>
          <w:color w:val="000000"/>
          <w:sz w:val="20"/>
          <w:szCs w:val="20"/>
        </w:rPr>
        <w:t>•Investment gains d</w:t>
      </w:r>
      <w:r>
        <w:rPr>
          <w:rFonts w:eastAsia="Times New Roman"/>
          <w:color w:val="000000"/>
          <w:sz w:val="20"/>
          <w:szCs w:val="20"/>
        </w:rPr>
        <w:t>ecreased by $1.2 billion mainly due to the rebalancing in the General Account portfolio associated with the Venerable Transaction and the rebalancing program to reduce duration during the first half of 2022.</w:t>
      </w:r>
    </w:p>
    <w:p w:rsidR="00000000" w:rsidRDefault="005C524C">
      <w:pPr>
        <w:ind w:hanging="360"/>
        <w:divId w:val="1137798252"/>
        <w:rPr>
          <w:rFonts w:eastAsia="Times New Roman"/>
        </w:rPr>
      </w:pPr>
      <w:r>
        <w:rPr>
          <w:rFonts w:eastAsia="Times New Roman"/>
          <w:color w:val="000000"/>
          <w:sz w:val="20"/>
          <w:szCs w:val="20"/>
        </w:rPr>
        <w:t>•Net investment income decreased by $402 million</w:t>
      </w:r>
      <w:r>
        <w:rPr>
          <w:rFonts w:eastAsia="Times New Roman"/>
          <w:color w:val="000000"/>
          <w:sz w:val="20"/>
          <w:szCs w:val="20"/>
        </w:rPr>
        <w:t xml:space="preserve"> mainly due to lower alternative investment income, lower prepayments , lower assets due to the Venerable Transaction, and lower income from seed capital investments (offset by hedging gains in derivatives) partially offset higher income from TIPS (offset </w:t>
      </w:r>
      <w:r>
        <w:rPr>
          <w:rFonts w:eastAsia="Times New Roman"/>
          <w:color w:val="000000"/>
          <w:sz w:val="20"/>
          <w:szCs w:val="20"/>
        </w:rPr>
        <w:t xml:space="preserve">in inflation related hedging losses) and GA optimization. </w:t>
      </w:r>
    </w:p>
    <w:p w:rsidR="00000000" w:rsidRDefault="005C524C">
      <w:pPr>
        <w:ind w:hanging="360"/>
        <w:divId w:val="345909683"/>
        <w:rPr>
          <w:rFonts w:eastAsia="Times New Roman"/>
        </w:rPr>
      </w:pPr>
      <w:r>
        <w:rPr>
          <w:rFonts w:eastAsia="Times New Roman"/>
          <w:color w:val="000000"/>
          <w:sz w:val="20"/>
          <w:szCs w:val="20"/>
          <w:shd w:val="clear" w:color="auto" w:fill="FFFFFF"/>
        </w:rPr>
        <w:t>•</w:t>
      </w:r>
      <w:r>
        <w:rPr>
          <w:rFonts w:eastAsia="Times New Roman"/>
          <w:color w:val="000000"/>
          <w:sz w:val="20"/>
          <w:szCs w:val="20"/>
        </w:rPr>
        <w:t>Fee-type revenue decreased by $222 million mainly driven by lower fees in our Individual Retirement segment as a result of lower equity markets and fee-income ceded to Venerable partially offset b</w:t>
      </w:r>
      <w:r>
        <w:rPr>
          <w:rFonts w:eastAsia="Times New Roman"/>
          <w:color w:val="000000"/>
          <w:sz w:val="20"/>
          <w:szCs w:val="20"/>
        </w:rPr>
        <w:t xml:space="preserve">y higher base fees, performance fees and distribution revenues in our Investment Management &amp; Research segment primarily as a result of higher average AUM and higher premiums due to growth in Employee Benefits in our Protection Solutions segment. </w:t>
      </w:r>
    </w:p>
    <w:p w:rsidR="00000000" w:rsidRDefault="005C524C">
      <w:pPr>
        <w:ind w:hanging="360"/>
        <w:divId w:val="1390611157"/>
        <w:rPr>
          <w:rFonts w:eastAsia="Times New Roman"/>
        </w:rPr>
      </w:pPr>
      <w:r>
        <w:rPr>
          <w:rFonts w:eastAsia="Times New Roman"/>
          <w:color w:val="000000"/>
          <w:sz w:val="20"/>
          <w:szCs w:val="20"/>
        </w:rPr>
        <w:t>•Policyh</w:t>
      </w:r>
      <w:r>
        <w:rPr>
          <w:rFonts w:eastAsia="Times New Roman"/>
          <w:color w:val="000000"/>
          <w:sz w:val="20"/>
          <w:szCs w:val="20"/>
        </w:rPr>
        <w:t>olders’ benefits increased by $207 million mainly due to the equity market depreciation in the second quarter 2022 compared to equity market appreciation during the second quarter 2021(offset in Net Derivative gains) partially offset by impact of the Vener</w:t>
      </w:r>
      <w:r>
        <w:rPr>
          <w:rFonts w:eastAsia="Times New Roman"/>
          <w:color w:val="000000"/>
          <w:sz w:val="20"/>
          <w:szCs w:val="20"/>
        </w:rPr>
        <w:t>able Transaction on GMxB reserve accrual and lower mortality and lower accrual of PFBL reserves in our Protection Solutions segment.</w:t>
      </w:r>
    </w:p>
    <w:p w:rsidR="00000000" w:rsidRDefault="005C524C">
      <w:pPr>
        <w:ind w:hanging="360"/>
        <w:divId w:val="557715338"/>
        <w:rPr>
          <w:rFonts w:eastAsia="Times New Roman"/>
        </w:rPr>
      </w:pPr>
      <w:r>
        <w:rPr>
          <w:rFonts w:eastAsia="Times New Roman"/>
          <w:color w:val="000000"/>
          <w:sz w:val="20"/>
          <w:szCs w:val="20"/>
        </w:rPr>
        <w:t>•Amortization of DAC increased by $148 million mainly due to unfavorable markets during first half of 2022 compared to favo</w:t>
      </w:r>
      <w:r>
        <w:rPr>
          <w:rFonts w:eastAsia="Times New Roman"/>
          <w:color w:val="000000"/>
          <w:sz w:val="20"/>
          <w:szCs w:val="20"/>
        </w:rPr>
        <w:t xml:space="preserve">rable markets during first half of 2021. </w:t>
      </w:r>
    </w:p>
    <w:p w:rsidR="00000000" w:rsidRDefault="005C524C">
      <w:pPr>
        <w:jc w:val="center"/>
        <w:divId w:val="556821461"/>
        <w:rPr>
          <w:rFonts w:eastAsia="Times New Roman"/>
        </w:rPr>
      </w:pPr>
      <w:r>
        <w:rPr>
          <w:rFonts w:eastAsia="Times New Roman"/>
          <w:color w:val="000000"/>
          <w:sz w:val="20"/>
          <w:szCs w:val="20"/>
        </w:rPr>
        <w:t>80</w:t>
      </w:r>
    </w:p>
    <w:p w:rsidR="00000000" w:rsidRDefault="005C524C">
      <w:pPr>
        <w:rPr>
          <w:rFonts w:eastAsia="Times New Roman"/>
        </w:rPr>
      </w:pPr>
      <w:r>
        <w:rPr>
          <w:rFonts w:eastAsia="Times New Roman"/>
        </w:rPr>
        <w:pict>
          <v:rect id="_x0000_i1106" style="width:0;height:1.5pt" o:hralign="center" o:hrstd="t" o:hr="t" fillcolor="#a0a0a0" stroked="f"/>
        </w:pict>
      </w:r>
    </w:p>
    <w:p w:rsidR="00000000" w:rsidRDefault="005C524C">
      <w:pPr>
        <w:ind w:firstLine="360"/>
        <w:divId w:val="94588497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360"/>
        <w:divId w:val="418987333"/>
        <w:rPr>
          <w:rFonts w:eastAsia="Times New Roman"/>
        </w:rPr>
      </w:pPr>
      <w:r>
        <w:rPr>
          <w:rFonts w:eastAsia="Times New Roman"/>
          <w:color w:val="000000"/>
          <w:sz w:val="20"/>
          <w:szCs w:val="20"/>
        </w:rPr>
        <w:t>•Commissions and distribution-related payments increased by $37 million mainly due to growth in b</w:t>
      </w:r>
      <w:r>
        <w:rPr>
          <w:rFonts w:eastAsia="Times New Roman"/>
          <w:color w:val="000000"/>
          <w:sz w:val="20"/>
          <w:szCs w:val="20"/>
        </w:rPr>
        <w:t>roker dealer sales and higher sales of Employee Benefits products in our Protection Solutions segment.</w:t>
      </w:r>
    </w:p>
    <w:p w:rsidR="00000000" w:rsidRDefault="005C524C">
      <w:pPr>
        <w:ind w:hanging="360"/>
        <w:divId w:val="263003878"/>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Compensation, benefits and other operating expenses increased by $30 million mainly due to higher portfolio servicing fees in our Investment Management </w:t>
      </w:r>
      <w:r>
        <w:rPr>
          <w:rFonts w:eastAsia="Times New Roman"/>
          <w:color w:val="000000"/>
          <w:sz w:val="20"/>
          <w:szCs w:val="20"/>
        </w:rPr>
        <w:t>and Research segment, unfavorable COLI impacts and higher consulting expenses partially offset by lower fund expenses from lower average assets due to the Venerable Transactions and lower separation expenses and legal reserve accruals.</w:t>
      </w:r>
    </w:p>
    <w:p w:rsidR="00000000" w:rsidRDefault="005C524C">
      <w:pPr>
        <w:ind w:hanging="360"/>
        <w:jc w:val="both"/>
        <w:divId w:val="1900094912"/>
        <w:rPr>
          <w:rFonts w:eastAsia="Times New Roman"/>
        </w:rPr>
      </w:pPr>
      <w:r>
        <w:rPr>
          <w:rFonts w:eastAsia="Times New Roman"/>
          <w:color w:val="000000"/>
          <w:sz w:val="20"/>
          <w:szCs w:val="20"/>
        </w:rPr>
        <w:t xml:space="preserve">•Income tax expense </w:t>
      </w:r>
      <w:r>
        <w:rPr>
          <w:rFonts w:eastAsia="Times New Roman"/>
          <w:color w:val="000000"/>
          <w:sz w:val="20"/>
          <w:szCs w:val="20"/>
        </w:rPr>
        <w:t>increased by $1.0 billion primarily due to pre-tax income in the first half of 2022 compared to a pre-tax loss in the first half of 2021.</w:t>
      </w:r>
    </w:p>
    <w:p w:rsidR="00000000" w:rsidRDefault="005C524C">
      <w:pPr>
        <w:ind w:firstLine="360"/>
        <w:divId w:val="1486774810"/>
        <w:rPr>
          <w:rFonts w:eastAsia="Times New Roman"/>
        </w:rPr>
      </w:pPr>
      <w:r>
        <w:rPr>
          <w:rFonts w:eastAsia="Times New Roman"/>
          <w:color w:val="000000"/>
          <w:sz w:val="20"/>
          <w:szCs w:val="20"/>
          <w:shd w:val="clear" w:color="auto" w:fill="FFFFFF"/>
        </w:rPr>
        <w:t>See “—Significant Factors Impacting Our Results—</w:t>
      </w:r>
      <w:r>
        <w:rPr>
          <w:rFonts w:eastAsia="Times New Roman"/>
          <w:color w:val="000000"/>
          <w:sz w:val="20"/>
          <w:szCs w:val="20"/>
          <w:shd w:val="clear" w:color="auto" w:fill="FFFFFF"/>
        </w:rPr>
        <w:t xml:space="preserve">Effect of Assumption Updates on Operating Results” for more information regarding assumption updates. </w:t>
      </w:r>
    </w:p>
    <w:p w:rsidR="00000000" w:rsidRDefault="005C524C">
      <w:pPr>
        <w:jc w:val="both"/>
        <w:divId w:val="436173874"/>
        <w:rPr>
          <w:rFonts w:eastAsia="Times New Roman"/>
        </w:rPr>
      </w:pPr>
      <w:r>
        <w:rPr>
          <w:rFonts w:eastAsia="Times New Roman"/>
          <w:b/>
          <w:bCs/>
          <w:i/>
          <w:iCs/>
          <w:color w:val="000000"/>
          <w:sz w:val="20"/>
          <w:szCs w:val="20"/>
          <w:shd w:val="clear" w:color="auto" w:fill="FFFFFF"/>
        </w:rPr>
        <w:t>Non-GAAP Operating Earnings</w:t>
      </w:r>
    </w:p>
    <w:p w:rsidR="00000000" w:rsidRDefault="005C524C">
      <w:pPr>
        <w:ind w:firstLine="360"/>
        <w:divId w:val="671034850"/>
        <w:rPr>
          <w:rFonts w:eastAsia="Times New Roman"/>
        </w:rPr>
      </w:pPr>
      <w:r>
        <w:rPr>
          <w:rFonts w:eastAsia="Times New Roman"/>
          <w:color w:val="000000"/>
          <w:sz w:val="20"/>
          <w:szCs w:val="20"/>
        </w:rPr>
        <w:t>Non-GAAP Operating Earnings decreased by $284 million to $1.1 billion for the six months ended June 30, 2022 from $1.4 billio</w:t>
      </w:r>
      <w:r>
        <w:rPr>
          <w:rFonts w:eastAsia="Times New Roman"/>
          <w:color w:val="000000"/>
          <w:sz w:val="20"/>
          <w:szCs w:val="20"/>
        </w:rPr>
        <w:t>n in the six months ended June 30, 2021. The following notable items were the primary drivers for the change in Non-GAAP Operating Earnings.</w:t>
      </w:r>
    </w:p>
    <w:p w:rsidR="00000000" w:rsidRDefault="005C524C">
      <w:pPr>
        <w:divId w:val="1211721143"/>
        <w:rPr>
          <w:rFonts w:eastAsia="Times New Roman"/>
        </w:rPr>
      </w:pPr>
      <w:r>
        <w:rPr>
          <w:rFonts w:eastAsia="Times New Roman"/>
          <w:color w:val="000000"/>
          <w:sz w:val="20"/>
          <w:szCs w:val="20"/>
        </w:rPr>
        <w:t>Unfavorable items included:</w:t>
      </w:r>
    </w:p>
    <w:p w:rsidR="00000000" w:rsidRDefault="005C524C">
      <w:pPr>
        <w:ind w:hanging="180"/>
        <w:divId w:val="1199467199"/>
        <w:rPr>
          <w:rFonts w:eastAsia="Times New Roman"/>
        </w:rPr>
      </w:pPr>
      <w:r>
        <w:rPr>
          <w:rFonts w:eastAsia="Times New Roman"/>
          <w:color w:val="000000"/>
          <w:sz w:val="20"/>
          <w:szCs w:val="20"/>
        </w:rPr>
        <w:t xml:space="preserve">•Policyholders’ </w:t>
      </w:r>
      <w:r>
        <w:rPr>
          <w:rFonts w:eastAsia="Times New Roman"/>
          <w:color w:val="000000"/>
          <w:sz w:val="20"/>
          <w:szCs w:val="20"/>
        </w:rPr>
        <w:t>benefits increased by $272 million mainly due to the equity market depreciation in the second quarter 2022 compared to equity market appreciation during the second quarter 2021(offset in Net Derivative gains) and growth in our Employee Benefits business pa</w:t>
      </w:r>
      <w:r>
        <w:rPr>
          <w:rFonts w:eastAsia="Times New Roman"/>
          <w:color w:val="000000"/>
          <w:sz w:val="20"/>
          <w:szCs w:val="20"/>
        </w:rPr>
        <w:t>rtially offset by impact of the Venerable Transaction on GMxB reserve accrual and by lower mortality and lower accrual of PFBL reserves in our Protection Solutions segment.</w:t>
      </w:r>
    </w:p>
    <w:p w:rsidR="00000000" w:rsidRDefault="005C524C">
      <w:pPr>
        <w:ind w:hanging="180"/>
        <w:divId w:val="1403024051"/>
        <w:rPr>
          <w:rFonts w:eastAsia="Times New Roman"/>
        </w:rPr>
      </w:pPr>
      <w:r>
        <w:rPr>
          <w:rFonts w:eastAsia="Times New Roman"/>
          <w:color w:val="000000"/>
          <w:sz w:val="20"/>
          <w:szCs w:val="20"/>
        </w:rPr>
        <w:t>•Net investment income decreased by $252 million mainly due to lower alternative in</w:t>
      </w:r>
      <w:r>
        <w:rPr>
          <w:rFonts w:eastAsia="Times New Roman"/>
          <w:color w:val="000000"/>
          <w:sz w:val="20"/>
          <w:szCs w:val="20"/>
        </w:rPr>
        <w:t>vestment income, lower prepayments, lower assets due to the Venerable Transaction, and lower income from seed capital investments (offset by hedging gains in derivatives) partially offset higher income from TIPS (offset in inflation related hedging losses)</w:t>
      </w:r>
      <w:r>
        <w:rPr>
          <w:rFonts w:eastAsia="Times New Roman"/>
          <w:color w:val="000000"/>
          <w:sz w:val="20"/>
          <w:szCs w:val="20"/>
        </w:rPr>
        <w:t xml:space="preserve"> and GA optimization.</w:t>
      </w:r>
    </w:p>
    <w:p w:rsidR="00000000" w:rsidRDefault="005C524C">
      <w:pPr>
        <w:ind w:hanging="180"/>
        <w:divId w:val="1816528096"/>
        <w:rPr>
          <w:rFonts w:eastAsia="Times New Roman"/>
        </w:rPr>
      </w:pPr>
      <w:r>
        <w:rPr>
          <w:rFonts w:eastAsia="Times New Roman"/>
          <w:color w:val="000000"/>
          <w:sz w:val="20"/>
          <w:szCs w:val="20"/>
        </w:rPr>
        <w:t>•Fee-type revenue decreased by $218 million mainly due to lower fees in our Individual Retirement segment as a result of lower equity markets and fee-income ceded to Venerable partially offset by higher base fees, performance fees and</w:t>
      </w:r>
      <w:r>
        <w:rPr>
          <w:rFonts w:eastAsia="Times New Roman"/>
          <w:color w:val="000000"/>
          <w:sz w:val="20"/>
          <w:szCs w:val="20"/>
        </w:rPr>
        <w:t xml:space="preserve"> distribution revenues in our Investment Management &amp; Research segment primarily as a result of higher average AUM and higher premiums (offset in Policyholder’s Benefits) due to growth in Employee Benefits in our Protection Solutions segment.</w:t>
      </w:r>
    </w:p>
    <w:p w:rsidR="00000000" w:rsidRDefault="005C524C">
      <w:pPr>
        <w:ind w:hanging="180"/>
        <w:divId w:val="328675263"/>
        <w:rPr>
          <w:rFonts w:eastAsia="Times New Roman"/>
        </w:rPr>
      </w:pPr>
      <w:r>
        <w:rPr>
          <w:rFonts w:eastAsia="Times New Roman"/>
          <w:color w:val="000000"/>
          <w:sz w:val="20"/>
          <w:szCs w:val="20"/>
        </w:rPr>
        <w:t>•Compensation</w:t>
      </w:r>
      <w:r>
        <w:rPr>
          <w:rFonts w:eastAsia="Times New Roman"/>
          <w:color w:val="000000"/>
          <w:sz w:val="20"/>
          <w:szCs w:val="20"/>
        </w:rPr>
        <w:t>, benefits and other operating costs and expenses increased by $103 million mainly due to higher portfolio servicing fees in our Investment Management and Research segment, unfavorable COLI impacts and higher consulting expenses partially offset by lower f</w:t>
      </w:r>
      <w:r>
        <w:rPr>
          <w:rFonts w:eastAsia="Times New Roman"/>
          <w:color w:val="000000"/>
          <w:sz w:val="20"/>
          <w:szCs w:val="20"/>
        </w:rPr>
        <w:t>und expenses from lower average assets due to the Venerable Transaction.</w:t>
      </w:r>
    </w:p>
    <w:p w:rsidR="00000000" w:rsidRDefault="005C524C">
      <w:pPr>
        <w:ind w:hanging="180"/>
        <w:divId w:val="1077635958"/>
        <w:rPr>
          <w:rFonts w:eastAsia="Times New Roman"/>
        </w:rPr>
      </w:pPr>
      <w:r>
        <w:rPr>
          <w:rFonts w:eastAsia="Times New Roman"/>
          <w:color w:val="000000"/>
          <w:sz w:val="20"/>
          <w:szCs w:val="20"/>
        </w:rPr>
        <w:t>•Amortization of DAC increased by $69 million mainly due to unfavorable markets during the second half of 2022 compared to favorable markets during first half of 2021 and one-time adj</w:t>
      </w:r>
      <w:r>
        <w:rPr>
          <w:rFonts w:eastAsia="Times New Roman"/>
          <w:color w:val="000000"/>
          <w:sz w:val="20"/>
          <w:szCs w:val="20"/>
        </w:rPr>
        <w:t xml:space="preserve">ustments and refinements from the first half of 2021. </w:t>
      </w:r>
    </w:p>
    <w:p w:rsidR="00000000" w:rsidRDefault="005C524C">
      <w:pPr>
        <w:ind w:hanging="180"/>
        <w:divId w:val="937177686"/>
        <w:rPr>
          <w:rFonts w:eastAsia="Times New Roman"/>
        </w:rPr>
      </w:pPr>
      <w:r>
        <w:rPr>
          <w:rFonts w:eastAsia="Times New Roman"/>
          <w:color w:val="000000"/>
          <w:sz w:val="20"/>
          <w:szCs w:val="20"/>
        </w:rPr>
        <w:t>•Commissions and distribution-related payments increased by $37 million mainly due to the growth in broker dealer sales and Employee Benefits.</w:t>
      </w:r>
    </w:p>
    <w:p w:rsidR="00000000" w:rsidRDefault="005C524C">
      <w:pPr>
        <w:divId w:val="383220645"/>
        <w:rPr>
          <w:rFonts w:eastAsia="Times New Roman"/>
        </w:rPr>
      </w:pPr>
      <w:r>
        <w:rPr>
          <w:rFonts w:eastAsia="Times New Roman"/>
          <w:color w:val="000000"/>
          <w:sz w:val="20"/>
          <w:szCs w:val="20"/>
        </w:rPr>
        <w:t>These were partially offset by the following favorable ite</w:t>
      </w:r>
      <w:r>
        <w:rPr>
          <w:rFonts w:eastAsia="Times New Roman"/>
          <w:color w:val="000000"/>
          <w:sz w:val="20"/>
          <w:szCs w:val="20"/>
        </w:rPr>
        <w:t>ms:</w:t>
      </w:r>
    </w:p>
    <w:p w:rsidR="00000000" w:rsidRDefault="005C524C">
      <w:pPr>
        <w:ind w:hanging="180"/>
        <w:divId w:val="114179670"/>
        <w:rPr>
          <w:rFonts w:eastAsia="Times New Roman"/>
        </w:rPr>
      </w:pPr>
      <w:r>
        <w:rPr>
          <w:rFonts w:eastAsia="Times New Roman"/>
          <w:color w:val="000000"/>
          <w:sz w:val="20"/>
          <w:szCs w:val="20"/>
        </w:rPr>
        <w:t>•Net derivative gains increased $610 million from a $178 million loss in the prior period mainly due to equity markets depreciation (offset in Policyholders’ benefits) during the first half of 2022.</w:t>
      </w:r>
    </w:p>
    <w:p w:rsidR="00000000" w:rsidRDefault="005C524C">
      <w:pPr>
        <w:ind w:hanging="180"/>
        <w:jc w:val="both"/>
        <w:divId w:val="240139313"/>
        <w:rPr>
          <w:rFonts w:eastAsia="Times New Roman"/>
        </w:rPr>
      </w:pPr>
      <w:r>
        <w:rPr>
          <w:rFonts w:eastAsia="Times New Roman"/>
          <w:color w:val="000000"/>
          <w:sz w:val="20"/>
          <w:szCs w:val="20"/>
        </w:rPr>
        <w:t>•Earnings attributable to the noncontrolling interest</w:t>
      </w:r>
      <w:r>
        <w:rPr>
          <w:rFonts w:eastAsia="Times New Roman"/>
          <w:color w:val="000000"/>
          <w:sz w:val="20"/>
          <w:szCs w:val="20"/>
        </w:rPr>
        <w:t xml:space="preserve"> decreased by $19 million mainly due to lower AB Operating earnings in our Investment Management and Research segment.</w:t>
      </w:r>
    </w:p>
    <w:p w:rsidR="00000000" w:rsidRDefault="005C524C">
      <w:pPr>
        <w:ind w:hanging="180"/>
        <w:jc w:val="both"/>
        <w:divId w:val="1007168829"/>
        <w:rPr>
          <w:rFonts w:eastAsia="Times New Roman"/>
        </w:rPr>
      </w:pPr>
      <w:r>
        <w:rPr>
          <w:rFonts w:eastAsia="Times New Roman"/>
          <w:color w:val="000000"/>
          <w:sz w:val="20"/>
          <w:szCs w:val="20"/>
        </w:rPr>
        <w:t xml:space="preserve">•Income tax expense decreased by $55 million mainly driven by lower pre-tax earnings, partially offset by higher effective tax rate. </w:t>
      </w:r>
    </w:p>
    <w:p w:rsidR="00000000" w:rsidRDefault="005C524C">
      <w:pPr>
        <w:jc w:val="center"/>
        <w:divId w:val="270433216"/>
        <w:rPr>
          <w:rFonts w:eastAsia="Times New Roman"/>
        </w:rPr>
      </w:pPr>
      <w:r>
        <w:rPr>
          <w:rFonts w:eastAsia="Times New Roman"/>
          <w:color w:val="000000"/>
          <w:sz w:val="20"/>
          <w:szCs w:val="20"/>
        </w:rPr>
        <w:t>81</w:t>
      </w:r>
    </w:p>
    <w:p w:rsidR="00000000" w:rsidRDefault="005C524C">
      <w:pPr>
        <w:rPr>
          <w:rFonts w:eastAsia="Times New Roman"/>
        </w:rPr>
      </w:pPr>
      <w:r>
        <w:rPr>
          <w:rFonts w:eastAsia="Times New Roman"/>
        </w:rPr>
        <w:pict>
          <v:rect id="_x0000_i1107" style="width:0;height:1.5pt" o:hralign="center" o:hrstd="t" o:hr="t" fillcolor="#a0a0a0" stroked="f"/>
        </w:pict>
      </w:r>
    </w:p>
    <w:p w:rsidR="00000000" w:rsidRDefault="005C524C">
      <w:pPr>
        <w:divId w:val="164281210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340084124"/>
        <w:rPr>
          <w:rFonts w:eastAsia="Times New Roman"/>
        </w:rPr>
      </w:pPr>
      <w:r>
        <w:rPr>
          <w:rFonts w:eastAsia="Times New Roman"/>
          <w:b/>
          <w:bCs/>
          <w:color w:val="000000"/>
          <w:sz w:val="20"/>
          <w:szCs w:val="20"/>
        </w:rPr>
        <w:t>Results of Operations by Segment</w:t>
      </w:r>
    </w:p>
    <w:p w:rsidR="00000000" w:rsidRDefault="005C524C">
      <w:pPr>
        <w:ind w:firstLine="360"/>
        <w:divId w:val="1733849392"/>
        <w:rPr>
          <w:rFonts w:eastAsia="Times New Roman"/>
        </w:rPr>
      </w:pPr>
      <w:r>
        <w:rPr>
          <w:rFonts w:eastAsia="Times New Roman"/>
          <w:color w:val="000000"/>
          <w:sz w:val="20"/>
          <w:szCs w:val="20"/>
        </w:rPr>
        <w:t>We manage our business through the following four segments: Individual Retirement, Group Retirement, Investmen</w:t>
      </w:r>
      <w:r>
        <w:rPr>
          <w:rFonts w:eastAsia="Times New Roman"/>
          <w:color w:val="000000"/>
          <w:sz w:val="20"/>
          <w:szCs w:val="20"/>
        </w:rPr>
        <w:t>t Management and Research, and Protection Solutions. We report certain activities and items that are not included in our four segments in Corporate and Other. The following section presents our discussion of operating earnings (loss) by segment and AUM, AV</w:t>
      </w:r>
      <w:r>
        <w:rPr>
          <w:rFonts w:eastAsia="Times New Roman"/>
          <w:color w:val="000000"/>
          <w:sz w:val="20"/>
          <w:szCs w:val="20"/>
        </w:rPr>
        <w:t xml:space="preserve"> and Protection Solutions Reserves by segment, as applicable. Consistent with U.S. GAAP guidance for segment reporting, operating earnings (loss) is our U.S. GAAP measure of segment performance. See Note 14 of the Notes to the Consolidated Financial Statem</w:t>
      </w:r>
      <w:r>
        <w:rPr>
          <w:rFonts w:eastAsia="Times New Roman"/>
          <w:color w:val="000000"/>
          <w:sz w:val="20"/>
          <w:szCs w:val="20"/>
        </w:rPr>
        <w:t>ents for further information on our segments.</w:t>
      </w:r>
    </w:p>
    <w:p w:rsidR="00000000" w:rsidRDefault="005C524C">
      <w:pPr>
        <w:ind w:firstLine="360"/>
        <w:divId w:val="1971740359"/>
        <w:rPr>
          <w:rFonts w:eastAsia="Times New Roman"/>
        </w:rPr>
      </w:pPr>
      <w:r>
        <w:rPr>
          <w:rFonts w:eastAsia="Times New Roman"/>
          <w:color w:val="000000"/>
          <w:sz w:val="20"/>
          <w:szCs w:val="20"/>
        </w:rPr>
        <w:t>The following table summarizes operating earnings (loss) on our segments and Corporate and Other for the three and six months ended June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348"/>
        <w:gridCol w:w="38"/>
        <w:gridCol w:w="120"/>
        <w:gridCol w:w="694"/>
        <w:gridCol w:w="36"/>
        <w:gridCol w:w="36"/>
        <w:gridCol w:w="36"/>
        <w:gridCol w:w="36"/>
        <w:gridCol w:w="120"/>
        <w:gridCol w:w="694"/>
        <w:gridCol w:w="36"/>
        <w:gridCol w:w="36"/>
        <w:gridCol w:w="36"/>
        <w:gridCol w:w="36"/>
        <w:gridCol w:w="120"/>
        <w:gridCol w:w="695"/>
        <w:gridCol w:w="36"/>
        <w:gridCol w:w="36"/>
        <w:gridCol w:w="36"/>
        <w:gridCol w:w="36"/>
        <w:gridCol w:w="120"/>
        <w:gridCol w:w="634"/>
        <w:gridCol w:w="36"/>
        <w:gridCol w:w="36"/>
        <w:gridCol w:w="36"/>
        <w:gridCol w:w="36"/>
        <w:gridCol w:w="36"/>
        <w:gridCol w:w="36"/>
        <w:gridCol w:w="36"/>
      </w:tblGrid>
      <w:tr w:rsidR="00000000">
        <w:trPr>
          <w:divId w:val="244071753"/>
        </w:trPr>
        <w:tc>
          <w:tcPr>
            <w:tcW w:w="50" w:type="pct"/>
            <w:vAlign w:val="center"/>
            <w:hideMark/>
          </w:tcPr>
          <w:p w:rsidR="00000000" w:rsidRDefault="005C524C">
            <w:pPr>
              <w:ind w:firstLine="360"/>
              <w:rPr>
                <w:rFonts w:eastAsia="Times New Roman"/>
              </w:rPr>
            </w:pPr>
          </w:p>
        </w:tc>
        <w:tc>
          <w:tcPr>
            <w:tcW w:w="274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Operating earnings (loss) by segment:</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44071753"/>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1,074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both"/>
        <w:divId w:val="1105613453"/>
        <w:rPr>
          <w:rFonts w:eastAsia="Times New Roman"/>
        </w:rPr>
      </w:pPr>
      <w:r>
        <w:rPr>
          <w:rFonts w:eastAsia="Times New Roman"/>
          <w:b/>
          <w:bCs/>
          <w:i/>
          <w:iCs/>
          <w:color w:val="000000"/>
          <w:sz w:val="20"/>
          <w:szCs w:val="20"/>
        </w:rPr>
        <w:t xml:space="preserve">Effective Tax Rates by Segment </w:t>
      </w:r>
    </w:p>
    <w:p w:rsidR="00000000" w:rsidRDefault="005C524C">
      <w:pPr>
        <w:ind w:firstLine="360"/>
        <w:divId w:val="230503930"/>
        <w:rPr>
          <w:rFonts w:eastAsia="Times New Roman"/>
        </w:rPr>
      </w:pPr>
      <w:r>
        <w:rPr>
          <w:rFonts w:eastAsia="Times New Roman"/>
          <w:color w:val="000000"/>
          <w:sz w:val="20"/>
          <w:szCs w:val="20"/>
        </w:rPr>
        <w:t xml:space="preserve">Income tax expense is calculated using the </w:t>
      </w:r>
      <w:r>
        <w:rPr>
          <w:rFonts w:eastAsia="Times New Roman"/>
          <w:color w:val="000000"/>
          <w:sz w:val="20"/>
          <w:szCs w:val="20"/>
        </w:rPr>
        <w:t>ETR and then allocated to our business segments using an 18% ETR for our retirement and protection businesses (Individual Retirement, Group Retirement, and Protection Solutions) and a 26% ETR for Investment Management and Research.</w:t>
      </w:r>
    </w:p>
    <w:p w:rsidR="00000000" w:rsidRDefault="005C524C">
      <w:pPr>
        <w:divId w:val="1100101835"/>
        <w:rPr>
          <w:rFonts w:eastAsia="Times New Roman"/>
        </w:rPr>
      </w:pPr>
      <w:r>
        <w:rPr>
          <w:rFonts w:eastAsia="Times New Roman"/>
          <w:b/>
          <w:bCs/>
          <w:color w:val="000000"/>
          <w:sz w:val="20"/>
          <w:szCs w:val="20"/>
        </w:rPr>
        <w:t>Individual Retirement</w:t>
      </w:r>
    </w:p>
    <w:p w:rsidR="00000000" w:rsidRDefault="005C524C">
      <w:pPr>
        <w:ind w:firstLine="360"/>
        <w:divId w:val="1828354770"/>
        <w:rPr>
          <w:rFonts w:eastAsia="Times New Roman"/>
        </w:rPr>
      </w:pPr>
      <w:r>
        <w:rPr>
          <w:rFonts w:eastAsia="Times New Roman"/>
          <w:color w:val="000000"/>
          <w:sz w:val="20"/>
          <w:szCs w:val="20"/>
        </w:rPr>
        <w:t>Th</w:t>
      </w:r>
      <w:r>
        <w:rPr>
          <w:rFonts w:eastAsia="Times New Roman"/>
          <w:color w:val="000000"/>
          <w:sz w:val="20"/>
          <w:szCs w:val="20"/>
        </w:rPr>
        <w:t>e Individual Retirement segment includes our variable annuity products which primarily meet the needs of individuals saving for retirement or seeking retirement income.</w:t>
      </w:r>
    </w:p>
    <w:p w:rsidR="00000000" w:rsidRDefault="005C524C">
      <w:pPr>
        <w:ind w:firstLine="360"/>
        <w:divId w:val="20937314"/>
        <w:rPr>
          <w:rFonts w:eastAsia="Times New Roman"/>
        </w:rPr>
      </w:pPr>
      <w:r>
        <w:rPr>
          <w:rFonts w:eastAsia="Times New Roman"/>
          <w:color w:val="000000"/>
          <w:sz w:val="20"/>
          <w:szCs w:val="20"/>
        </w:rPr>
        <w:t xml:space="preserve">The following table summarizes operating earnings of our Individual Retirement segment </w:t>
      </w:r>
      <w:r>
        <w:rPr>
          <w:rFonts w:eastAsia="Times New Roman"/>
          <w:color w:val="000000"/>
          <w:sz w:val="20"/>
          <w:szCs w:val="20"/>
        </w:rPr>
        <w:t>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406"/>
        <w:gridCol w:w="36"/>
        <w:gridCol w:w="120"/>
        <w:gridCol w:w="692"/>
        <w:gridCol w:w="36"/>
        <w:gridCol w:w="36"/>
        <w:gridCol w:w="36"/>
        <w:gridCol w:w="36"/>
        <w:gridCol w:w="120"/>
        <w:gridCol w:w="693"/>
        <w:gridCol w:w="36"/>
        <w:gridCol w:w="120"/>
        <w:gridCol w:w="693"/>
        <w:gridCol w:w="36"/>
        <w:gridCol w:w="36"/>
        <w:gridCol w:w="36"/>
        <w:gridCol w:w="36"/>
        <w:gridCol w:w="120"/>
        <w:gridCol w:w="693"/>
        <w:gridCol w:w="36"/>
        <w:gridCol w:w="36"/>
        <w:gridCol w:w="36"/>
        <w:gridCol w:w="36"/>
        <w:gridCol w:w="36"/>
        <w:gridCol w:w="36"/>
        <w:gridCol w:w="36"/>
      </w:tblGrid>
      <w:tr w:rsidR="00000000">
        <w:trPr>
          <w:divId w:val="1686592582"/>
        </w:trPr>
        <w:tc>
          <w:tcPr>
            <w:tcW w:w="50" w:type="pct"/>
            <w:vAlign w:val="center"/>
            <w:hideMark/>
          </w:tcPr>
          <w:p w:rsidR="00000000" w:rsidRDefault="005C524C">
            <w:pPr>
              <w:ind w:firstLine="360"/>
              <w:rPr>
                <w:rFonts w:eastAsia="Times New Roman"/>
              </w:rPr>
            </w:pPr>
          </w:p>
        </w:tc>
        <w:tc>
          <w:tcPr>
            <w:tcW w:w="278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68659258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686592582"/>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68659258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68659258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384986154"/>
        <w:rPr>
          <w:rFonts w:eastAsia="Times New Roman"/>
        </w:rPr>
      </w:pPr>
    </w:p>
    <w:p w:rsidR="00000000" w:rsidRDefault="005C524C">
      <w:pPr>
        <w:divId w:val="912861540"/>
        <w:rPr>
          <w:rFonts w:eastAsia="Times New Roman"/>
        </w:rPr>
      </w:pPr>
    </w:p>
    <w:p w:rsidR="00000000" w:rsidRDefault="005C524C">
      <w:pPr>
        <w:ind w:firstLine="360"/>
        <w:divId w:val="1712336931"/>
        <w:rPr>
          <w:rFonts w:eastAsia="Times New Roman"/>
        </w:rPr>
      </w:pPr>
      <w:r>
        <w:rPr>
          <w:rFonts w:eastAsia="Times New Roman"/>
          <w:color w:val="000000"/>
          <w:sz w:val="20"/>
          <w:szCs w:val="20"/>
        </w:rPr>
        <w:t>Key components of operating earnings are:</w:t>
      </w:r>
    </w:p>
    <w:p w:rsidR="00000000" w:rsidRDefault="005C524C">
      <w:pPr>
        <w:jc w:val="center"/>
        <w:divId w:val="1464150275"/>
        <w:rPr>
          <w:rFonts w:eastAsia="Times New Roman"/>
        </w:rPr>
      </w:pPr>
      <w:r>
        <w:rPr>
          <w:rFonts w:eastAsia="Times New Roman"/>
          <w:color w:val="000000"/>
          <w:sz w:val="20"/>
          <w:szCs w:val="20"/>
        </w:rPr>
        <w:t>82</w:t>
      </w:r>
    </w:p>
    <w:p w:rsidR="00000000" w:rsidRDefault="005C524C">
      <w:pPr>
        <w:rPr>
          <w:rFonts w:eastAsia="Times New Roman"/>
        </w:rPr>
      </w:pPr>
      <w:r>
        <w:rPr>
          <w:rFonts w:eastAsia="Times New Roman"/>
        </w:rPr>
        <w:pict>
          <v:rect id="_x0000_i1108" style="width:0;height:1.5pt" o:hralign="center" o:hrstd="t" o:hr="t" fillcolor="#a0a0a0" stroked="f"/>
        </w:pict>
      </w:r>
    </w:p>
    <w:p w:rsidR="00000000" w:rsidRDefault="005C524C">
      <w:pPr>
        <w:divId w:val="838153412"/>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38"/>
        <w:gridCol w:w="37"/>
        <w:gridCol w:w="120"/>
        <w:gridCol w:w="682"/>
        <w:gridCol w:w="36"/>
        <w:gridCol w:w="36"/>
        <w:gridCol w:w="36"/>
        <w:gridCol w:w="36"/>
        <w:gridCol w:w="120"/>
        <w:gridCol w:w="682"/>
        <w:gridCol w:w="36"/>
        <w:gridCol w:w="36"/>
        <w:gridCol w:w="36"/>
        <w:gridCol w:w="36"/>
        <w:gridCol w:w="120"/>
        <w:gridCol w:w="682"/>
        <w:gridCol w:w="36"/>
        <w:gridCol w:w="36"/>
        <w:gridCol w:w="36"/>
        <w:gridCol w:w="36"/>
        <w:gridCol w:w="120"/>
        <w:gridCol w:w="683"/>
        <w:gridCol w:w="36"/>
        <w:gridCol w:w="36"/>
        <w:gridCol w:w="36"/>
        <w:gridCol w:w="36"/>
        <w:gridCol w:w="36"/>
        <w:gridCol w:w="36"/>
        <w:gridCol w:w="36"/>
      </w:tblGrid>
      <w:tr w:rsidR="00000000">
        <w:trPr>
          <w:divId w:val="1722821721"/>
          <w:jc w:val="center"/>
        </w:trPr>
        <w:tc>
          <w:tcPr>
            <w:tcW w:w="50" w:type="pct"/>
            <w:vAlign w:val="center"/>
            <w:hideMark/>
          </w:tcPr>
          <w:p w:rsidR="00000000" w:rsidRDefault="005C524C">
            <w:pPr>
              <w:rPr>
                <w:rFonts w:eastAsia="Times New Roman"/>
              </w:rPr>
            </w:pPr>
          </w:p>
        </w:tc>
        <w:tc>
          <w:tcPr>
            <w:tcW w:w="275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1,959 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22821721"/>
          <w:jc w:val="center"/>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1,349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2027124884"/>
        <w:rPr>
          <w:rFonts w:eastAsia="Times New Roman"/>
        </w:rPr>
      </w:pPr>
    </w:p>
    <w:p w:rsidR="00000000" w:rsidRDefault="005C524C">
      <w:pPr>
        <w:ind w:firstLine="360"/>
        <w:divId w:val="1735933535"/>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0"/>
        <w:gridCol w:w="1037"/>
        <w:gridCol w:w="36"/>
        <w:gridCol w:w="36"/>
        <w:gridCol w:w="36"/>
        <w:gridCol w:w="36"/>
        <w:gridCol w:w="120"/>
        <w:gridCol w:w="1000"/>
        <w:gridCol w:w="36"/>
        <w:gridCol w:w="36"/>
        <w:gridCol w:w="36"/>
        <w:gridCol w:w="36"/>
        <w:gridCol w:w="36"/>
        <w:gridCol w:w="36"/>
        <w:gridCol w:w="36"/>
      </w:tblGrid>
      <w:tr w:rsidR="00000000">
        <w:trPr>
          <w:divId w:val="297494759"/>
          <w:jc w:val="center"/>
        </w:trPr>
        <w:tc>
          <w:tcPr>
            <w:tcW w:w="50" w:type="pct"/>
            <w:vAlign w:val="center"/>
            <w:hideMark/>
          </w:tcPr>
          <w:p w:rsidR="00000000" w:rsidRDefault="005C524C">
            <w:pPr>
              <w:ind w:firstLine="360"/>
              <w:rPr>
                <w:rFonts w:eastAsia="Times New Roman"/>
              </w:rPr>
            </w:pPr>
          </w:p>
        </w:tc>
        <w:tc>
          <w:tcPr>
            <w:tcW w:w="34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AV (1)</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37,698 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58,689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74,206 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97494759"/>
          <w:jc w:val="center"/>
        </w:trPr>
        <w:tc>
          <w:tcPr>
            <w:tcW w:w="0" w:type="auto"/>
            <w:gridSpan w:val="3"/>
            <w:shd w:val="clear" w:color="auto" w:fill="CCEEFF"/>
            <w:tcMar>
              <w:top w:w="30" w:type="dxa"/>
              <w:left w:w="39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94,263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111,904 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475227190"/>
        <w:rPr>
          <w:rFonts w:eastAsia="Times New Roman"/>
        </w:rPr>
      </w:pPr>
      <w:r>
        <w:rPr>
          <w:rFonts w:eastAsia="Times New Roman"/>
          <w:color w:val="000000"/>
          <w:sz w:val="18"/>
          <w:szCs w:val="18"/>
        </w:rPr>
        <w:t>(1) AV presented are net of reinsurance.</w:t>
      </w:r>
    </w:p>
    <w:p w:rsidR="00000000" w:rsidRDefault="005C524C">
      <w:pPr>
        <w:ind w:firstLine="360"/>
        <w:divId w:val="235867337"/>
        <w:rPr>
          <w:rFonts w:eastAsia="Times New Roman"/>
        </w:rPr>
      </w:pPr>
      <w:r>
        <w:rPr>
          <w:rFonts w:eastAsia="Times New Roman"/>
          <w:color w:val="000000"/>
          <w:sz w:val="20"/>
          <w:szCs w:val="20"/>
        </w:rPr>
        <w:t>The following table summarizes a roll-forward of AV for our Individual Retirement segment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233"/>
        <w:gridCol w:w="38"/>
        <w:gridCol w:w="120"/>
        <w:gridCol w:w="700"/>
        <w:gridCol w:w="36"/>
        <w:gridCol w:w="36"/>
        <w:gridCol w:w="36"/>
        <w:gridCol w:w="36"/>
        <w:gridCol w:w="120"/>
        <w:gridCol w:w="700"/>
        <w:gridCol w:w="36"/>
        <w:gridCol w:w="36"/>
        <w:gridCol w:w="36"/>
        <w:gridCol w:w="36"/>
        <w:gridCol w:w="120"/>
        <w:gridCol w:w="732"/>
        <w:gridCol w:w="36"/>
        <w:gridCol w:w="36"/>
        <w:gridCol w:w="36"/>
        <w:gridCol w:w="36"/>
        <w:gridCol w:w="120"/>
        <w:gridCol w:w="700"/>
        <w:gridCol w:w="36"/>
        <w:gridCol w:w="36"/>
        <w:gridCol w:w="36"/>
        <w:gridCol w:w="36"/>
        <w:gridCol w:w="36"/>
        <w:gridCol w:w="36"/>
        <w:gridCol w:w="36"/>
      </w:tblGrid>
      <w:tr w:rsidR="00000000">
        <w:trPr>
          <w:jc w:val="center"/>
        </w:trPr>
        <w:tc>
          <w:tcPr>
            <w:tcW w:w="50" w:type="pct"/>
            <w:vAlign w:val="center"/>
            <w:hideMark/>
          </w:tcPr>
          <w:p w:rsidR="00000000" w:rsidRDefault="005C524C">
            <w:pPr>
              <w:ind w:firstLine="360"/>
              <w:rPr>
                <w:rFonts w:eastAsia="Times New Roman"/>
              </w:rPr>
            </w:pPr>
          </w:p>
        </w:tc>
        <w:tc>
          <w:tcPr>
            <w:tcW w:w="26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106,369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120,780 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117,390 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5,982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5,290 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(2,490)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(2,999)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(5,296)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(5,984)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(12,740)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4,703 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(18,327)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8,609 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Ceded to Venerable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94,263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108,435 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94,263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108,435 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66537475"/>
        <w:rPr>
          <w:rFonts w:eastAsia="Times New Roman"/>
        </w:rPr>
      </w:pPr>
      <w:r>
        <w:rPr>
          <w:rFonts w:eastAsia="Times New Roman"/>
          <w:color w:val="000000"/>
          <w:sz w:val="18"/>
          <w:szCs w:val="18"/>
        </w:rPr>
        <w:t>______________</w:t>
      </w:r>
    </w:p>
    <w:p w:rsidR="00000000" w:rsidRDefault="005C524C">
      <w:pPr>
        <w:ind w:hanging="360"/>
        <w:divId w:val="996610722"/>
        <w:rPr>
          <w:rFonts w:eastAsia="Times New Roman"/>
        </w:rPr>
      </w:pPr>
    </w:p>
    <w:p w:rsidR="00000000" w:rsidRDefault="005C524C">
      <w:pPr>
        <w:ind w:hanging="360"/>
        <w:divId w:val="1610744500"/>
        <w:rPr>
          <w:rFonts w:eastAsia="Times New Roman"/>
        </w:rPr>
      </w:pPr>
      <w:r>
        <w:rPr>
          <w:rFonts w:eastAsia="Times New Roman"/>
          <w:color w:val="000000"/>
          <w:sz w:val="18"/>
          <w:szCs w:val="18"/>
        </w:rPr>
        <w:t xml:space="preserve">(1) For the </w:t>
      </w:r>
      <w:r>
        <w:rPr>
          <w:rFonts w:eastAsia="Times New Roman"/>
          <w:color w:val="000000"/>
          <w:sz w:val="20"/>
          <w:szCs w:val="20"/>
        </w:rPr>
        <w:t>three and six months ended June 30, 2022</w:t>
      </w:r>
      <w:r>
        <w:rPr>
          <w:rFonts w:eastAsia="Times New Roman"/>
          <w:color w:val="000000"/>
          <w:sz w:val="18"/>
          <w:szCs w:val="18"/>
        </w:rPr>
        <w:t xml:space="preserve">, net flows of $(266) million and $(582) million and investment performance, interest credited and policy charges of $(2,182) million and $(3,387) million, respectively, are excluded as these amounts are </w:t>
      </w:r>
      <w:r>
        <w:rPr>
          <w:rFonts w:eastAsia="Times New Roman"/>
          <w:color w:val="000000"/>
          <w:sz w:val="18"/>
          <w:szCs w:val="18"/>
        </w:rPr>
        <w:t>related to ceded AV to Venerable. Net flows of $(120) million and Investment performance, interest credited and policy charges of $148 million not included as it relates to the activity from June 1, 2021 to June 30, 2021 for the AV ceded to Venerable.</w:t>
      </w:r>
    </w:p>
    <w:p w:rsidR="00000000" w:rsidRDefault="005C524C">
      <w:pPr>
        <w:ind w:hanging="360"/>
        <w:divId w:val="989404695"/>
        <w:rPr>
          <w:rFonts w:eastAsia="Times New Roman"/>
        </w:rPr>
      </w:pPr>
      <w:r>
        <w:rPr>
          <w:rFonts w:eastAsia="Times New Roman"/>
          <w:color w:val="000000"/>
          <w:sz w:val="18"/>
          <w:szCs w:val="18"/>
        </w:rPr>
        <w:t xml:space="preserve">(2) </w:t>
      </w:r>
      <w:r>
        <w:rPr>
          <w:rFonts w:eastAsia="Times New Roman"/>
          <w:color w:val="000000"/>
          <w:sz w:val="18"/>
          <w:szCs w:val="18"/>
        </w:rPr>
        <w:t>Effective June 1, 2021, AV excludes activity related to ceded AV to Venerable. In addition, roll-forward reflects the AV ceded to Venerable as of the transaction date. For additional information on the Venerable Transaction see Note 1 of the Notes to Conso</w:t>
      </w:r>
      <w:r>
        <w:rPr>
          <w:rFonts w:eastAsia="Times New Roman"/>
          <w:color w:val="000000"/>
          <w:sz w:val="18"/>
          <w:szCs w:val="18"/>
        </w:rPr>
        <w:t>lidated Financial Statements.</w:t>
      </w:r>
    </w:p>
    <w:p w:rsidR="00000000" w:rsidRDefault="005C524C">
      <w:pPr>
        <w:jc w:val="center"/>
        <w:divId w:val="2021470095"/>
        <w:rPr>
          <w:rFonts w:eastAsia="Times New Roman"/>
        </w:rPr>
      </w:pPr>
      <w:r>
        <w:rPr>
          <w:rFonts w:eastAsia="Times New Roman"/>
          <w:color w:val="000000"/>
          <w:sz w:val="20"/>
          <w:szCs w:val="20"/>
        </w:rPr>
        <w:t>83</w:t>
      </w:r>
    </w:p>
    <w:p w:rsidR="00000000" w:rsidRDefault="005C524C">
      <w:pPr>
        <w:rPr>
          <w:rFonts w:eastAsia="Times New Roman"/>
        </w:rPr>
      </w:pPr>
      <w:r>
        <w:rPr>
          <w:rFonts w:eastAsia="Times New Roman"/>
        </w:rPr>
        <w:pict>
          <v:rect id="_x0000_i1109" style="width:0;height:1.5pt" o:hralign="center" o:hrstd="t" o:hr="t" fillcolor="#a0a0a0" stroked="f"/>
        </w:pict>
      </w:r>
    </w:p>
    <w:p w:rsidR="00000000" w:rsidRDefault="005C524C">
      <w:pPr>
        <w:divId w:val="135673575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360"/>
        <w:divId w:val="1554459527"/>
        <w:rPr>
          <w:rFonts w:eastAsia="Times New Roman"/>
        </w:rPr>
      </w:pPr>
      <w:r>
        <w:rPr>
          <w:rFonts w:eastAsia="Times New Roman"/>
          <w:color w:val="000000"/>
          <w:sz w:val="18"/>
          <w:szCs w:val="18"/>
        </w:rPr>
        <w:t>(3) For the three and six months ended June 30, 2021, amounts reflect AV transfer of a closed block of GMxB b</w:t>
      </w:r>
      <w:r>
        <w:rPr>
          <w:rFonts w:eastAsia="Times New Roman"/>
          <w:color w:val="000000"/>
          <w:sz w:val="18"/>
          <w:szCs w:val="18"/>
        </w:rPr>
        <w:t>usiness from GR to IR. For the six months ended June 30, 2020, amounts are primarily related to our fixed income annuity (“FIA”) contracts which were previously reported as Policyholders’ account balances in the consolidated balance sheets and therefore in</w:t>
      </w:r>
      <w:r>
        <w:rPr>
          <w:rFonts w:eastAsia="Times New Roman"/>
          <w:color w:val="000000"/>
          <w:sz w:val="18"/>
          <w:szCs w:val="18"/>
        </w:rPr>
        <w:t>cluded in our definition of “Account Value”. Effective January 1, 2020, FIAs are reported as future policy benefits and other policyholders’ liabilities in the consolidated balance sheets and accordingly were excluded from Account Value.</w:t>
      </w:r>
    </w:p>
    <w:p w:rsidR="00000000" w:rsidRDefault="005C524C">
      <w:pPr>
        <w:divId w:val="1946964474"/>
        <w:rPr>
          <w:rFonts w:eastAsia="Times New Roman"/>
        </w:rPr>
      </w:pPr>
      <w:r>
        <w:rPr>
          <w:rFonts w:eastAsia="Times New Roman"/>
          <w:b/>
          <w:bCs/>
          <w:color w:val="000000"/>
          <w:sz w:val="20"/>
          <w:szCs w:val="20"/>
        </w:rPr>
        <w:t>Three Months Ended</w:t>
      </w:r>
      <w:r>
        <w:rPr>
          <w:rFonts w:eastAsia="Times New Roman"/>
          <w:b/>
          <w:bCs/>
          <w:color w:val="000000"/>
          <w:sz w:val="20"/>
          <w:szCs w:val="20"/>
        </w:rPr>
        <w:t xml:space="preserve"> June 30, 2022 Compared to the Three Months Ended June 30, 2021 for the Individual Retirement Segment</w:t>
      </w:r>
    </w:p>
    <w:p w:rsidR="00000000" w:rsidRDefault="005C524C">
      <w:pPr>
        <w:jc w:val="both"/>
        <w:divId w:val="2051107959"/>
        <w:rPr>
          <w:rFonts w:eastAsia="Times New Roman"/>
        </w:rPr>
      </w:pPr>
      <w:r>
        <w:rPr>
          <w:rFonts w:eastAsia="Times New Roman"/>
          <w:b/>
          <w:bCs/>
          <w:i/>
          <w:iCs/>
          <w:color w:val="000000"/>
          <w:sz w:val="20"/>
          <w:szCs w:val="20"/>
        </w:rPr>
        <w:t>Operating earnings</w:t>
      </w:r>
    </w:p>
    <w:p w:rsidR="00000000" w:rsidRDefault="005C524C">
      <w:pPr>
        <w:ind w:firstLine="360"/>
        <w:divId w:val="922374424"/>
        <w:rPr>
          <w:rFonts w:eastAsia="Times New Roman"/>
        </w:rPr>
      </w:pPr>
      <w:r>
        <w:rPr>
          <w:rFonts w:eastAsia="Times New Roman"/>
          <w:color w:val="000000"/>
          <w:sz w:val="20"/>
          <w:szCs w:val="20"/>
        </w:rPr>
        <w:t>Operating earnings decreased $140 million to $274 million during the three months ended June 30, 2022 from $414 million in the three mo</w:t>
      </w:r>
      <w:r>
        <w:rPr>
          <w:rFonts w:eastAsia="Times New Roman"/>
          <w:color w:val="000000"/>
          <w:sz w:val="20"/>
          <w:szCs w:val="20"/>
        </w:rPr>
        <w:t xml:space="preserve">nths ended June 30, 2021. </w:t>
      </w:r>
      <w:r>
        <w:rPr>
          <w:rFonts w:eastAsia="Times New Roman"/>
          <w:color w:val="000000"/>
          <w:sz w:val="20"/>
          <w:szCs w:val="20"/>
          <w:shd w:val="clear" w:color="auto" w:fill="FFFFFF"/>
        </w:rPr>
        <w:t>The following notable items were the primary drivers of the change in operating earnings:</w:t>
      </w:r>
    </w:p>
    <w:p w:rsidR="00000000" w:rsidRDefault="005C524C">
      <w:pPr>
        <w:ind w:firstLine="360"/>
        <w:divId w:val="770664592"/>
        <w:rPr>
          <w:rFonts w:eastAsia="Times New Roman"/>
        </w:rPr>
      </w:pPr>
      <w:r>
        <w:rPr>
          <w:rFonts w:eastAsia="Times New Roman"/>
          <w:color w:val="000000"/>
          <w:sz w:val="20"/>
          <w:szCs w:val="20"/>
        </w:rPr>
        <w:t>Unfavorable items included:</w:t>
      </w:r>
    </w:p>
    <w:p w:rsidR="00000000" w:rsidRDefault="005C524C">
      <w:pPr>
        <w:ind w:hanging="360"/>
        <w:divId w:val="194924893"/>
        <w:rPr>
          <w:rFonts w:eastAsia="Times New Roman"/>
        </w:rPr>
      </w:pPr>
      <w:r>
        <w:rPr>
          <w:rFonts w:eastAsia="Times New Roman"/>
          <w:color w:val="000000"/>
          <w:sz w:val="20"/>
          <w:szCs w:val="20"/>
        </w:rPr>
        <w:t>•Fee-type revenue decreased by $139 million due to lower average Separate Accounts AV as a result of lower equit</w:t>
      </w:r>
      <w:r>
        <w:rPr>
          <w:rFonts w:eastAsia="Times New Roman"/>
          <w:color w:val="000000"/>
          <w:sz w:val="20"/>
          <w:szCs w:val="20"/>
        </w:rPr>
        <w:t>y markets and the impact of AV ceded to Venerable, partially offset by commission reimbursements in Other Income.</w:t>
      </w:r>
    </w:p>
    <w:p w:rsidR="00000000" w:rsidRDefault="005C524C">
      <w:pPr>
        <w:ind w:hanging="360"/>
        <w:divId w:val="1853493579"/>
        <w:rPr>
          <w:rFonts w:eastAsia="Times New Roman"/>
        </w:rPr>
      </w:pPr>
      <w:r>
        <w:rPr>
          <w:rFonts w:eastAsia="Times New Roman"/>
          <w:color w:val="000000"/>
          <w:sz w:val="20"/>
          <w:szCs w:val="20"/>
        </w:rPr>
        <w:t>•Net investment income decreased by $63 million mainly due to lower alternative investment income, lower prepayments and lower assets due to t</w:t>
      </w:r>
      <w:r>
        <w:rPr>
          <w:rFonts w:eastAsia="Times New Roman"/>
          <w:color w:val="000000"/>
          <w:sz w:val="20"/>
          <w:szCs w:val="20"/>
        </w:rPr>
        <w:t>he Venerable Transaction partially offset by GA optimization.</w:t>
      </w:r>
    </w:p>
    <w:p w:rsidR="00000000" w:rsidRDefault="005C524C">
      <w:pPr>
        <w:ind w:hanging="360"/>
        <w:divId w:val="1725791334"/>
        <w:rPr>
          <w:rFonts w:eastAsia="Times New Roman"/>
        </w:rPr>
      </w:pPr>
      <w:r>
        <w:rPr>
          <w:rFonts w:eastAsia="Times New Roman"/>
          <w:color w:val="000000"/>
          <w:sz w:val="20"/>
          <w:szCs w:val="20"/>
        </w:rPr>
        <w:t xml:space="preserve">•Amortization of DAC increased by $13 million mainly due to poor equity performance in second quarter 2022 versus positive equity performance in second quarter 2021. </w:t>
      </w:r>
    </w:p>
    <w:p w:rsidR="00000000" w:rsidRDefault="005C524C">
      <w:pPr>
        <w:ind w:hanging="360"/>
        <w:jc w:val="both"/>
        <w:divId w:val="187062608"/>
        <w:rPr>
          <w:rFonts w:eastAsia="Times New Roman"/>
        </w:rPr>
      </w:pPr>
      <w:r>
        <w:rPr>
          <w:rFonts w:eastAsia="Times New Roman"/>
          <w:color w:val="000000"/>
          <w:sz w:val="20"/>
          <w:szCs w:val="20"/>
        </w:rPr>
        <w:t>•</w:t>
      </w:r>
      <w:r>
        <w:rPr>
          <w:rFonts w:eastAsia="Times New Roman"/>
          <w:color w:val="000000"/>
          <w:sz w:val="20"/>
          <w:szCs w:val="20"/>
        </w:rPr>
        <w:t>Interest credited to policyholders’ account balances increased by $11 million mainly due to the growth of SCS AV.</w:t>
      </w:r>
    </w:p>
    <w:p w:rsidR="00000000" w:rsidRDefault="005C524C">
      <w:pPr>
        <w:ind w:firstLine="360"/>
        <w:divId w:val="1793356885"/>
        <w:rPr>
          <w:rFonts w:eastAsia="Times New Roman"/>
        </w:rPr>
      </w:pPr>
      <w:r>
        <w:rPr>
          <w:rFonts w:eastAsia="Times New Roman"/>
          <w:color w:val="000000"/>
          <w:sz w:val="20"/>
          <w:szCs w:val="20"/>
        </w:rPr>
        <w:t>These were partially offset by the following favorable items:</w:t>
      </w:r>
    </w:p>
    <w:p w:rsidR="00000000" w:rsidRDefault="005C524C">
      <w:pPr>
        <w:ind w:hanging="360"/>
        <w:divId w:val="465317267"/>
        <w:rPr>
          <w:rFonts w:eastAsia="Times New Roman"/>
        </w:rPr>
      </w:pPr>
      <w:r>
        <w:rPr>
          <w:rFonts w:eastAsia="Times New Roman"/>
          <w:color w:val="000000"/>
          <w:sz w:val="20"/>
          <w:szCs w:val="20"/>
        </w:rPr>
        <w:t>•Net GMxB results increased by $28 million primarily due to improved GMxB margin</w:t>
      </w:r>
      <w:r>
        <w:rPr>
          <w:rFonts w:eastAsia="Times New Roman"/>
          <w:color w:val="000000"/>
          <w:sz w:val="20"/>
          <w:szCs w:val="20"/>
        </w:rPr>
        <w:t xml:space="preserve"> from the Venerable Transaction, which mitigated the higher claims in 2022. GMxB results are included in policy charges and fee income, net derivative gains (losses), and policyholders’ benefits. </w:t>
      </w:r>
    </w:p>
    <w:p w:rsidR="00000000" w:rsidRDefault="005C524C">
      <w:pPr>
        <w:ind w:hanging="360"/>
        <w:divId w:val="93791592"/>
        <w:rPr>
          <w:rFonts w:eastAsia="Times New Roman"/>
        </w:rPr>
      </w:pPr>
      <w:r>
        <w:rPr>
          <w:rFonts w:eastAsia="Times New Roman"/>
          <w:color w:val="000000"/>
          <w:sz w:val="20"/>
          <w:szCs w:val="20"/>
        </w:rPr>
        <w:t>•Compensation, benefits and other operating costs and expen</w:t>
      </w:r>
      <w:r>
        <w:rPr>
          <w:rFonts w:eastAsia="Times New Roman"/>
          <w:color w:val="000000"/>
          <w:sz w:val="20"/>
          <w:szCs w:val="20"/>
        </w:rPr>
        <w:t>ses decreased by $20 million primarily due to lower fund expenses from lower average assets due to the Venerable Transaction and overall total company expense efficiency.</w:t>
      </w:r>
    </w:p>
    <w:p w:rsidR="00000000" w:rsidRDefault="005C524C">
      <w:pPr>
        <w:ind w:hanging="360"/>
        <w:divId w:val="199392820"/>
        <w:rPr>
          <w:rFonts w:eastAsia="Times New Roman"/>
        </w:rPr>
      </w:pPr>
      <w:r>
        <w:rPr>
          <w:rFonts w:eastAsia="Times New Roman"/>
          <w:color w:val="000000"/>
          <w:sz w:val="20"/>
          <w:szCs w:val="20"/>
        </w:rPr>
        <w:t xml:space="preserve">•Commissions and distribution-related payments decreased by $8 million mainly due to </w:t>
      </w:r>
      <w:r>
        <w:rPr>
          <w:rFonts w:eastAsia="Times New Roman"/>
          <w:color w:val="000000"/>
          <w:sz w:val="20"/>
          <w:szCs w:val="20"/>
        </w:rPr>
        <w:t>lower average asset balances, gross of Venerable.</w:t>
      </w:r>
    </w:p>
    <w:p w:rsidR="00000000" w:rsidRDefault="005C524C">
      <w:pPr>
        <w:ind w:hanging="360"/>
        <w:jc w:val="both"/>
        <w:divId w:val="951671576"/>
        <w:rPr>
          <w:rFonts w:eastAsia="Times New Roman"/>
        </w:rPr>
      </w:pPr>
      <w:r>
        <w:rPr>
          <w:rFonts w:eastAsia="Times New Roman"/>
          <w:color w:val="000000"/>
          <w:sz w:val="20"/>
          <w:szCs w:val="20"/>
        </w:rPr>
        <w:t>•Income tax expense decreased by $24 million mainly driven by lower pre-tax earnings, partially offset by a higher effective tax rate.</w:t>
      </w:r>
    </w:p>
    <w:p w:rsidR="00000000" w:rsidRDefault="005C524C">
      <w:pPr>
        <w:jc w:val="both"/>
        <w:divId w:val="1393037238"/>
        <w:rPr>
          <w:rFonts w:eastAsia="Times New Roman"/>
        </w:rPr>
      </w:pPr>
      <w:r>
        <w:rPr>
          <w:rFonts w:eastAsia="Times New Roman"/>
          <w:b/>
          <w:bCs/>
          <w:i/>
          <w:iCs/>
          <w:color w:val="000000"/>
          <w:sz w:val="20"/>
          <w:szCs w:val="20"/>
        </w:rPr>
        <w:t>Net Flows and AV</w:t>
      </w:r>
    </w:p>
    <w:p w:rsidR="00000000" w:rsidRDefault="005C524C">
      <w:pPr>
        <w:ind w:hanging="180"/>
        <w:divId w:val="907345978"/>
        <w:rPr>
          <w:rFonts w:eastAsia="Times New Roman"/>
        </w:rPr>
      </w:pPr>
      <w:r>
        <w:rPr>
          <w:rFonts w:eastAsia="Times New Roman"/>
          <w:color w:val="000000"/>
          <w:sz w:val="20"/>
          <w:szCs w:val="20"/>
        </w:rPr>
        <w:t>• Total AV as of June </w:t>
      </w:r>
      <w:r>
        <w:rPr>
          <w:rFonts w:eastAsia="Times New Roman"/>
          <w:color w:val="000000"/>
          <w:sz w:val="20"/>
          <w:szCs w:val="20"/>
        </w:rPr>
        <w:t>30, 2022 was $94.3 billion, down $12.1 billion, compared to March 31, 2022. The decline in AV was primarily due to a $12.7 billion decrease in equity markets, partially offset by $634 million in net inflows.</w:t>
      </w:r>
    </w:p>
    <w:p w:rsidR="00000000" w:rsidRDefault="005C524C">
      <w:pPr>
        <w:ind w:hanging="180"/>
        <w:jc w:val="both"/>
        <w:divId w:val="1016083343"/>
        <w:rPr>
          <w:rFonts w:eastAsia="Times New Roman"/>
        </w:rPr>
      </w:pPr>
      <w:r>
        <w:rPr>
          <w:rFonts w:eastAsia="Times New Roman"/>
          <w:color w:val="000000"/>
          <w:sz w:val="20"/>
          <w:szCs w:val="20"/>
        </w:rPr>
        <w:t>•Net inflows of $634 million were $812 million h</w:t>
      </w:r>
      <w:r>
        <w:rPr>
          <w:rFonts w:eastAsia="Times New Roman"/>
          <w:color w:val="000000"/>
          <w:sz w:val="20"/>
          <w:szCs w:val="20"/>
        </w:rPr>
        <w:t>igher than in the three months ended June 30, 2021, mainly driven by $532 million of outflows on our older fixed-rate GMxB block, partially offset by $1.2 billion of inflows on our newer, less capital-intensive products.</w:t>
      </w:r>
    </w:p>
    <w:p w:rsidR="00000000" w:rsidRDefault="005C524C">
      <w:pPr>
        <w:jc w:val="center"/>
        <w:divId w:val="492989573"/>
        <w:rPr>
          <w:rFonts w:eastAsia="Times New Roman"/>
        </w:rPr>
      </w:pPr>
      <w:r>
        <w:rPr>
          <w:rFonts w:eastAsia="Times New Roman"/>
          <w:color w:val="000000"/>
          <w:sz w:val="20"/>
          <w:szCs w:val="20"/>
        </w:rPr>
        <w:t>84</w:t>
      </w:r>
    </w:p>
    <w:p w:rsidR="00000000" w:rsidRDefault="005C524C">
      <w:pPr>
        <w:rPr>
          <w:rFonts w:eastAsia="Times New Roman"/>
        </w:rPr>
      </w:pPr>
      <w:r>
        <w:rPr>
          <w:rFonts w:eastAsia="Times New Roman"/>
        </w:rPr>
        <w:pict>
          <v:rect id="_x0000_i1110" style="width:0;height:1.5pt" o:hralign="center" o:hrstd="t" o:hr="t" fillcolor="#a0a0a0" stroked="f"/>
        </w:pict>
      </w:r>
    </w:p>
    <w:p w:rsidR="00000000" w:rsidRDefault="005C524C">
      <w:pPr>
        <w:divId w:val="166115501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303051802"/>
        <w:rPr>
          <w:rFonts w:eastAsia="Times New Roman"/>
        </w:rPr>
      </w:pPr>
      <w:r>
        <w:rPr>
          <w:rFonts w:eastAsia="Times New Roman"/>
          <w:b/>
          <w:bCs/>
          <w:color w:val="000000"/>
          <w:sz w:val="20"/>
          <w:szCs w:val="20"/>
          <w:shd w:val="clear" w:color="auto" w:fill="FFFFFF"/>
        </w:rPr>
        <w:t>Six Months Ended June 30, 2022 Compared to the Six Months Ended June 30, 2021 for the Individual Retirement Segment</w:t>
      </w:r>
    </w:p>
    <w:p w:rsidR="00000000" w:rsidRDefault="005C524C">
      <w:pPr>
        <w:jc w:val="both"/>
        <w:divId w:val="1402410093"/>
        <w:rPr>
          <w:rFonts w:eastAsia="Times New Roman"/>
        </w:rPr>
      </w:pPr>
      <w:r>
        <w:rPr>
          <w:rFonts w:eastAsia="Times New Roman"/>
          <w:b/>
          <w:bCs/>
          <w:i/>
          <w:iCs/>
          <w:color w:val="000000"/>
          <w:sz w:val="20"/>
          <w:szCs w:val="20"/>
          <w:shd w:val="clear" w:color="auto" w:fill="FFFFFF"/>
        </w:rPr>
        <w:t>Operating earnings</w:t>
      </w:r>
    </w:p>
    <w:p w:rsidR="00000000" w:rsidRDefault="005C524C">
      <w:pPr>
        <w:ind w:firstLine="360"/>
        <w:divId w:val="476410821"/>
        <w:rPr>
          <w:rFonts w:eastAsia="Times New Roman"/>
        </w:rPr>
      </w:pPr>
      <w:r>
        <w:rPr>
          <w:rFonts w:eastAsia="Times New Roman"/>
          <w:color w:val="000000"/>
          <w:sz w:val="20"/>
          <w:szCs w:val="20"/>
          <w:shd w:val="clear" w:color="auto" w:fill="FFFFFF"/>
        </w:rPr>
        <w:t>Operating earnings decreased $210 millio</w:t>
      </w:r>
      <w:r>
        <w:rPr>
          <w:rFonts w:eastAsia="Times New Roman"/>
          <w:color w:val="000000"/>
          <w:sz w:val="20"/>
          <w:szCs w:val="20"/>
          <w:shd w:val="clear" w:color="auto" w:fill="FFFFFF"/>
        </w:rPr>
        <w:t>n to $567 million during the six months ended June 30, 2022 from $777 million in the six months ended June 30, 2021. The following notable items were the primary drivers of the change in operating earnings:</w:t>
      </w:r>
    </w:p>
    <w:p w:rsidR="00000000" w:rsidRDefault="005C524C">
      <w:pPr>
        <w:divId w:val="2054697200"/>
        <w:rPr>
          <w:rFonts w:eastAsia="Times New Roman"/>
        </w:rPr>
      </w:pPr>
    </w:p>
    <w:p w:rsidR="00000000" w:rsidRDefault="005C524C">
      <w:pPr>
        <w:divId w:val="90249920"/>
        <w:rPr>
          <w:rFonts w:eastAsia="Times New Roman"/>
        </w:rPr>
      </w:pPr>
      <w:r>
        <w:rPr>
          <w:rFonts w:eastAsia="Times New Roman"/>
          <w:color w:val="000000"/>
          <w:sz w:val="20"/>
          <w:szCs w:val="20"/>
          <w:shd w:val="clear" w:color="auto" w:fill="FFFFFF"/>
        </w:rPr>
        <w:t>Unfavorable items included:</w:t>
      </w:r>
    </w:p>
    <w:p w:rsidR="00000000" w:rsidRDefault="005C524C">
      <w:pPr>
        <w:ind w:hanging="180"/>
        <w:divId w:val="891816844"/>
        <w:rPr>
          <w:rFonts w:eastAsia="Times New Roman"/>
        </w:rPr>
      </w:pPr>
      <w:r>
        <w:rPr>
          <w:rFonts w:eastAsia="Times New Roman"/>
          <w:color w:val="000000"/>
          <w:sz w:val="20"/>
          <w:szCs w:val="20"/>
        </w:rPr>
        <w:t>•Fee-type revenue d</w:t>
      </w:r>
      <w:r>
        <w:rPr>
          <w:rFonts w:eastAsia="Times New Roman"/>
          <w:color w:val="000000"/>
          <w:sz w:val="20"/>
          <w:szCs w:val="20"/>
        </w:rPr>
        <w:t>ecreased by $245 million mainly due to lower average Separate Accounts AV as a result of lower equity markets and the impact of AV ceded to Venerable, partially offset by commission reimbursements in Other Income.</w:t>
      </w:r>
    </w:p>
    <w:p w:rsidR="00000000" w:rsidRDefault="005C524C">
      <w:pPr>
        <w:ind w:hanging="180"/>
        <w:divId w:val="182473166"/>
        <w:rPr>
          <w:rFonts w:eastAsia="Times New Roman"/>
        </w:rPr>
      </w:pPr>
      <w:r>
        <w:rPr>
          <w:rFonts w:eastAsia="Times New Roman"/>
          <w:color w:val="000000"/>
          <w:sz w:val="20"/>
          <w:szCs w:val="20"/>
        </w:rPr>
        <w:t>•Net investment income decreased by $91 mi</w:t>
      </w:r>
      <w:r>
        <w:rPr>
          <w:rFonts w:eastAsia="Times New Roman"/>
          <w:color w:val="000000"/>
          <w:sz w:val="20"/>
          <w:szCs w:val="20"/>
        </w:rPr>
        <w:t>llion mainly due to lower income due to the Venerable Transaction, partially offset by higher SCS asset balances and GA optimization.</w:t>
      </w:r>
    </w:p>
    <w:p w:rsidR="00000000" w:rsidRDefault="005C524C">
      <w:pPr>
        <w:ind w:hanging="180"/>
        <w:divId w:val="1753626651"/>
        <w:rPr>
          <w:rFonts w:eastAsia="Times New Roman"/>
        </w:rPr>
      </w:pPr>
      <w:r>
        <w:rPr>
          <w:rFonts w:eastAsia="Times New Roman"/>
          <w:color w:val="000000"/>
          <w:sz w:val="20"/>
          <w:szCs w:val="20"/>
        </w:rPr>
        <w:t>•Amortization of DAC increased by $32 million mainly due to unfavorable markets in 2022 compared with favorable markets in</w:t>
      </w:r>
      <w:r>
        <w:rPr>
          <w:rFonts w:eastAsia="Times New Roman"/>
          <w:color w:val="000000"/>
          <w:sz w:val="20"/>
          <w:szCs w:val="20"/>
        </w:rPr>
        <w:t xml:space="preserve"> 2021.</w:t>
      </w:r>
    </w:p>
    <w:p w:rsidR="00000000" w:rsidRDefault="005C524C">
      <w:pPr>
        <w:ind w:hanging="180"/>
        <w:jc w:val="both"/>
        <w:divId w:val="1983193819"/>
        <w:rPr>
          <w:rFonts w:eastAsia="Times New Roman"/>
        </w:rPr>
      </w:pPr>
      <w:r>
        <w:rPr>
          <w:rFonts w:eastAsia="Times New Roman"/>
          <w:color w:val="000000"/>
          <w:sz w:val="20"/>
          <w:szCs w:val="20"/>
        </w:rPr>
        <w:t>•Interest credited to policyholders’ account balances increased by $19 million mainly due to the growth of SCS AV.</w:t>
      </w:r>
    </w:p>
    <w:p w:rsidR="00000000" w:rsidRDefault="005C524C">
      <w:pPr>
        <w:divId w:val="1279987971"/>
        <w:rPr>
          <w:rFonts w:eastAsia="Times New Roman"/>
        </w:rPr>
      </w:pPr>
      <w:r>
        <w:rPr>
          <w:rFonts w:eastAsia="Times New Roman"/>
          <w:color w:val="000000"/>
          <w:sz w:val="20"/>
          <w:szCs w:val="20"/>
        </w:rPr>
        <w:t>These were partially offset by the following favorable items:</w:t>
      </w:r>
    </w:p>
    <w:p w:rsidR="00000000" w:rsidRDefault="005C524C">
      <w:pPr>
        <w:ind w:hanging="180"/>
        <w:divId w:val="669021853"/>
        <w:rPr>
          <w:rFonts w:eastAsia="Times New Roman"/>
        </w:rPr>
      </w:pPr>
      <w:r>
        <w:rPr>
          <w:rFonts w:eastAsia="Times New Roman"/>
          <w:color w:val="000000"/>
          <w:sz w:val="20"/>
          <w:szCs w:val="20"/>
        </w:rPr>
        <w:t>•Net GMxB results increased $89 million primarily due to improved GMxB m</w:t>
      </w:r>
      <w:r>
        <w:rPr>
          <w:rFonts w:eastAsia="Times New Roman"/>
          <w:color w:val="000000"/>
          <w:sz w:val="20"/>
          <w:szCs w:val="20"/>
        </w:rPr>
        <w:t xml:space="preserve">argin from the Venerable Transaction, which mitigated the higher claims in 2022. GMxB results are included in policy charges and fee income, net derivative gains (losses), and policyholders’ benefits. </w:t>
      </w:r>
    </w:p>
    <w:p w:rsidR="00000000" w:rsidRDefault="005C524C">
      <w:pPr>
        <w:ind w:hanging="180"/>
        <w:divId w:val="45639877"/>
        <w:rPr>
          <w:rFonts w:eastAsia="Times New Roman"/>
        </w:rPr>
      </w:pPr>
      <w:r>
        <w:rPr>
          <w:rFonts w:eastAsia="Times New Roman"/>
          <w:color w:val="000000"/>
          <w:sz w:val="20"/>
          <w:szCs w:val="20"/>
        </w:rPr>
        <w:t xml:space="preserve">•Compensation, benefits and other operating costs and </w:t>
      </w:r>
      <w:r>
        <w:rPr>
          <w:rFonts w:eastAsia="Times New Roman"/>
          <w:color w:val="000000"/>
          <w:sz w:val="20"/>
          <w:szCs w:val="20"/>
        </w:rPr>
        <w:t>expenses decreased by $44 million primarily due to lower fund expenses from lower average assets due to the Venerable Transaction and overall total company expense efficiency.</w:t>
      </w:r>
    </w:p>
    <w:p w:rsidR="00000000" w:rsidRDefault="005C524C">
      <w:pPr>
        <w:ind w:hanging="180"/>
        <w:divId w:val="1917931747"/>
        <w:rPr>
          <w:rFonts w:eastAsia="Times New Roman"/>
        </w:rPr>
      </w:pPr>
      <w:r>
        <w:rPr>
          <w:rFonts w:eastAsia="Times New Roman"/>
          <w:color w:val="000000"/>
          <w:sz w:val="20"/>
          <w:szCs w:val="20"/>
        </w:rPr>
        <w:t>•</w:t>
      </w:r>
      <w:r>
        <w:rPr>
          <w:rFonts w:eastAsia="Times New Roman"/>
          <w:color w:val="000000"/>
          <w:sz w:val="20"/>
          <w:szCs w:val="20"/>
        </w:rPr>
        <w:t>Commissions and distribution-related payments decreased by $9 million mainly due to lower AV due to first half of 2022 equity performance</w:t>
      </w:r>
    </w:p>
    <w:p w:rsidR="00000000" w:rsidRDefault="005C524C">
      <w:pPr>
        <w:ind w:hanging="180"/>
        <w:jc w:val="both"/>
        <w:divId w:val="1030885552"/>
        <w:rPr>
          <w:rFonts w:eastAsia="Times New Roman"/>
        </w:rPr>
      </w:pPr>
      <w:r>
        <w:rPr>
          <w:rFonts w:eastAsia="Times New Roman"/>
          <w:color w:val="000000"/>
          <w:sz w:val="20"/>
          <w:szCs w:val="20"/>
        </w:rPr>
        <w:t>•Income tax expense decreased by $32 million mainly driven by lower pre-tax earnings partially offset by a higher effe</w:t>
      </w:r>
      <w:r>
        <w:rPr>
          <w:rFonts w:eastAsia="Times New Roman"/>
          <w:color w:val="000000"/>
          <w:sz w:val="20"/>
          <w:szCs w:val="20"/>
        </w:rPr>
        <w:t>ctive tax rate in the first half of 2022.</w:t>
      </w:r>
    </w:p>
    <w:p w:rsidR="00000000" w:rsidRDefault="005C524C">
      <w:pPr>
        <w:jc w:val="both"/>
        <w:divId w:val="761922442"/>
        <w:rPr>
          <w:rFonts w:eastAsia="Times New Roman"/>
        </w:rPr>
      </w:pPr>
      <w:r>
        <w:rPr>
          <w:rFonts w:eastAsia="Times New Roman"/>
          <w:b/>
          <w:bCs/>
          <w:i/>
          <w:iCs/>
          <w:color w:val="000000"/>
          <w:sz w:val="20"/>
          <w:szCs w:val="20"/>
        </w:rPr>
        <w:t>Net Flows and AV</w:t>
      </w:r>
    </w:p>
    <w:p w:rsidR="00000000" w:rsidRDefault="005C524C">
      <w:pPr>
        <w:ind w:hanging="180"/>
        <w:divId w:val="1516922290"/>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The decline in AV of $17.6 billion in the six months ended June 30, 2022 was driven by a decrease in investments performance and interest credited to account balances, net of policy charges of $18.3 billion as a result of equity market depreciation in 2022</w:t>
      </w:r>
      <w:r>
        <w:rPr>
          <w:rFonts w:eastAsia="Times New Roman"/>
          <w:color w:val="000000"/>
          <w:sz w:val="20"/>
          <w:szCs w:val="20"/>
          <w:shd w:val="clear" w:color="auto" w:fill="FFFFFF"/>
        </w:rPr>
        <w:t>, partially offset by net inflows of $686 million.</w:t>
      </w:r>
    </w:p>
    <w:p w:rsidR="00000000" w:rsidRDefault="005C524C">
      <w:pPr>
        <w:ind w:hanging="180"/>
        <w:jc w:val="both"/>
        <w:divId w:val="2007393543"/>
        <w:rPr>
          <w:rFonts w:eastAsia="Times New Roman"/>
        </w:rPr>
      </w:pPr>
      <w:r>
        <w:rPr>
          <w:rFonts w:eastAsia="Times New Roman"/>
          <w:color w:val="000000"/>
          <w:sz w:val="20"/>
          <w:szCs w:val="20"/>
          <w:shd w:val="clear" w:color="auto" w:fill="FFFFFF"/>
        </w:rPr>
        <w:t>•Net inflows of $686 million were $1.4 billion higher than in the six months ended June 30, 2021, mainly driven by $1.1 billion of outflows on our older fixed-rate GMxB block, partially offset by $1.8 bill</w:t>
      </w:r>
      <w:r>
        <w:rPr>
          <w:rFonts w:eastAsia="Times New Roman"/>
          <w:color w:val="000000"/>
          <w:sz w:val="20"/>
          <w:szCs w:val="20"/>
          <w:shd w:val="clear" w:color="auto" w:fill="FFFFFF"/>
        </w:rPr>
        <w:t>ion of inflows on our newer, less capital-intensive products.</w:t>
      </w:r>
    </w:p>
    <w:p w:rsidR="00000000" w:rsidRDefault="005C524C">
      <w:pPr>
        <w:divId w:val="1460418249"/>
        <w:rPr>
          <w:rFonts w:eastAsia="Times New Roman"/>
        </w:rPr>
      </w:pPr>
      <w:r>
        <w:rPr>
          <w:rFonts w:eastAsia="Times New Roman"/>
          <w:b/>
          <w:bCs/>
          <w:color w:val="000000"/>
          <w:sz w:val="20"/>
          <w:szCs w:val="20"/>
        </w:rPr>
        <w:t>Group Retirement</w:t>
      </w:r>
    </w:p>
    <w:p w:rsidR="00000000" w:rsidRDefault="005C524C">
      <w:pPr>
        <w:ind w:firstLine="360"/>
        <w:divId w:val="1317034490"/>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w:t>
      </w:r>
      <w:r>
        <w:rPr>
          <w:rFonts w:eastAsia="Times New Roman"/>
          <w:color w:val="000000"/>
          <w:sz w:val="20"/>
          <w:szCs w:val="20"/>
        </w:rPr>
        <w:t>ities, as well as small and medium-sized businesses.</w:t>
      </w:r>
    </w:p>
    <w:p w:rsidR="00000000" w:rsidRDefault="005C524C">
      <w:pPr>
        <w:ind w:firstLine="360"/>
        <w:divId w:val="1997879041"/>
        <w:rPr>
          <w:rFonts w:eastAsia="Times New Roman"/>
        </w:rPr>
      </w:pPr>
      <w:r>
        <w:rPr>
          <w:rFonts w:eastAsia="Times New Roman"/>
          <w:color w:val="000000"/>
          <w:sz w:val="20"/>
          <w:szCs w:val="20"/>
        </w:rPr>
        <w:t>The following table summarizes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367"/>
        <w:gridCol w:w="36"/>
        <w:gridCol w:w="120"/>
        <w:gridCol w:w="692"/>
        <w:gridCol w:w="36"/>
        <w:gridCol w:w="36"/>
        <w:gridCol w:w="36"/>
        <w:gridCol w:w="36"/>
        <w:gridCol w:w="120"/>
        <w:gridCol w:w="692"/>
        <w:gridCol w:w="36"/>
        <w:gridCol w:w="120"/>
        <w:gridCol w:w="787"/>
        <w:gridCol w:w="36"/>
        <w:gridCol w:w="36"/>
        <w:gridCol w:w="36"/>
        <w:gridCol w:w="36"/>
        <w:gridCol w:w="120"/>
        <w:gridCol w:w="639"/>
        <w:gridCol w:w="36"/>
        <w:gridCol w:w="36"/>
        <w:gridCol w:w="36"/>
        <w:gridCol w:w="36"/>
        <w:gridCol w:w="36"/>
        <w:gridCol w:w="36"/>
        <w:gridCol w:w="36"/>
      </w:tblGrid>
      <w:tr w:rsidR="00000000">
        <w:trPr>
          <w:divId w:val="1359744060"/>
        </w:trPr>
        <w:tc>
          <w:tcPr>
            <w:tcW w:w="50" w:type="pct"/>
            <w:vAlign w:val="center"/>
            <w:hideMark/>
          </w:tcPr>
          <w:p w:rsidR="00000000" w:rsidRDefault="005C524C">
            <w:pPr>
              <w:ind w:firstLine="360"/>
              <w:rPr>
                <w:rFonts w:eastAsia="Times New Roman"/>
              </w:rPr>
            </w:pPr>
          </w:p>
        </w:tc>
        <w:tc>
          <w:tcPr>
            <w:tcW w:w="274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6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5974406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5974406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35974406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35974406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firstLine="360"/>
        <w:divId w:val="1975211697"/>
        <w:rPr>
          <w:rFonts w:eastAsia="Times New Roman"/>
        </w:rPr>
      </w:pPr>
      <w:r>
        <w:rPr>
          <w:rFonts w:eastAsia="Times New Roman"/>
          <w:color w:val="000000"/>
          <w:sz w:val="20"/>
          <w:szCs w:val="20"/>
        </w:rPr>
        <w:t>Key components of operating earnings are:</w:t>
      </w:r>
    </w:p>
    <w:p w:rsidR="00000000" w:rsidRDefault="005C524C">
      <w:pPr>
        <w:jc w:val="center"/>
        <w:divId w:val="1465612904"/>
        <w:rPr>
          <w:rFonts w:eastAsia="Times New Roman"/>
        </w:rPr>
      </w:pPr>
      <w:r>
        <w:rPr>
          <w:rFonts w:eastAsia="Times New Roman"/>
          <w:color w:val="000000"/>
          <w:sz w:val="20"/>
          <w:szCs w:val="20"/>
        </w:rPr>
        <w:t>85</w:t>
      </w:r>
    </w:p>
    <w:p w:rsidR="00000000" w:rsidRDefault="005C524C">
      <w:pPr>
        <w:rPr>
          <w:rFonts w:eastAsia="Times New Roman"/>
        </w:rPr>
      </w:pPr>
      <w:r>
        <w:rPr>
          <w:rFonts w:eastAsia="Times New Roman"/>
        </w:rPr>
        <w:pict>
          <v:rect id="_x0000_i1111" style="width:0;height:1.5pt" o:hralign="center" o:hrstd="t" o:hr="t" fillcolor="#a0a0a0" stroked="f"/>
        </w:pict>
      </w:r>
    </w:p>
    <w:p w:rsidR="00000000" w:rsidRDefault="005C524C">
      <w:pPr>
        <w:divId w:val="946738278"/>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248"/>
        <w:gridCol w:w="37"/>
        <w:gridCol w:w="120"/>
        <w:gridCol w:w="703"/>
        <w:gridCol w:w="36"/>
        <w:gridCol w:w="36"/>
        <w:gridCol w:w="36"/>
        <w:gridCol w:w="36"/>
        <w:gridCol w:w="120"/>
        <w:gridCol w:w="703"/>
        <w:gridCol w:w="36"/>
        <w:gridCol w:w="120"/>
        <w:gridCol w:w="787"/>
        <w:gridCol w:w="36"/>
        <w:gridCol w:w="36"/>
        <w:gridCol w:w="36"/>
        <w:gridCol w:w="36"/>
        <w:gridCol w:w="120"/>
        <w:gridCol w:w="734"/>
        <w:gridCol w:w="36"/>
        <w:gridCol w:w="36"/>
        <w:gridCol w:w="36"/>
        <w:gridCol w:w="36"/>
        <w:gridCol w:w="36"/>
        <w:gridCol w:w="36"/>
        <w:gridCol w:w="36"/>
      </w:tblGrid>
      <w:tr w:rsidR="00000000">
        <w:trPr>
          <w:divId w:val="1959876910"/>
        </w:trPr>
        <w:tc>
          <w:tcPr>
            <w:tcW w:w="50" w:type="pct"/>
            <w:vAlign w:val="center"/>
            <w:hideMark/>
          </w:tcPr>
          <w:p w:rsidR="00000000" w:rsidRDefault="005C524C">
            <w:pPr>
              <w:rPr>
                <w:rFonts w:eastAsia="Times New Roman"/>
              </w:rPr>
            </w:pPr>
          </w:p>
        </w:tc>
        <w:tc>
          <w:tcPr>
            <w:tcW w:w="26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(losses) gains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959876910"/>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firstLine="360"/>
        <w:divId w:val="1457214632"/>
        <w:rPr>
          <w:rFonts w:eastAsia="Times New Roman"/>
        </w:rPr>
      </w:pPr>
      <w:r>
        <w:rPr>
          <w:rFonts w:eastAsia="Times New Roman"/>
          <w:color w:val="000000"/>
          <w:sz w:val="20"/>
          <w:szCs w:val="20"/>
        </w:rPr>
        <w:t>The following table summarizes AV and AUA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532"/>
        <w:gridCol w:w="38"/>
        <w:gridCol w:w="120"/>
        <w:gridCol w:w="908"/>
        <w:gridCol w:w="36"/>
        <w:gridCol w:w="36"/>
        <w:gridCol w:w="36"/>
        <w:gridCol w:w="36"/>
        <w:gridCol w:w="121"/>
        <w:gridCol w:w="1152"/>
        <w:gridCol w:w="36"/>
        <w:gridCol w:w="36"/>
        <w:gridCol w:w="36"/>
        <w:gridCol w:w="36"/>
        <w:gridCol w:w="36"/>
        <w:gridCol w:w="36"/>
        <w:gridCol w:w="36"/>
      </w:tblGrid>
      <w:tr w:rsidR="00000000">
        <w:trPr>
          <w:divId w:val="119615474"/>
        </w:trPr>
        <w:tc>
          <w:tcPr>
            <w:tcW w:w="50" w:type="pct"/>
            <w:vAlign w:val="center"/>
            <w:hideMark/>
          </w:tcPr>
          <w:p w:rsidR="00000000" w:rsidRDefault="005C524C">
            <w:pPr>
              <w:ind w:firstLine="360"/>
              <w:rPr>
                <w:rFonts w:eastAsia="Times New Roman"/>
              </w:rPr>
            </w:pPr>
          </w:p>
        </w:tc>
        <w:tc>
          <w:tcPr>
            <w:tcW w:w="344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76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June 30, 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December 31, 2021</w:t>
            </w:r>
          </w:p>
        </w:tc>
        <w:tc>
          <w:tcPr>
            <w:tcW w:w="0" w:type="auto"/>
            <w:gridSpan w:val="3"/>
            <w:vAlign w:val="center"/>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20"/>
                <w:szCs w:val="20"/>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AV and AUA</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 and Mutual Funds (1)</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27,927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34,763 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19615474"/>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AV and AUA</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41,167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47,809 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119615474"/>
        <w:rPr>
          <w:rFonts w:eastAsia="Times New Roman"/>
        </w:rPr>
      </w:pPr>
      <w:r>
        <w:rPr>
          <w:rFonts w:eastAsia="Times New Roman"/>
          <w:color w:val="000000"/>
          <w:sz w:val="20"/>
          <w:szCs w:val="20"/>
        </w:rPr>
        <w:t>____________</w:t>
      </w:r>
    </w:p>
    <w:p w:rsidR="00000000" w:rsidRDefault="005C524C">
      <w:pPr>
        <w:ind w:hanging="360"/>
        <w:divId w:val="2082361034"/>
        <w:rPr>
          <w:rFonts w:eastAsia="Times New Roman"/>
        </w:rPr>
      </w:pPr>
      <w:r>
        <w:rPr>
          <w:rFonts w:eastAsia="Times New Roman"/>
          <w:color w:val="000000"/>
          <w:sz w:val="20"/>
          <w:szCs w:val="20"/>
        </w:rPr>
        <w:t xml:space="preserve">(1) </w:t>
      </w:r>
      <w:r>
        <w:rPr>
          <w:rFonts w:eastAsia="Times New Roman"/>
          <w:color w:val="000000"/>
          <w:sz w:val="20"/>
          <w:szCs w:val="20"/>
        </w:rPr>
        <w:t>Prior period amounts related to Separate Account AV and Mutual Funds AUA were revised to include Mutual Fund AUA. The impact of the revision to December 31, 2021 total AV and AUA was $457 million.</w:t>
      </w:r>
    </w:p>
    <w:p w:rsidR="00000000" w:rsidRDefault="005C524C">
      <w:pPr>
        <w:ind w:firstLine="360"/>
        <w:divId w:val="1259829407"/>
        <w:rPr>
          <w:rFonts w:eastAsia="Times New Roman"/>
        </w:rPr>
      </w:pPr>
    </w:p>
    <w:p w:rsidR="00000000" w:rsidRDefault="005C524C">
      <w:pPr>
        <w:ind w:firstLine="360"/>
        <w:divId w:val="635793992"/>
        <w:rPr>
          <w:rFonts w:eastAsia="Times New Roman"/>
        </w:rPr>
      </w:pPr>
      <w:r>
        <w:rPr>
          <w:rFonts w:eastAsia="Times New Roman"/>
          <w:color w:val="000000"/>
          <w:sz w:val="20"/>
          <w:szCs w:val="20"/>
        </w:rPr>
        <w:t>The following table summarizes a roll-forward of AV and A</w:t>
      </w:r>
      <w:r>
        <w:rPr>
          <w:rFonts w:eastAsia="Times New Roman"/>
          <w:color w:val="000000"/>
          <w:sz w:val="20"/>
          <w:szCs w:val="20"/>
        </w:rPr>
        <w:t>UA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328"/>
        <w:gridCol w:w="39"/>
        <w:gridCol w:w="120"/>
        <w:gridCol w:w="703"/>
        <w:gridCol w:w="36"/>
        <w:gridCol w:w="36"/>
        <w:gridCol w:w="36"/>
        <w:gridCol w:w="36"/>
        <w:gridCol w:w="120"/>
        <w:gridCol w:w="703"/>
        <w:gridCol w:w="36"/>
        <w:gridCol w:w="120"/>
        <w:gridCol w:w="787"/>
        <w:gridCol w:w="36"/>
        <w:gridCol w:w="36"/>
        <w:gridCol w:w="36"/>
        <w:gridCol w:w="36"/>
        <w:gridCol w:w="120"/>
        <w:gridCol w:w="650"/>
        <w:gridCol w:w="36"/>
        <w:gridCol w:w="36"/>
        <w:gridCol w:w="36"/>
        <w:gridCol w:w="36"/>
        <w:gridCol w:w="36"/>
        <w:gridCol w:w="36"/>
        <w:gridCol w:w="36"/>
      </w:tblGrid>
      <w:tr w:rsidR="00000000">
        <w:trPr>
          <w:divId w:val="170536499"/>
        </w:trPr>
        <w:tc>
          <w:tcPr>
            <w:tcW w:w="50" w:type="pct"/>
            <w:vAlign w:val="center"/>
            <w:hideMark/>
          </w:tcPr>
          <w:p w:rsidR="00000000" w:rsidRDefault="005C524C">
            <w:pPr>
              <w:ind w:firstLine="360"/>
              <w:rPr>
                <w:rFonts w:eastAsia="Times New Roman"/>
              </w:rPr>
            </w:pPr>
          </w:p>
        </w:tc>
        <w:tc>
          <w:tcPr>
            <w:tcW w:w="27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 (1)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 (1)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46,035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44,274 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42,756 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FFFFFF"/>
            <w:tcMar>
              <w:top w:w="30" w:type="dxa"/>
              <w:left w:w="15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1,912 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(989)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(879)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(1,968)</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(1,847)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flows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(5,012)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(7,309)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3,535 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 (2)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536499"/>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41,167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46,299 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41,167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46,299 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2093769891"/>
        <w:rPr>
          <w:rFonts w:eastAsia="Times New Roman"/>
        </w:rPr>
      </w:pPr>
      <w:r>
        <w:rPr>
          <w:rFonts w:eastAsia="Times New Roman"/>
          <w:color w:val="000000"/>
          <w:sz w:val="18"/>
          <w:szCs w:val="18"/>
        </w:rPr>
        <w:t>____________</w:t>
      </w:r>
    </w:p>
    <w:p w:rsidR="00000000" w:rsidRDefault="005C524C">
      <w:pPr>
        <w:ind w:hanging="360"/>
        <w:divId w:val="1961371361"/>
        <w:rPr>
          <w:rFonts w:eastAsia="Times New Roman"/>
        </w:rPr>
      </w:pPr>
      <w:r>
        <w:rPr>
          <w:rFonts w:eastAsia="Times New Roman"/>
          <w:color w:val="000000"/>
          <w:sz w:val="18"/>
          <w:szCs w:val="18"/>
        </w:rPr>
        <w:t>(1)Prior period amounts related to the AV and AUA roll-forward were up</w:t>
      </w:r>
      <w:r>
        <w:rPr>
          <w:rFonts w:eastAsia="Times New Roman"/>
          <w:color w:val="000000"/>
          <w:sz w:val="18"/>
          <w:szCs w:val="18"/>
        </w:rPr>
        <w:t xml:space="preserve">dated to include Mutual Fund AUA. The impact of the revision to the beginning balance of the </w:t>
      </w:r>
      <w:r>
        <w:rPr>
          <w:rFonts w:eastAsia="Times New Roman"/>
          <w:color w:val="000000"/>
          <w:sz w:val="20"/>
          <w:szCs w:val="20"/>
        </w:rPr>
        <w:t>three months and six months ended June 30, 2021</w:t>
      </w:r>
      <w:r>
        <w:rPr>
          <w:rFonts w:eastAsia="Times New Roman"/>
          <w:color w:val="000000"/>
          <w:sz w:val="18"/>
          <w:szCs w:val="18"/>
        </w:rPr>
        <w:t>was $297 million. Net Flows, investment performance, interest credited and policy charges revision impact for the th</w:t>
      </w:r>
      <w:r>
        <w:rPr>
          <w:rFonts w:eastAsia="Times New Roman"/>
          <w:color w:val="000000"/>
          <w:sz w:val="18"/>
          <w:szCs w:val="18"/>
        </w:rPr>
        <w:t xml:space="preserve">ree and six months ended June 30, 2021 were $33 million, $19 million, $48 million and $31 million, respectively. </w:t>
      </w:r>
    </w:p>
    <w:p w:rsidR="00000000" w:rsidRDefault="005C524C">
      <w:pPr>
        <w:ind w:hanging="360"/>
        <w:divId w:val="347486041"/>
        <w:rPr>
          <w:rFonts w:eastAsia="Times New Roman"/>
        </w:rPr>
      </w:pPr>
      <w:r>
        <w:rPr>
          <w:rFonts w:eastAsia="Times New Roman"/>
          <w:color w:val="000000"/>
          <w:sz w:val="18"/>
          <w:szCs w:val="18"/>
        </w:rPr>
        <w:t>(2)For the three and six months ended June 30, 2021, amounts reflect AV transfer of GMxB closed block business from GR to IR.</w:t>
      </w:r>
    </w:p>
    <w:p w:rsidR="00000000" w:rsidRDefault="005C524C">
      <w:pPr>
        <w:jc w:val="center"/>
        <w:divId w:val="1543206148"/>
        <w:rPr>
          <w:rFonts w:eastAsia="Times New Roman"/>
        </w:rPr>
      </w:pPr>
      <w:r>
        <w:rPr>
          <w:rFonts w:eastAsia="Times New Roman"/>
          <w:color w:val="000000"/>
          <w:sz w:val="20"/>
          <w:szCs w:val="20"/>
        </w:rPr>
        <w:t>86</w:t>
      </w:r>
    </w:p>
    <w:p w:rsidR="00000000" w:rsidRDefault="005C524C">
      <w:pPr>
        <w:rPr>
          <w:rFonts w:eastAsia="Times New Roman"/>
        </w:rPr>
      </w:pPr>
      <w:r>
        <w:rPr>
          <w:rFonts w:eastAsia="Times New Roman"/>
        </w:rPr>
        <w:pict>
          <v:rect id="_x0000_i1112" style="width:0;height:1.5pt" o:hralign="center" o:hrstd="t" o:hr="t" fillcolor="#a0a0a0" stroked="f"/>
        </w:pict>
      </w:r>
    </w:p>
    <w:p w:rsidR="00000000" w:rsidRDefault="005C524C">
      <w:pPr>
        <w:divId w:val="88475992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180"/>
        <w:divId w:val="759915114"/>
        <w:rPr>
          <w:rFonts w:eastAsia="Times New Roman"/>
        </w:rPr>
      </w:pPr>
    </w:p>
    <w:p w:rsidR="00000000" w:rsidRDefault="005C524C">
      <w:pPr>
        <w:divId w:val="294413121"/>
        <w:rPr>
          <w:rFonts w:eastAsia="Times New Roman"/>
        </w:rPr>
      </w:pPr>
    </w:p>
    <w:p w:rsidR="00000000" w:rsidRDefault="005C524C">
      <w:pPr>
        <w:divId w:val="1474522962"/>
        <w:rPr>
          <w:rFonts w:eastAsia="Times New Roman"/>
        </w:rPr>
      </w:pPr>
      <w:r>
        <w:rPr>
          <w:rFonts w:eastAsia="Times New Roman"/>
          <w:b/>
          <w:bCs/>
          <w:color w:val="000000"/>
          <w:sz w:val="20"/>
          <w:szCs w:val="20"/>
        </w:rPr>
        <w:t>Three Months Ended June 30, 2022 Compared to the Three Months Ended June 30, 2021 for the Group Retirement Segment</w:t>
      </w:r>
    </w:p>
    <w:p w:rsidR="00000000" w:rsidRDefault="005C524C">
      <w:pPr>
        <w:jc w:val="both"/>
        <w:divId w:val="1269504624"/>
        <w:rPr>
          <w:rFonts w:eastAsia="Times New Roman"/>
        </w:rPr>
      </w:pPr>
      <w:r>
        <w:rPr>
          <w:rFonts w:eastAsia="Times New Roman"/>
          <w:b/>
          <w:bCs/>
          <w:i/>
          <w:iCs/>
          <w:color w:val="000000"/>
          <w:sz w:val="20"/>
          <w:szCs w:val="20"/>
        </w:rPr>
        <w:t>Operating earnings</w:t>
      </w:r>
    </w:p>
    <w:p w:rsidR="00000000" w:rsidRDefault="005C524C">
      <w:pPr>
        <w:ind w:firstLine="360"/>
        <w:divId w:val="961766269"/>
        <w:rPr>
          <w:rFonts w:eastAsia="Times New Roman"/>
        </w:rPr>
      </w:pPr>
      <w:r>
        <w:rPr>
          <w:rFonts w:eastAsia="Times New Roman"/>
          <w:color w:val="000000"/>
          <w:sz w:val="20"/>
          <w:szCs w:val="20"/>
        </w:rPr>
        <w:t xml:space="preserve">Operating earnings decreased by $40 million to $131 million during the three months ended June 30, 2022 from $171 million </w:t>
      </w:r>
      <w:r>
        <w:rPr>
          <w:rFonts w:eastAsia="Times New Roman"/>
          <w:color w:val="000000"/>
          <w:sz w:val="20"/>
          <w:szCs w:val="20"/>
        </w:rPr>
        <w:t>in the three months ended June 30, 2021. The following notable items were the primary drivers of the change in operating earnings:</w:t>
      </w:r>
    </w:p>
    <w:p w:rsidR="00000000" w:rsidRDefault="005C524C">
      <w:pPr>
        <w:ind w:firstLine="360"/>
        <w:divId w:val="1486386426"/>
        <w:rPr>
          <w:rFonts w:eastAsia="Times New Roman"/>
        </w:rPr>
      </w:pPr>
      <w:r>
        <w:rPr>
          <w:rFonts w:eastAsia="Times New Roman"/>
          <w:color w:val="000000"/>
          <w:sz w:val="20"/>
          <w:szCs w:val="20"/>
        </w:rPr>
        <w:t>Unfavorable items included:</w:t>
      </w:r>
    </w:p>
    <w:p w:rsidR="00000000" w:rsidRDefault="005C524C">
      <w:pPr>
        <w:ind w:hanging="360"/>
        <w:divId w:val="1193113210"/>
        <w:rPr>
          <w:rFonts w:eastAsia="Times New Roman"/>
        </w:rPr>
      </w:pPr>
      <w:r>
        <w:rPr>
          <w:rFonts w:eastAsia="Times New Roman"/>
          <w:color w:val="000000"/>
          <w:sz w:val="20"/>
          <w:szCs w:val="20"/>
        </w:rPr>
        <w:t>•Net investment income decreased by $32 million due to lower alternative investment income and lo</w:t>
      </w:r>
      <w:r>
        <w:rPr>
          <w:rFonts w:eastAsia="Times New Roman"/>
          <w:color w:val="000000"/>
          <w:sz w:val="20"/>
          <w:szCs w:val="20"/>
        </w:rPr>
        <w:t>wer prepayments partially offset by higher income from TIPS (offset in inflation related hedging losses) and GA optimization.</w:t>
      </w:r>
    </w:p>
    <w:p w:rsidR="00000000" w:rsidRDefault="005C524C">
      <w:pPr>
        <w:ind w:hanging="360"/>
        <w:divId w:val="1373385470"/>
        <w:rPr>
          <w:rFonts w:eastAsia="Times New Roman"/>
        </w:rPr>
      </w:pPr>
      <w:r>
        <w:rPr>
          <w:rFonts w:eastAsia="Times New Roman"/>
          <w:color w:val="000000"/>
          <w:sz w:val="20"/>
          <w:szCs w:val="20"/>
        </w:rPr>
        <w:t>•Fee-type revenue decreased by $11 million due to lower average Separate Accounts AV, driven by equity market depreciation.</w:t>
      </w:r>
    </w:p>
    <w:p w:rsidR="00000000" w:rsidRDefault="005C524C">
      <w:pPr>
        <w:ind w:firstLine="360"/>
        <w:divId w:val="1120564768"/>
        <w:rPr>
          <w:rFonts w:eastAsia="Times New Roman"/>
        </w:rPr>
      </w:pPr>
      <w:r>
        <w:rPr>
          <w:rFonts w:eastAsia="Times New Roman"/>
          <w:color w:val="000000"/>
          <w:sz w:val="20"/>
          <w:szCs w:val="20"/>
        </w:rPr>
        <w:t xml:space="preserve">These </w:t>
      </w:r>
      <w:r>
        <w:rPr>
          <w:rFonts w:eastAsia="Times New Roman"/>
          <w:color w:val="000000"/>
          <w:sz w:val="20"/>
          <w:szCs w:val="20"/>
        </w:rPr>
        <w:t>were partially offset by the following favorable items:</w:t>
      </w:r>
    </w:p>
    <w:p w:rsidR="00000000" w:rsidRDefault="005C524C">
      <w:pPr>
        <w:ind w:hanging="360"/>
        <w:jc w:val="both"/>
        <w:divId w:val="1370833534"/>
        <w:rPr>
          <w:rFonts w:eastAsia="Times New Roman"/>
        </w:rPr>
      </w:pPr>
      <w:r>
        <w:rPr>
          <w:rFonts w:eastAsia="Times New Roman"/>
          <w:color w:val="000000"/>
          <w:sz w:val="20"/>
          <w:szCs w:val="20"/>
        </w:rPr>
        <w:t xml:space="preserve">•Income tax expense decreased by $6 million driven by lower pre-tax earnings partially offset by a higher effective tax rate. </w:t>
      </w:r>
    </w:p>
    <w:p w:rsidR="00000000" w:rsidRDefault="005C524C">
      <w:pPr>
        <w:ind w:firstLine="360"/>
        <w:divId w:val="82075512"/>
        <w:rPr>
          <w:rFonts w:eastAsia="Times New Roman"/>
        </w:rPr>
      </w:pPr>
      <w:r>
        <w:rPr>
          <w:rFonts w:eastAsia="Times New Roman"/>
          <w:color w:val="000000"/>
          <w:sz w:val="20"/>
          <w:szCs w:val="20"/>
        </w:rPr>
        <w:t>See “—Significant Factors Impacting Our Results—Effect of Assumption Upda</w:t>
      </w:r>
      <w:r>
        <w:rPr>
          <w:rFonts w:eastAsia="Times New Roman"/>
          <w:color w:val="000000"/>
          <w:sz w:val="20"/>
          <w:szCs w:val="20"/>
        </w:rPr>
        <w:t xml:space="preserve">tes and Model Changes” for more information regarding assumption updates. </w:t>
      </w:r>
    </w:p>
    <w:p w:rsidR="00000000" w:rsidRDefault="005C524C">
      <w:pPr>
        <w:jc w:val="both"/>
        <w:divId w:val="583105540"/>
        <w:rPr>
          <w:rFonts w:eastAsia="Times New Roman"/>
        </w:rPr>
      </w:pPr>
      <w:r>
        <w:rPr>
          <w:rFonts w:eastAsia="Times New Roman"/>
          <w:b/>
          <w:bCs/>
          <w:i/>
          <w:iCs/>
          <w:color w:val="000000"/>
          <w:sz w:val="20"/>
          <w:szCs w:val="20"/>
        </w:rPr>
        <w:t>Net Flows and AV</w:t>
      </w:r>
    </w:p>
    <w:p w:rsidR="00000000" w:rsidRDefault="005C524C">
      <w:pPr>
        <w:ind w:hanging="360"/>
        <w:jc w:val="both"/>
        <w:divId w:val="1570384466"/>
        <w:rPr>
          <w:rFonts w:eastAsia="Times New Roman"/>
        </w:rPr>
      </w:pPr>
      <w:r>
        <w:rPr>
          <w:rFonts w:eastAsia="Times New Roman"/>
          <w:color w:val="000000"/>
          <w:sz w:val="20"/>
          <w:szCs w:val="20"/>
        </w:rPr>
        <w:t>•The decrease in AV of $4,868 million in the three months ended June 30, 2022 was driven by equity markets performance partially offset by net inflows of $144 milli</w:t>
      </w:r>
      <w:r>
        <w:rPr>
          <w:rFonts w:eastAsia="Times New Roman"/>
          <w:color w:val="000000"/>
          <w:sz w:val="20"/>
          <w:szCs w:val="20"/>
        </w:rPr>
        <w:t>on.</w:t>
      </w:r>
    </w:p>
    <w:p w:rsidR="00000000" w:rsidRDefault="005C524C">
      <w:pPr>
        <w:ind w:hanging="360"/>
        <w:jc w:val="both"/>
        <w:divId w:val="352534310"/>
        <w:rPr>
          <w:rFonts w:eastAsia="Times New Roman"/>
        </w:rPr>
      </w:pPr>
      <w:r>
        <w:rPr>
          <w:rFonts w:eastAsia="Times New Roman"/>
          <w:color w:val="000000"/>
          <w:sz w:val="20"/>
          <w:szCs w:val="20"/>
        </w:rPr>
        <w:t>•Net inflows of $144 million increased by $43 million, due to higher gross premiums, lower outflows in our tax-exempt and corporate markets, offset by higher outflows in our institutional market.</w:t>
      </w:r>
    </w:p>
    <w:p w:rsidR="00000000" w:rsidRDefault="005C524C">
      <w:pPr>
        <w:jc w:val="center"/>
        <w:divId w:val="777263498"/>
        <w:rPr>
          <w:rFonts w:eastAsia="Times New Roman"/>
        </w:rPr>
      </w:pPr>
      <w:r>
        <w:rPr>
          <w:rFonts w:eastAsia="Times New Roman"/>
          <w:color w:val="000000"/>
          <w:sz w:val="20"/>
          <w:szCs w:val="20"/>
        </w:rPr>
        <w:t>87</w:t>
      </w:r>
    </w:p>
    <w:p w:rsidR="00000000" w:rsidRDefault="005C524C">
      <w:pPr>
        <w:rPr>
          <w:rFonts w:eastAsia="Times New Roman"/>
        </w:rPr>
      </w:pPr>
      <w:r>
        <w:rPr>
          <w:rFonts w:eastAsia="Times New Roman"/>
        </w:rPr>
        <w:pict>
          <v:rect id="_x0000_i1113" style="width:0;height:1.5pt" o:hralign="center" o:hrstd="t" o:hr="t" fillcolor="#a0a0a0" stroked="f"/>
        </w:pict>
      </w:r>
    </w:p>
    <w:p w:rsidR="00000000" w:rsidRDefault="005C524C">
      <w:pPr>
        <w:divId w:val="185128921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2136674291"/>
        <w:rPr>
          <w:rFonts w:eastAsia="Times New Roman"/>
        </w:rPr>
      </w:pPr>
    </w:p>
    <w:p w:rsidR="00000000" w:rsidRDefault="005C524C">
      <w:pPr>
        <w:divId w:val="1812818833"/>
        <w:rPr>
          <w:rFonts w:eastAsia="Times New Roman"/>
        </w:rPr>
      </w:pPr>
      <w:r>
        <w:rPr>
          <w:rFonts w:eastAsia="Times New Roman"/>
          <w:b/>
          <w:bCs/>
          <w:color w:val="000000"/>
          <w:sz w:val="20"/>
          <w:szCs w:val="20"/>
        </w:rPr>
        <w:t>Six Months Ended June 30, 2022 Compared to the Six Months Ended June 30, 2021 for the Group Retirement Segment</w:t>
      </w:r>
    </w:p>
    <w:p w:rsidR="00000000" w:rsidRDefault="005C524C">
      <w:pPr>
        <w:jc w:val="both"/>
        <w:divId w:val="817498771"/>
        <w:rPr>
          <w:rFonts w:eastAsia="Times New Roman"/>
        </w:rPr>
      </w:pPr>
      <w:r>
        <w:rPr>
          <w:rFonts w:eastAsia="Times New Roman"/>
          <w:b/>
          <w:bCs/>
          <w:i/>
          <w:iCs/>
          <w:color w:val="000000"/>
          <w:sz w:val="20"/>
          <w:szCs w:val="20"/>
        </w:rPr>
        <w:t>Operating earnings</w:t>
      </w:r>
    </w:p>
    <w:p w:rsidR="00000000" w:rsidRDefault="005C524C">
      <w:pPr>
        <w:ind w:firstLine="360"/>
        <w:divId w:val="565916274"/>
        <w:rPr>
          <w:rFonts w:eastAsia="Times New Roman"/>
        </w:rPr>
      </w:pPr>
      <w:r>
        <w:rPr>
          <w:rFonts w:eastAsia="Times New Roman"/>
          <w:color w:val="000000"/>
          <w:sz w:val="20"/>
          <w:szCs w:val="20"/>
        </w:rPr>
        <w:t>Operating earnings decreased by $41 million to $281 million duri</w:t>
      </w:r>
      <w:r>
        <w:rPr>
          <w:rFonts w:eastAsia="Times New Roman"/>
          <w:color w:val="000000"/>
          <w:sz w:val="20"/>
          <w:szCs w:val="20"/>
          <w:shd w:val="clear" w:color="auto" w:fill="FFFFFF"/>
        </w:rPr>
        <w:t>ng the six months ended June 30, 2022 from $322 million during</w:t>
      </w:r>
      <w:r>
        <w:rPr>
          <w:rFonts w:eastAsia="Times New Roman"/>
          <w:color w:val="000000"/>
          <w:sz w:val="20"/>
          <w:szCs w:val="20"/>
          <w:shd w:val="clear" w:color="auto" w:fill="FFFFFF"/>
        </w:rPr>
        <w:t xml:space="preserve"> the six months ended June 30, 2021. The following notable items were the primary drivers of the change in operating earnings:</w:t>
      </w:r>
    </w:p>
    <w:p w:rsidR="00000000" w:rsidRDefault="005C524C">
      <w:pPr>
        <w:ind w:firstLine="360"/>
        <w:jc w:val="both"/>
        <w:divId w:val="1317997194"/>
        <w:rPr>
          <w:rFonts w:eastAsia="Times New Roman"/>
        </w:rPr>
      </w:pPr>
      <w:r>
        <w:rPr>
          <w:rFonts w:eastAsia="Times New Roman"/>
          <w:color w:val="000000"/>
          <w:sz w:val="20"/>
          <w:szCs w:val="20"/>
          <w:shd w:val="clear" w:color="auto" w:fill="FFFFFF"/>
        </w:rPr>
        <w:t>Unfavorable items included:</w:t>
      </w:r>
    </w:p>
    <w:p w:rsidR="00000000" w:rsidRDefault="005C524C">
      <w:pPr>
        <w:ind w:hanging="360"/>
        <w:divId w:val="1709839103"/>
        <w:rPr>
          <w:rFonts w:eastAsia="Times New Roman"/>
        </w:rPr>
      </w:pPr>
      <w:r>
        <w:rPr>
          <w:rFonts w:eastAsia="Times New Roman"/>
          <w:color w:val="000000"/>
          <w:sz w:val="20"/>
          <w:szCs w:val="20"/>
        </w:rPr>
        <w:t>•Net investment income decreased by $32 million due to lower alternative investment income , lower pr</w:t>
      </w:r>
      <w:r>
        <w:rPr>
          <w:rFonts w:eastAsia="Times New Roman"/>
          <w:color w:val="000000"/>
          <w:sz w:val="20"/>
          <w:szCs w:val="20"/>
        </w:rPr>
        <w:t>epayments partially offset higher income from TIPS (offset in inflation related hedging losses) and GA optimization.</w:t>
      </w:r>
    </w:p>
    <w:p w:rsidR="00000000" w:rsidRDefault="005C524C">
      <w:pPr>
        <w:ind w:hanging="360"/>
        <w:divId w:val="1331561912"/>
        <w:rPr>
          <w:rFonts w:eastAsia="Times New Roman"/>
        </w:rPr>
      </w:pPr>
      <w:r>
        <w:rPr>
          <w:rFonts w:eastAsia="Times New Roman"/>
          <w:color w:val="000000"/>
          <w:sz w:val="20"/>
          <w:szCs w:val="20"/>
        </w:rPr>
        <w:t>•</w:t>
      </w:r>
      <w:r>
        <w:rPr>
          <w:rFonts w:eastAsia="Times New Roman"/>
          <w:color w:val="000000"/>
          <w:sz w:val="20"/>
          <w:szCs w:val="20"/>
        </w:rPr>
        <w:t>Amortization of DAC increased by $10 million mainly due to a one-time positive adjustment during the first half 2021.</w:t>
      </w:r>
    </w:p>
    <w:p w:rsidR="00000000" w:rsidRDefault="005C524C">
      <w:pPr>
        <w:ind w:hanging="360"/>
        <w:jc w:val="both"/>
        <w:divId w:val="1980259262"/>
        <w:rPr>
          <w:rFonts w:eastAsia="Times New Roman"/>
        </w:rPr>
      </w:pPr>
      <w:r>
        <w:rPr>
          <w:rFonts w:eastAsia="Times New Roman"/>
          <w:color w:val="000000"/>
          <w:sz w:val="20"/>
          <w:szCs w:val="20"/>
        </w:rPr>
        <w:t>•Net derivative losses increased by $7 million due to inflation related hedging loss offset on TIPS in the General Account.</w:t>
      </w:r>
    </w:p>
    <w:p w:rsidR="00000000" w:rsidRDefault="005C524C">
      <w:pPr>
        <w:ind w:hanging="180"/>
        <w:divId w:val="827401043"/>
        <w:rPr>
          <w:rFonts w:eastAsia="Times New Roman"/>
        </w:rPr>
      </w:pPr>
      <w:r>
        <w:rPr>
          <w:rFonts w:eastAsia="Times New Roman"/>
          <w:color w:val="000000"/>
          <w:sz w:val="20"/>
          <w:szCs w:val="20"/>
        </w:rPr>
        <w:t>These were par</w:t>
      </w:r>
      <w:r>
        <w:rPr>
          <w:rFonts w:eastAsia="Times New Roman"/>
          <w:color w:val="000000"/>
          <w:sz w:val="20"/>
          <w:szCs w:val="20"/>
        </w:rPr>
        <w:t>tially of</w:t>
      </w:r>
      <w:r>
        <w:rPr>
          <w:rFonts w:eastAsia="Times New Roman"/>
          <w:color w:val="000000"/>
          <w:sz w:val="20"/>
          <w:szCs w:val="20"/>
          <w:shd w:val="clear" w:color="auto" w:fill="FFFFFF"/>
        </w:rPr>
        <w:t>fset by the following favorable items:</w:t>
      </w:r>
    </w:p>
    <w:p w:rsidR="00000000" w:rsidRDefault="005C524C">
      <w:pPr>
        <w:ind w:hanging="360"/>
        <w:divId w:val="989091121"/>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Compensation, benefits and other operating costs and expenses decreased by $8 million mainly due to higher legal reserves partially offset by lower sub-advisory fees. </w:t>
      </w:r>
    </w:p>
    <w:p w:rsidR="00000000" w:rsidRDefault="005C524C">
      <w:pPr>
        <w:ind w:hanging="360"/>
        <w:divId w:val="1408579626"/>
        <w:rPr>
          <w:rFonts w:eastAsia="Times New Roman"/>
        </w:rPr>
      </w:pPr>
      <w:r>
        <w:rPr>
          <w:rFonts w:eastAsia="Times New Roman"/>
          <w:color w:val="000000"/>
          <w:sz w:val="20"/>
          <w:szCs w:val="20"/>
        </w:rPr>
        <w:t>•Income tax expense decreased by $3 mil</w:t>
      </w:r>
      <w:r>
        <w:rPr>
          <w:rFonts w:eastAsia="Times New Roman"/>
          <w:color w:val="000000"/>
          <w:sz w:val="20"/>
          <w:szCs w:val="20"/>
        </w:rPr>
        <w:t>lion mainly driven by lower pre-tax earnings, partially offset by a higher effective tax rate..</w:t>
      </w:r>
    </w:p>
    <w:p w:rsidR="00000000" w:rsidRDefault="005C524C">
      <w:pPr>
        <w:ind w:firstLine="180"/>
        <w:jc w:val="both"/>
        <w:divId w:val="994916401"/>
        <w:rPr>
          <w:rFonts w:eastAsia="Times New Roman"/>
        </w:rPr>
      </w:pPr>
      <w:r>
        <w:rPr>
          <w:rFonts w:eastAsia="Times New Roman"/>
          <w:b/>
          <w:bCs/>
          <w:i/>
          <w:iCs/>
          <w:color w:val="000000"/>
          <w:sz w:val="20"/>
          <w:szCs w:val="20"/>
          <w:shd w:val="clear" w:color="auto" w:fill="FFFFFF"/>
        </w:rPr>
        <w:t>Net Flows and AV</w:t>
      </w:r>
    </w:p>
    <w:p w:rsidR="00000000" w:rsidRDefault="005C524C">
      <w:pPr>
        <w:ind w:hanging="360"/>
        <w:divId w:val="935359250"/>
        <w:rPr>
          <w:rFonts w:eastAsia="Times New Roman"/>
        </w:rPr>
      </w:pPr>
      <w:r>
        <w:rPr>
          <w:rFonts w:eastAsia="Times New Roman"/>
          <w:color w:val="000000"/>
          <w:sz w:val="20"/>
          <w:szCs w:val="20"/>
          <w:shd w:val="clear" w:color="auto" w:fill="FFFFFF"/>
        </w:rPr>
        <w:t>•The decrease in AV of $6.6 billion in the six months ended June 30, 2022 was primarily due to market depreciation, partially offset by net inf</w:t>
      </w:r>
      <w:r>
        <w:rPr>
          <w:rFonts w:eastAsia="Times New Roman"/>
          <w:color w:val="000000"/>
          <w:sz w:val="20"/>
          <w:szCs w:val="20"/>
          <w:shd w:val="clear" w:color="auto" w:fill="FFFFFF"/>
        </w:rPr>
        <w:t>lows of $667 million.</w:t>
      </w:r>
    </w:p>
    <w:p w:rsidR="00000000" w:rsidRDefault="005C524C">
      <w:pPr>
        <w:ind w:hanging="360"/>
        <w:jc w:val="both"/>
        <w:divId w:val="302318963"/>
        <w:rPr>
          <w:rFonts w:eastAsia="Times New Roman"/>
        </w:rPr>
      </w:pPr>
      <w:r>
        <w:rPr>
          <w:rFonts w:eastAsia="Times New Roman"/>
          <w:color w:val="000000"/>
          <w:sz w:val="20"/>
          <w:szCs w:val="20"/>
          <w:shd w:val="clear" w:color="auto" w:fill="FFFFFF"/>
        </w:rPr>
        <w:t>•Net inflows of $667 million increased by $602 million compared to 2021, driven by positive net inflows reflecting strong sales and client engagement, partially offset by higher outflows.</w:t>
      </w:r>
    </w:p>
    <w:p w:rsidR="00000000" w:rsidRDefault="005C524C">
      <w:pPr>
        <w:divId w:val="573051865"/>
        <w:rPr>
          <w:rFonts w:eastAsia="Times New Roman"/>
        </w:rPr>
      </w:pPr>
      <w:r>
        <w:rPr>
          <w:rFonts w:eastAsia="Times New Roman"/>
          <w:b/>
          <w:bCs/>
          <w:color w:val="000000"/>
          <w:sz w:val="20"/>
          <w:szCs w:val="20"/>
        </w:rPr>
        <w:t>Investment Management and Research</w:t>
      </w:r>
    </w:p>
    <w:p w:rsidR="00000000" w:rsidRDefault="005C524C">
      <w:pPr>
        <w:ind w:firstLine="360"/>
        <w:divId w:val="1897006506"/>
        <w:rPr>
          <w:rFonts w:eastAsia="Times New Roman"/>
        </w:rPr>
      </w:pPr>
      <w:r>
        <w:rPr>
          <w:rFonts w:eastAsia="Times New Roman"/>
          <w:color w:val="000000"/>
          <w:sz w:val="20"/>
          <w:szCs w:val="20"/>
        </w:rPr>
        <w:t>The Investm</w:t>
      </w:r>
      <w:r>
        <w:rPr>
          <w:rFonts w:eastAsia="Times New Roman"/>
          <w:color w:val="000000"/>
          <w:sz w:val="20"/>
          <w:szCs w:val="20"/>
        </w:rPr>
        <w:t>ent Management and Research segment provides diversified investment management, research and related services to a broad range of clients around the world. Operating earnings (loss), net of tax, presented here represents our economic interest in AB of appr</w:t>
      </w:r>
      <w:r>
        <w:rPr>
          <w:rFonts w:eastAsia="Times New Roman"/>
          <w:color w:val="000000"/>
          <w:sz w:val="20"/>
          <w:szCs w:val="20"/>
        </w:rPr>
        <w:t>oximately 65% during the three and six months ended June 30, 2022 and 2021, respectively. On July 1, 2022, AB Holding and ABLP completed the acquisition of acquired 100% of the equity interests of CarVal Investors, L.P. (“Carval”). In connection with the a</w:t>
      </w:r>
      <w:r>
        <w:rPr>
          <w:rFonts w:eastAsia="Times New Roman"/>
          <w:color w:val="000000"/>
          <w:sz w:val="20"/>
          <w:szCs w:val="20"/>
        </w:rPr>
        <w:t>cquisition, AB Holding issued a total of 3,194,784 AB Holding Units. The issuance of additional AB Holding Units is contingent upon achievement of management fee hurdles by CarVal and its subsidiaries over a six year period. This The issuance of the AB Hol</w:t>
      </w:r>
      <w:r>
        <w:rPr>
          <w:rFonts w:eastAsia="Times New Roman"/>
          <w:color w:val="000000"/>
          <w:sz w:val="20"/>
          <w:szCs w:val="20"/>
        </w:rPr>
        <w:t>ding Units will not significantly change in AB.</w:t>
      </w:r>
    </w:p>
    <w:tbl>
      <w:tblPr>
        <w:tblW w:w="5000" w:type="pct"/>
        <w:tblCellMar>
          <w:top w:w="15" w:type="dxa"/>
          <w:left w:w="15" w:type="dxa"/>
          <w:bottom w:w="15" w:type="dxa"/>
          <w:right w:w="15" w:type="dxa"/>
        </w:tblCellMar>
        <w:tblLook w:val="04A0" w:firstRow="1" w:lastRow="0" w:firstColumn="1" w:lastColumn="0" w:noHBand="0" w:noVBand="1"/>
      </w:tblPr>
      <w:tblGrid>
        <w:gridCol w:w="37"/>
        <w:gridCol w:w="4250"/>
        <w:gridCol w:w="36"/>
        <w:gridCol w:w="120"/>
        <w:gridCol w:w="703"/>
        <w:gridCol w:w="36"/>
        <w:gridCol w:w="36"/>
        <w:gridCol w:w="36"/>
        <w:gridCol w:w="36"/>
        <w:gridCol w:w="120"/>
        <w:gridCol w:w="703"/>
        <w:gridCol w:w="36"/>
        <w:gridCol w:w="120"/>
        <w:gridCol w:w="787"/>
        <w:gridCol w:w="36"/>
        <w:gridCol w:w="36"/>
        <w:gridCol w:w="36"/>
        <w:gridCol w:w="36"/>
        <w:gridCol w:w="120"/>
        <w:gridCol w:w="734"/>
        <w:gridCol w:w="36"/>
        <w:gridCol w:w="36"/>
        <w:gridCol w:w="36"/>
        <w:gridCol w:w="36"/>
        <w:gridCol w:w="36"/>
        <w:gridCol w:w="36"/>
        <w:gridCol w:w="36"/>
      </w:tblGrid>
      <w:tr w:rsidR="00000000">
        <w:trPr>
          <w:divId w:val="1829398212"/>
        </w:trPr>
        <w:tc>
          <w:tcPr>
            <w:tcW w:w="50" w:type="pct"/>
            <w:vAlign w:val="center"/>
            <w:hideMark/>
          </w:tcPr>
          <w:p w:rsidR="00000000" w:rsidRDefault="005C524C">
            <w:pPr>
              <w:ind w:firstLine="360"/>
              <w:rPr>
                <w:rFonts w:eastAsia="Times New Roman"/>
              </w:rPr>
            </w:pPr>
          </w:p>
        </w:tc>
        <w:tc>
          <w:tcPr>
            <w:tcW w:w="26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2939821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82939821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82939821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82939821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426657988"/>
        <w:rPr>
          <w:rFonts w:eastAsia="Times New Roman"/>
        </w:rPr>
      </w:pPr>
    </w:p>
    <w:p w:rsidR="00000000" w:rsidRDefault="005C524C">
      <w:pPr>
        <w:ind w:firstLine="360"/>
        <w:divId w:val="811365177"/>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7"/>
        <w:gridCol w:w="4250"/>
        <w:gridCol w:w="36"/>
        <w:gridCol w:w="120"/>
        <w:gridCol w:w="703"/>
        <w:gridCol w:w="36"/>
        <w:gridCol w:w="36"/>
        <w:gridCol w:w="36"/>
        <w:gridCol w:w="36"/>
        <w:gridCol w:w="120"/>
        <w:gridCol w:w="703"/>
        <w:gridCol w:w="36"/>
        <w:gridCol w:w="120"/>
        <w:gridCol w:w="787"/>
        <w:gridCol w:w="36"/>
        <w:gridCol w:w="36"/>
        <w:gridCol w:w="36"/>
        <w:gridCol w:w="36"/>
        <w:gridCol w:w="120"/>
        <w:gridCol w:w="734"/>
        <w:gridCol w:w="36"/>
        <w:gridCol w:w="36"/>
        <w:gridCol w:w="36"/>
        <w:gridCol w:w="36"/>
        <w:gridCol w:w="36"/>
        <w:gridCol w:w="36"/>
        <w:gridCol w:w="36"/>
      </w:tblGrid>
      <w:tr w:rsidR="00000000">
        <w:trPr>
          <w:divId w:val="1260093112"/>
        </w:trPr>
        <w:tc>
          <w:tcPr>
            <w:tcW w:w="50" w:type="pct"/>
            <w:vAlign w:val="center"/>
            <w:hideMark/>
          </w:tcPr>
          <w:p w:rsidR="00000000" w:rsidRDefault="005C524C">
            <w:pPr>
              <w:ind w:firstLine="360"/>
              <w:rPr>
                <w:rFonts w:eastAsia="Times New Roman"/>
              </w:rPr>
            </w:pPr>
          </w:p>
        </w:tc>
        <w:tc>
          <w:tcPr>
            <w:tcW w:w="26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6009311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jc w:val="center"/>
        <w:divId w:val="361637066"/>
        <w:rPr>
          <w:rFonts w:eastAsia="Times New Roman"/>
        </w:rPr>
      </w:pPr>
      <w:r>
        <w:rPr>
          <w:rFonts w:eastAsia="Times New Roman"/>
          <w:color w:val="000000"/>
          <w:sz w:val="20"/>
          <w:szCs w:val="20"/>
        </w:rPr>
        <w:t>88</w:t>
      </w:r>
    </w:p>
    <w:p w:rsidR="00000000" w:rsidRDefault="005C524C">
      <w:pPr>
        <w:rPr>
          <w:rFonts w:eastAsia="Times New Roman"/>
        </w:rPr>
      </w:pPr>
      <w:r>
        <w:rPr>
          <w:rFonts w:eastAsia="Times New Roman"/>
        </w:rPr>
        <w:pict>
          <v:rect id="_x0000_i1114" style="width:0;height:1.5pt" o:hralign="center" o:hrstd="t" o:hr="t" fillcolor="#a0a0a0" stroked="f"/>
        </w:pict>
      </w:r>
    </w:p>
    <w:p w:rsidR="00000000" w:rsidRDefault="005C524C">
      <w:pPr>
        <w:divId w:val="379204786"/>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248"/>
        <w:gridCol w:w="37"/>
        <w:gridCol w:w="120"/>
        <w:gridCol w:w="703"/>
        <w:gridCol w:w="36"/>
        <w:gridCol w:w="36"/>
        <w:gridCol w:w="36"/>
        <w:gridCol w:w="36"/>
        <w:gridCol w:w="120"/>
        <w:gridCol w:w="703"/>
        <w:gridCol w:w="36"/>
        <w:gridCol w:w="120"/>
        <w:gridCol w:w="787"/>
        <w:gridCol w:w="36"/>
        <w:gridCol w:w="36"/>
        <w:gridCol w:w="36"/>
        <w:gridCol w:w="36"/>
        <w:gridCol w:w="120"/>
        <w:gridCol w:w="734"/>
        <w:gridCol w:w="36"/>
        <w:gridCol w:w="36"/>
        <w:gridCol w:w="36"/>
        <w:gridCol w:w="36"/>
        <w:gridCol w:w="36"/>
        <w:gridCol w:w="36"/>
        <w:gridCol w:w="36"/>
      </w:tblGrid>
      <w:tr w:rsidR="00000000">
        <w:trPr>
          <w:divId w:val="1701005842"/>
        </w:trPr>
        <w:tc>
          <w:tcPr>
            <w:tcW w:w="50" w:type="pct"/>
            <w:vAlign w:val="center"/>
            <w:hideMark/>
          </w:tcPr>
          <w:p w:rsidR="00000000" w:rsidRDefault="005C524C">
            <w:pPr>
              <w:rPr>
                <w:rFonts w:eastAsia="Times New Roman"/>
              </w:rPr>
            </w:pPr>
          </w:p>
        </w:tc>
        <w:tc>
          <w:tcPr>
            <w:tcW w:w="26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2,073 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1,072 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2,138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Commissions and distribution related payments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629 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01005842"/>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1,633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858204436"/>
        <w:rPr>
          <w:rFonts w:eastAsia="Times New Roman"/>
        </w:rPr>
      </w:pPr>
    </w:p>
    <w:p w:rsidR="00000000" w:rsidRDefault="005C524C">
      <w:pPr>
        <w:divId w:val="1908758062"/>
        <w:rPr>
          <w:rFonts w:eastAsia="Times New Roman"/>
        </w:rPr>
      </w:pPr>
    </w:p>
    <w:p w:rsidR="00000000" w:rsidRDefault="005C524C">
      <w:pPr>
        <w:ind w:firstLine="360"/>
        <w:divId w:val="1383410138"/>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4260"/>
        <w:gridCol w:w="38"/>
        <w:gridCol w:w="120"/>
        <w:gridCol w:w="694"/>
        <w:gridCol w:w="36"/>
        <w:gridCol w:w="36"/>
        <w:gridCol w:w="36"/>
        <w:gridCol w:w="36"/>
        <w:gridCol w:w="120"/>
        <w:gridCol w:w="694"/>
        <w:gridCol w:w="36"/>
        <w:gridCol w:w="36"/>
        <w:gridCol w:w="36"/>
        <w:gridCol w:w="36"/>
        <w:gridCol w:w="120"/>
        <w:gridCol w:w="778"/>
        <w:gridCol w:w="36"/>
        <w:gridCol w:w="36"/>
        <w:gridCol w:w="36"/>
        <w:gridCol w:w="36"/>
        <w:gridCol w:w="120"/>
        <w:gridCol w:w="632"/>
        <w:gridCol w:w="36"/>
        <w:gridCol w:w="36"/>
        <w:gridCol w:w="36"/>
        <w:gridCol w:w="36"/>
        <w:gridCol w:w="36"/>
        <w:gridCol w:w="36"/>
        <w:gridCol w:w="36"/>
      </w:tblGrid>
      <w:tr w:rsidR="00000000">
        <w:trPr>
          <w:divId w:val="1773283989"/>
          <w:jc w:val="center"/>
        </w:trPr>
        <w:tc>
          <w:tcPr>
            <w:tcW w:w="50" w:type="pct"/>
            <w:vAlign w:val="center"/>
            <w:hideMark/>
          </w:tcPr>
          <w:p w:rsidR="00000000" w:rsidRDefault="005C524C">
            <w:pPr>
              <w:ind w:firstLine="360"/>
              <w:rPr>
                <w:rFonts w:eastAsia="Times New Roman"/>
              </w:rPr>
            </w:pPr>
          </w:p>
        </w:tc>
        <w:tc>
          <w:tcPr>
            <w:tcW w:w="269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tcMar>
              <w:top w:w="30" w:type="dxa"/>
              <w:left w:w="20" w:type="dxa"/>
              <w:bottom w:w="30" w:type="dxa"/>
              <w:right w:w="20" w:type="dxa"/>
            </w:tcMar>
            <w:vAlign w:val="bottom"/>
            <w:hideMark/>
          </w:tcPr>
          <w:p w:rsidR="00000000" w:rsidRDefault="005C524C">
            <w:pPr>
              <w:spacing w:after="100"/>
              <w:divId w:val="774984868"/>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697.2 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(47.2)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long-term inflows (outflows) (2)</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Adjustments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(140.1)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change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(88.6)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73283989"/>
          <w:jc w:val="center"/>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738.4 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738.4 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402796629"/>
        <w:rPr>
          <w:rFonts w:eastAsia="Times New Roman"/>
        </w:rPr>
      </w:pPr>
      <w:r>
        <w:rPr>
          <w:rFonts w:eastAsia="Times New Roman"/>
          <w:color w:val="000000"/>
          <w:sz w:val="18"/>
          <w:szCs w:val="18"/>
        </w:rPr>
        <w:t>__</w:t>
      </w:r>
      <w:r>
        <w:rPr>
          <w:rFonts w:eastAsia="Times New Roman"/>
          <w:color w:val="000000"/>
          <w:sz w:val="18"/>
          <w:szCs w:val="18"/>
        </w:rPr>
        <w:t>________</w:t>
      </w:r>
    </w:p>
    <w:p w:rsidR="00000000" w:rsidRDefault="005C524C">
      <w:pPr>
        <w:ind w:hanging="360"/>
        <w:divId w:val="1082486007"/>
        <w:rPr>
          <w:rFonts w:eastAsia="Times New Roman"/>
        </w:rPr>
      </w:pPr>
      <w:r>
        <w:rPr>
          <w:rFonts w:eastAsia="Times New Roman"/>
          <w:color w:val="000000"/>
          <w:sz w:val="18"/>
          <w:szCs w:val="18"/>
        </w:rPr>
        <w:t>(1)Approximately $0.4 billion of Institutional AUM was removed from AB total assets under management during the second quarter 2022 due to a change in the fee structure.</w:t>
      </w:r>
    </w:p>
    <w:p w:rsidR="00000000" w:rsidRDefault="005C524C">
      <w:pPr>
        <w:ind w:hanging="360"/>
        <w:divId w:val="1908758315"/>
        <w:rPr>
          <w:rFonts w:eastAsia="Times New Roman"/>
        </w:rPr>
      </w:pPr>
      <w:r>
        <w:rPr>
          <w:rFonts w:eastAsia="Times New Roman"/>
          <w:color w:val="000000"/>
          <w:sz w:val="18"/>
          <w:szCs w:val="18"/>
        </w:rPr>
        <w:t>(2)Institutional net flows include $0.6 billion of AXA's redemptions of certa</w:t>
      </w:r>
      <w:r>
        <w:rPr>
          <w:rFonts w:eastAsia="Times New Roman"/>
          <w:color w:val="000000"/>
          <w:sz w:val="18"/>
          <w:szCs w:val="18"/>
        </w:rPr>
        <w:t>in low-fee fixed income mandates for the three-month and six month periods ended June 30, 2022.</w:t>
      </w:r>
    </w:p>
    <w:p w:rsidR="00000000" w:rsidRDefault="005C524C">
      <w:pPr>
        <w:jc w:val="center"/>
        <w:divId w:val="914390023"/>
        <w:rPr>
          <w:rFonts w:eastAsia="Times New Roman"/>
        </w:rPr>
      </w:pPr>
      <w:r>
        <w:rPr>
          <w:rFonts w:eastAsia="Times New Roman"/>
          <w:color w:val="000000"/>
          <w:sz w:val="20"/>
          <w:szCs w:val="20"/>
        </w:rPr>
        <w:t>89</w:t>
      </w:r>
    </w:p>
    <w:p w:rsidR="00000000" w:rsidRDefault="005C524C">
      <w:pPr>
        <w:rPr>
          <w:rFonts w:eastAsia="Times New Roman"/>
        </w:rPr>
      </w:pPr>
      <w:r>
        <w:rPr>
          <w:rFonts w:eastAsia="Times New Roman"/>
        </w:rPr>
        <w:pict>
          <v:rect id="_x0000_i1115" style="width:0;height:1.5pt" o:hralign="center" o:hrstd="t" o:hr="t" fillcolor="#a0a0a0" stroked="f"/>
        </w:pict>
      </w:r>
    </w:p>
    <w:p w:rsidR="00000000" w:rsidRDefault="005C524C">
      <w:pPr>
        <w:divId w:val="56756907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219560607"/>
        <w:rPr>
          <w:rFonts w:eastAsia="Times New Roman"/>
        </w:rPr>
      </w:pPr>
      <w:r>
        <w:rPr>
          <w:rFonts w:eastAsia="Times New Roman"/>
          <w:color w:val="000000"/>
          <w:sz w:val="20"/>
          <w:szCs w:val="20"/>
        </w:rPr>
        <w:t>Average AUM in the Investment Management an</w:t>
      </w:r>
      <w:r>
        <w:rPr>
          <w:rFonts w:eastAsia="Times New Roman"/>
          <w:color w:val="000000"/>
          <w:sz w:val="20"/>
          <w:szCs w:val="20"/>
        </w:rPr>
        <w:t>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171"/>
        <w:gridCol w:w="37"/>
        <w:gridCol w:w="120"/>
        <w:gridCol w:w="682"/>
        <w:gridCol w:w="36"/>
        <w:gridCol w:w="36"/>
        <w:gridCol w:w="36"/>
        <w:gridCol w:w="36"/>
        <w:gridCol w:w="120"/>
        <w:gridCol w:w="682"/>
        <w:gridCol w:w="36"/>
        <w:gridCol w:w="36"/>
        <w:gridCol w:w="36"/>
        <w:gridCol w:w="36"/>
        <w:gridCol w:w="120"/>
        <w:gridCol w:w="766"/>
        <w:gridCol w:w="36"/>
        <w:gridCol w:w="36"/>
        <w:gridCol w:w="36"/>
        <w:gridCol w:w="36"/>
        <w:gridCol w:w="120"/>
        <w:gridCol w:w="766"/>
        <w:gridCol w:w="36"/>
        <w:gridCol w:w="36"/>
        <w:gridCol w:w="36"/>
        <w:gridCol w:w="36"/>
        <w:gridCol w:w="36"/>
        <w:gridCol w:w="36"/>
        <w:gridCol w:w="36"/>
      </w:tblGrid>
      <w:tr w:rsidR="00000000">
        <w:trPr>
          <w:divId w:val="219560607"/>
        </w:trPr>
        <w:tc>
          <w:tcPr>
            <w:tcW w:w="50" w:type="pct"/>
            <w:vAlign w:val="center"/>
            <w:hideMark/>
          </w:tcPr>
          <w:p w:rsidR="00000000" w:rsidRDefault="005C524C">
            <w:pPr>
              <w:ind w:firstLine="360"/>
              <w:rPr>
                <w:rFonts w:eastAsia="Times New Roman"/>
              </w:rPr>
            </w:pPr>
          </w:p>
        </w:tc>
        <w:tc>
          <w:tcPr>
            <w:tcW w:w="264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tcMar>
              <w:top w:w="30" w:type="dxa"/>
              <w:left w:w="20" w:type="dxa"/>
              <w:bottom w:w="30" w:type="dxa"/>
              <w:right w:w="20" w:type="dxa"/>
            </w:tcMar>
            <w:vAlign w:val="bottom"/>
            <w:hideMark/>
          </w:tcPr>
          <w:p w:rsidR="00000000" w:rsidRDefault="005C524C">
            <w:pPr>
              <w:spacing w:after="100"/>
              <w:divId w:val="141959563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tcMar>
              <w:top w:w="30" w:type="dxa"/>
              <w:left w:w="20" w:type="dxa"/>
              <w:bottom w:w="30" w:type="dxa"/>
              <w:right w:w="20" w:type="dxa"/>
            </w:tcMar>
            <w:vAlign w:val="bottom"/>
            <w:hideMark/>
          </w:tcPr>
          <w:p w:rsidR="00000000" w:rsidRDefault="005C524C">
            <w:pPr>
              <w:spacing w:after="100"/>
              <w:divId w:val="680854888"/>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307.5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324.9 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318.7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319.7 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284.3 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276.7 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Private Wealth</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113.4 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113.9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688.6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722.6 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717.7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Height w:val="24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243.1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246.6 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255.6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235.4 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68.5 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253.2 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224.1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55.2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19560607"/>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722.6 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717.7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706.7 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1921596201"/>
        <w:rPr>
          <w:rFonts w:eastAsia="Times New Roman"/>
        </w:rPr>
      </w:pPr>
      <w:r>
        <w:rPr>
          <w:rFonts w:eastAsia="Times New Roman"/>
          <w:color w:val="000000"/>
          <w:sz w:val="18"/>
          <w:szCs w:val="18"/>
        </w:rPr>
        <w:t>____________</w:t>
      </w:r>
    </w:p>
    <w:p w:rsidR="00000000" w:rsidRDefault="005C524C">
      <w:pPr>
        <w:ind w:hanging="360"/>
        <w:divId w:val="653027332"/>
        <w:rPr>
          <w:rFonts w:eastAsia="Times New Roman"/>
        </w:rPr>
      </w:pPr>
      <w:r>
        <w:rPr>
          <w:rFonts w:eastAsia="Times New Roman"/>
          <w:color w:val="000000"/>
          <w:sz w:val="18"/>
          <w:szCs w:val="18"/>
        </w:rPr>
        <w:t>(1)Includes index and enhanced index services.</w:t>
      </w:r>
    </w:p>
    <w:p w:rsidR="00000000" w:rsidRDefault="005C524C">
      <w:pPr>
        <w:ind w:hanging="360"/>
        <w:divId w:val="464003678"/>
        <w:rPr>
          <w:rFonts w:eastAsia="Times New Roman"/>
        </w:rPr>
      </w:pPr>
      <w:r>
        <w:rPr>
          <w:rFonts w:eastAsia="Times New Roman"/>
          <w:color w:val="000000"/>
          <w:sz w:val="18"/>
          <w:szCs w:val="18"/>
        </w:rPr>
        <w:t>(2)</w:t>
      </w:r>
      <w:r>
        <w:rPr>
          <w:rFonts w:eastAsia="Times New Roman"/>
          <w:color w:val="000000"/>
          <w:sz w:val="18"/>
          <w:szCs w:val="18"/>
        </w:rPr>
        <w:t>Includes certain multi-asset solutions and services not included in equity of fixed income services.</w:t>
      </w:r>
    </w:p>
    <w:p w:rsidR="00000000" w:rsidRDefault="005C524C">
      <w:pPr>
        <w:divId w:val="2040861183"/>
        <w:rPr>
          <w:rFonts w:eastAsia="Times New Roman"/>
        </w:rPr>
      </w:pPr>
      <w:r>
        <w:rPr>
          <w:rFonts w:eastAsia="Times New Roman"/>
          <w:b/>
          <w:bCs/>
          <w:color w:val="000000"/>
          <w:sz w:val="20"/>
          <w:szCs w:val="20"/>
        </w:rPr>
        <w:t>Three Months Ended June 30, 2022 Compared to the Three Months Ended June 30, 2021 for the Investment Management and Research Segment</w:t>
      </w:r>
    </w:p>
    <w:p w:rsidR="00000000" w:rsidRDefault="005C524C">
      <w:pPr>
        <w:jc w:val="both"/>
        <w:divId w:val="2122996449"/>
        <w:rPr>
          <w:rFonts w:eastAsia="Times New Roman"/>
        </w:rPr>
      </w:pPr>
      <w:r>
        <w:rPr>
          <w:rFonts w:eastAsia="Times New Roman"/>
          <w:b/>
          <w:bCs/>
          <w:i/>
          <w:iCs/>
          <w:color w:val="000000"/>
          <w:sz w:val="20"/>
          <w:szCs w:val="20"/>
        </w:rPr>
        <w:t>Operating earnings</w:t>
      </w:r>
    </w:p>
    <w:p w:rsidR="00000000" w:rsidRDefault="005C524C">
      <w:pPr>
        <w:ind w:firstLine="360"/>
        <w:divId w:val="270211348"/>
        <w:rPr>
          <w:rFonts w:eastAsia="Times New Roman"/>
        </w:rPr>
      </w:pPr>
      <w:r>
        <w:rPr>
          <w:rFonts w:eastAsia="Times New Roman"/>
          <w:color w:val="000000"/>
          <w:sz w:val="20"/>
          <w:szCs w:val="20"/>
        </w:rPr>
        <w:t>Ope</w:t>
      </w:r>
      <w:r>
        <w:rPr>
          <w:rFonts w:eastAsia="Times New Roman"/>
          <w:color w:val="000000"/>
          <w:sz w:val="20"/>
          <w:szCs w:val="20"/>
        </w:rPr>
        <w:t>rating earnings decreased $25 million to $101 million during the three months ended June 30, 2022 from $126 million during the three months ended June 30, 2021. The following notable items were the primary drivers of the change in operating earnings:</w:t>
      </w:r>
    </w:p>
    <w:p w:rsidR="00000000" w:rsidRDefault="005C524C">
      <w:pPr>
        <w:divId w:val="706875969"/>
        <w:rPr>
          <w:rFonts w:eastAsia="Times New Roman"/>
        </w:rPr>
      </w:pPr>
      <w:r>
        <w:rPr>
          <w:rFonts w:eastAsia="Times New Roman"/>
          <w:color w:val="000000"/>
          <w:sz w:val="20"/>
          <w:szCs w:val="20"/>
        </w:rPr>
        <w:t>Unfav</w:t>
      </w:r>
      <w:r>
        <w:rPr>
          <w:rFonts w:eastAsia="Times New Roman"/>
          <w:color w:val="000000"/>
          <w:sz w:val="20"/>
          <w:szCs w:val="20"/>
        </w:rPr>
        <w:t>orable items included:</w:t>
      </w:r>
    </w:p>
    <w:p w:rsidR="00000000" w:rsidRDefault="005C524C">
      <w:pPr>
        <w:ind w:hanging="180"/>
        <w:divId w:val="1308164103"/>
        <w:rPr>
          <w:rFonts w:eastAsia="Times New Roman"/>
        </w:rPr>
      </w:pPr>
      <w:r>
        <w:rPr>
          <w:rFonts w:eastAsia="Times New Roman"/>
          <w:color w:val="000000"/>
          <w:sz w:val="20"/>
          <w:szCs w:val="20"/>
        </w:rPr>
        <w:t>•Fee-type revenue decreased by $64 million primarily due to lower investment advisory base fees and performance based fees. Lower investment advisory base fees were driven by lower average AUM due to net outflows and market depreciat</w:t>
      </w:r>
      <w:r>
        <w:rPr>
          <w:rFonts w:eastAsia="Times New Roman"/>
          <w:color w:val="000000"/>
          <w:sz w:val="20"/>
          <w:szCs w:val="20"/>
        </w:rPr>
        <w:t xml:space="preserve">ion. Lower performance based fees were primarily driven by lower performance fees on AB’s U.S. Select Equity and Private Credit Fund, partially offset by higher performance fees earned on AB’s U.S. Real Estate Funds. </w:t>
      </w:r>
    </w:p>
    <w:p w:rsidR="00000000" w:rsidRDefault="005C524C">
      <w:pPr>
        <w:ind w:hanging="180"/>
        <w:jc w:val="both"/>
        <w:divId w:val="324406304"/>
        <w:rPr>
          <w:rFonts w:eastAsia="Times New Roman"/>
        </w:rPr>
      </w:pPr>
      <w:r>
        <w:rPr>
          <w:rFonts w:eastAsia="Times New Roman"/>
          <w:color w:val="000000"/>
          <w:sz w:val="20"/>
          <w:szCs w:val="20"/>
        </w:rPr>
        <w:t>•Net investment income, net of derivat</w:t>
      </w:r>
      <w:r>
        <w:rPr>
          <w:rFonts w:eastAsia="Times New Roman"/>
          <w:color w:val="000000"/>
          <w:sz w:val="20"/>
          <w:szCs w:val="20"/>
        </w:rPr>
        <w:t>ive gains, was unfavorable by $5 million. Net investment income decreased $38 million mainly due to losses on the seed capital investments subject to market risk, partially offset by an increase in Net derivative gains of $33 million mainly due to gains fr</w:t>
      </w:r>
      <w:r>
        <w:rPr>
          <w:rFonts w:eastAsia="Times New Roman"/>
          <w:color w:val="000000"/>
          <w:sz w:val="20"/>
          <w:szCs w:val="20"/>
        </w:rPr>
        <w:t xml:space="preserve">om economically hedging seed capital investments. </w:t>
      </w:r>
    </w:p>
    <w:p w:rsidR="00000000" w:rsidRDefault="005C524C">
      <w:pPr>
        <w:divId w:val="557133026"/>
        <w:rPr>
          <w:rFonts w:eastAsia="Times New Roman"/>
        </w:rPr>
      </w:pPr>
      <w:r>
        <w:rPr>
          <w:rFonts w:eastAsia="Times New Roman"/>
          <w:color w:val="000000"/>
          <w:sz w:val="20"/>
          <w:szCs w:val="20"/>
        </w:rPr>
        <w:t>These were partially offset by the following favorable items:</w:t>
      </w:r>
    </w:p>
    <w:p w:rsidR="00000000" w:rsidRDefault="005C524C">
      <w:pPr>
        <w:ind w:hanging="180"/>
        <w:divId w:val="16736847"/>
        <w:rPr>
          <w:rFonts w:eastAsia="Times New Roman"/>
        </w:rPr>
      </w:pPr>
      <w:r>
        <w:rPr>
          <w:rFonts w:eastAsia="Times New Roman"/>
          <w:color w:val="000000"/>
          <w:sz w:val="20"/>
          <w:szCs w:val="20"/>
        </w:rPr>
        <w:t>•Commissions and distribution-related payments decreased by $9 million mainly due to lower payments to financial intermediaries for the distrib</w:t>
      </w:r>
      <w:r>
        <w:rPr>
          <w:rFonts w:eastAsia="Times New Roman"/>
          <w:color w:val="000000"/>
          <w:sz w:val="20"/>
          <w:szCs w:val="20"/>
        </w:rPr>
        <w:t xml:space="preserve">ution of AB mutual funds, primarily resulting from decreased average AUM of these mutual funds. </w:t>
      </w:r>
    </w:p>
    <w:p w:rsidR="00000000" w:rsidRDefault="005C524C">
      <w:pPr>
        <w:ind w:hanging="180"/>
        <w:divId w:val="452755029"/>
        <w:rPr>
          <w:rFonts w:eastAsia="Times New Roman"/>
        </w:rPr>
      </w:pPr>
      <w:r>
        <w:rPr>
          <w:rFonts w:eastAsia="Times New Roman"/>
          <w:color w:val="000000"/>
          <w:sz w:val="20"/>
          <w:szCs w:val="20"/>
        </w:rPr>
        <w:t>•Compensation, benefits, interest expense and other operating costs decreased by $6 million mainly due to lower incentive compensation.</w:t>
      </w:r>
    </w:p>
    <w:p w:rsidR="00000000" w:rsidRDefault="005C524C">
      <w:pPr>
        <w:ind w:hanging="180"/>
        <w:divId w:val="964316890"/>
        <w:rPr>
          <w:rFonts w:eastAsia="Times New Roman"/>
        </w:rPr>
      </w:pPr>
      <w:r>
        <w:rPr>
          <w:rFonts w:eastAsia="Times New Roman"/>
          <w:color w:val="000000"/>
          <w:sz w:val="20"/>
          <w:szCs w:val="20"/>
        </w:rPr>
        <w:t xml:space="preserve">•Earnings attributable </w:t>
      </w:r>
      <w:r>
        <w:rPr>
          <w:rFonts w:eastAsia="Times New Roman"/>
          <w:color w:val="000000"/>
          <w:sz w:val="20"/>
          <w:szCs w:val="20"/>
        </w:rPr>
        <w:t>to noncontrolling interest decreased by $20 million due to lower pre-tax earnings.</w:t>
      </w:r>
    </w:p>
    <w:p w:rsidR="00000000" w:rsidRDefault="005C524C">
      <w:pPr>
        <w:ind w:hanging="180"/>
        <w:jc w:val="both"/>
        <w:divId w:val="517888600"/>
        <w:rPr>
          <w:rFonts w:eastAsia="Times New Roman"/>
        </w:rPr>
      </w:pPr>
      <w:r>
        <w:rPr>
          <w:rFonts w:eastAsia="Times New Roman"/>
          <w:color w:val="000000"/>
          <w:sz w:val="20"/>
          <w:szCs w:val="20"/>
        </w:rPr>
        <w:t xml:space="preserve">•Income tax expense decreased by $9 million primarily due to lower pre-tax earnings, partially offset by a higher effective tax rate. </w:t>
      </w:r>
    </w:p>
    <w:p w:rsidR="00000000" w:rsidRDefault="005C524C">
      <w:pPr>
        <w:ind w:firstLine="720"/>
        <w:jc w:val="both"/>
        <w:divId w:val="378673627"/>
        <w:rPr>
          <w:rFonts w:eastAsia="Times New Roman"/>
        </w:rPr>
      </w:pPr>
      <w:r>
        <w:rPr>
          <w:rFonts w:eastAsia="Times New Roman"/>
          <w:b/>
          <w:bCs/>
          <w:i/>
          <w:iCs/>
          <w:color w:val="000000"/>
          <w:sz w:val="20"/>
          <w:szCs w:val="20"/>
        </w:rPr>
        <w:t>Long-Term Net Flows and AUM</w:t>
      </w:r>
    </w:p>
    <w:p w:rsidR="00000000" w:rsidRDefault="005C524C">
      <w:pPr>
        <w:jc w:val="center"/>
        <w:divId w:val="1739010706"/>
        <w:rPr>
          <w:rFonts w:eastAsia="Times New Roman"/>
        </w:rPr>
      </w:pPr>
      <w:r>
        <w:rPr>
          <w:rFonts w:eastAsia="Times New Roman"/>
          <w:color w:val="000000"/>
          <w:sz w:val="20"/>
          <w:szCs w:val="20"/>
        </w:rPr>
        <w:t>90</w:t>
      </w:r>
    </w:p>
    <w:p w:rsidR="00000000" w:rsidRDefault="005C524C">
      <w:pPr>
        <w:rPr>
          <w:rFonts w:eastAsia="Times New Roman"/>
        </w:rPr>
      </w:pPr>
      <w:r>
        <w:rPr>
          <w:rFonts w:eastAsia="Times New Roman"/>
        </w:rPr>
        <w:pict>
          <v:rect id="_x0000_i1116" style="width:0;height:1.5pt" o:hralign="center" o:hrstd="t" o:hr="t" fillcolor="#a0a0a0" stroked="f"/>
        </w:pict>
      </w:r>
    </w:p>
    <w:p w:rsidR="00000000" w:rsidRDefault="005C524C">
      <w:pPr>
        <w:divId w:val="70478845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180"/>
        <w:divId w:val="1265192378"/>
        <w:rPr>
          <w:rFonts w:eastAsia="Times New Roman"/>
        </w:rPr>
      </w:pPr>
      <w:r>
        <w:rPr>
          <w:rFonts w:eastAsia="Times New Roman"/>
          <w:color w:val="000000"/>
          <w:sz w:val="20"/>
          <w:szCs w:val="20"/>
        </w:rPr>
        <w:t>•Total AUM as of June 30, 2022 was $646.8 billion, down $88.6 billion, or 12.0%, compared to March 31, 2022. During the second quarter of 2022, AUM d</w:t>
      </w:r>
      <w:r>
        <w:rPr>
          <w:rFonts w:eastAsia="Times New Roman"/>
          <w:color w:val="000000"/>
          <w:sz w:val="20"/>
          <w:szCs w:val="20"/>
        </w:rPr>
        <w:t>ecreased primarily as a result of market depreciation of $85.5 billion and net outflows of $2.7 billion, due to Retail net outflows of $2.2 billion and Private Wealth net outflows of $1.2 billion partially offset by Institution net inflows of $0.7 billion.</w:t>
      </w:r>
      <w:r>
        <w:rPr>
          <w:rFonts w:eastAsia="Times New Roman"/>
          <w:color w:val="000000"/>
          <w:sz w:val="20"/>
          <w:szCs w:val="20"/>
        </w:rPr>
        <w:t xml:space="preserve"> Excluding AXA redemptions of low-fee fixed income mandates of $0.6 billion, AB generated net outflows of $2.1 billion in the second quarter 2022.</w:t>
      </w:r>
    </w:p>
    <w:p w:rsidR="00000000" w:rsidRDefault="005C524C">
      <w:pPr>
        <w:divId w:val="2117752238"/>
        <w:rPr>
          <w:rFonts w:eastAsia="Times New Roman"/>
        </w:rPr>
      </w:pPr>
      <w:r>
        <w:rPr>
          <w:rFonts w:eastAsia="Times New Roman"/>
          <w:b/>
          <w:bCs/>
          <w:color w:val="000000"/>
          <w:sz w:val="20"/>
          <w:szCs w:val="20"/>
        </w:rPr>
        <w:t>Six Months Ended June 30, 2022 Compared to the Six Months Ended June 30, 2021 for the Investment Management a</w:t>
      </w:r>
      <w:r>
        <w:rPr>
          <w:rFonts w:eastAsia="Times New Roman"/>
          <w:b/>
          <w:bCs/>
          <w:color w:val="000000"/>
          <w:sz w:val="20"/>
          <w:szCs w:val="20"/>
        </w:rPr>
        <w:t>nd Research Segment</w:t>
      </w:r>
    </w:p>
    <w:p w:rsidR="00000000" w:rsidRDefault="005C524C">
      <w:pPr>
        <w:jc w:val="both"/>
        <w:divId w:val="253516134"/>
        <w:rPr>
          <w:rFonts w:eastAsia="Times New Roman"/>
        </w:rPr>
      </w:pPr>
      <w:r>
        <w:rPr>
          <w:rFonts w:eastAsia="Times New Roman"/>
          <w:b/>
          <w:bCs/>
          <w:i/>
          <w:iCs/>
          <w:color w:val="000000"/>
          <w:sz w:val="20"/>
          <w:szCs w:val="20"/>
          <w:shd w:val="clear" w:color="auto" w:fill="FFFFFF"/>
        </w:rPr>
        <w:t>Operating earnings</w:t>
      </w:r>
    </w:p>
    <w:p w:rsidR="00000000" w:rsidRDefault="005C524C">
      <w:pPr>
        <w:ind w:firstLine="360"/>
        <w:divId w:val="825509933"/>
        <w:rPr>
          <w:rFonts w:eastAsia="Times New Roman"/>
        </w:rPr>
      </w:pPr>
      <w:r>
        <w:rPr>
          <w:rFonts w:eastAsia="Times New Roman"/>
          <w:color w:val="000000"/>
          <w:sz w:val="20"/>
          <w:szCs w:val="20"/>
          <w:shd w:val="clear" w:color="auto" w:fill="FFFFFF"/>
        </w:rPr>
        <w:t>Operating earnin</w:t>
      </w:r>
      <w:r>
        <w:rPr>
          <w:rFonts w:eastAsia="Times New Roman"/>
          <w:color w:val="000000"/>
          <w:sz w:val="20"/>
          <w:szCs w:val="20"/>
        </w:rPr>
        <w:t>gs decreased $10 million to $237 million du</w:t>
      </w:r>
      <w:r>
        <w:rPr>
          <w:rFonts w:eastAsia="Times New Roman"/>
          <w:color w:val="000000"/>
          <w:sz w:val="20"/>
          <w:szCs w:val="20"/>
          <w:shd w:val="clear" w:color="auto" w:fill="FFFFFF"/>
        </w:rPr>
        <w:t>ring the six months ended June 30, 2022 from $247 million in the six months ended June 30, 2021. The following notable items were the primary drivers of the change in operating earnings:</w:t>
      </w:r>
    </w:p>
    <w:p w:rsidR="00000000" w:rsidRDefault="005C524C">
      <w:pPr>
        <w:divId w:val="85269922"/>
        <w:rPr>
          <w:rFonts w:eastAsia="Times New Roman"/>
        </w:rPr>
      </w:pPr>
      <w:r>
        <w:rPr>
          <w:rFonts w:eastAsia="Times New Roman"/>
          <w:color w:val="000000"/>
          <w:sz w:val="20"/>
          <w:szCs w:val="20"/>
          <w:shd w:val="clear" w:color="auto" w:fill="FFFFFF"/>
        </w:rPr>
        <w:t>Unfavorable items included:</w:t>
      </w:r>
    </w:p>
    <w:p w:rsidR="00000000" w:rsidRDefault="005C524C">
      <w:pPr>
        <w:ind w:hanging="180"/>
        <w:divId w:val="1768693650"/>
        <w:rPr>
          <w:rFonts w:eastAsia="Times New Roman"/>
        </w:rPr>
      </w:pPr>
      <w:r>
        <w:rPr>
          <w:rFonts w:eastAsia="Times New Roman"/>
          <w:color w:val="000000"/>
          <w:sz w:val="20"/>
          <w:szCs w:val="20"/>
          <w:shd w:val="clear" w:color="auto" w:fill="FFFFFF"/>
        </w:rPr>
        <w:t>•Compensation, benefits, interest expense</w:t>
      </w:r>
      <w:r>
        <w:rPr>
          <w:rFonts w:eastAsia="Times New Roman"/>
          <w:color w:val="000000"/>
          <w:sz w:val="20"/>
          <w:szCs w:val="20"/>
          <w:shd w:val="clear" w:color="auto" w:fill="FFFFFF"/>
        </w:rPr>
        <w:t xml:space="preserve"> and other operating costs increased by $88 million mainly due to higher general and administrative costs, primarily relating to higher portfolio servicing fees.</w:t>
      </w:r>
    </w:p>
    <w:p w:rsidR="00000000" w:rsidRDefault="005C524C">
      <w:pPr>
        <w:ind w:hanging="180"/>
        <w:divId w:val="957220144"/>
        <w:rPr>
          <w:rFonts w:eastAsia="Times New Roman"/>
        </w:rPr>
      </w:pPr>
      <w:r>
        <w:rPr>
          <w:rFonts w:eastAsia="Times New Roman"/>
          <w:color w:val="000000"/>
          <w:sz w:val="20"/>
          <w:szCs w:val="20"/>
          <w:shd w:val="clear" w:color="auto" w:fill="FFFFFF"/>
        </w:rPr>
        <w:t>•Commissions and distribution-related payments increased by $5 million mainly due to higher pa</w:t>
      </w:r>
      <w:r>
        <w:rPr>
          <w:rFonts w:eastAsia="Times New Roman"/>
          <w:color w:val="000000"/>
          <w:sz w:val="20"/>
          <w:szCs w:val="20"/>
          <w:shd w:val="clear" w:color="auto" w:fill="FFFFFF"/>
        </w:rPr>
        <w:t xml:space="preserve">yments to financial intermediaries for the distribution of AB mutual funds, primarily resulting from increased average AUM of these mutual funds. </w:t>
      </w:r>
    </w:p>
    <w:p w:rsidR="00000000" w:rsidRDefault="005C524C">
      <w:pPr>
        <w:ind w:hanging="180"/>
        <w:divId w:val="503475732"/>
        <w:rPr>
          <w:rFonts w:eastAsia="Times New Roman"/>
        </w:rPr>
      </w:pPr>
      <w:r>
        <w:rPr>
          <w:rFonts w:eastAsia="Times New Roman"/>
          <w:color w:val="000000"/>
          <w:sz w:val="20"/>
          <w:szCs w:val="20"/>
        </w:rPr>
        <w:t>•Net investment income, net of derivative gains, was unfavorable by $10 million. Net investment income decrea</w:t>
      </w:r>
      <w:r>
        <w:rPr>
          <w:rFonts w:eastAsia="Times New Roman"/>
          <w:color w:val="000000"/>
          <w:sz w:val="20"/>
          <w:szCs w:val="20"/>
        </w:rPr>
        <w:t>sed by $61 million mainly due to higher losses on the seed capital investments subject to market risk, offset by an increase in Net derivative gains of $51 million mainly due to higher gains from economically hedging the seed capital investments.</w:t>
      </w:r>
    </w:p>
    <w:p w:rsidR="00000000" w:rsidRDefault="005C524C">
      <w:pPr>
        <w:divId w:val="500395481"/>
        <w:rPr>
          <w:rFonts w:eastAsia="Times New Roman"/>
        </w:rPr>
      </w:pPr>
      <w:r>
        <w:rPr>
          <w:rFonts w:eastAsia="Times New Roman"/>
          <w:color w:val="000000"/>
          <w:sz w:val="20"/>
          <w:szCs w:val="20"/>
          <w:shd w:val="clear" w:color="auto" w:fill="FFFFFF"/>
        </w:rPr>
        <w:t>These were partially offset by the following favorable items:</w:t>
      </w:r>
    </w:p>
    <w:p w:rsidR="00000000" w:rsidRDefault="005C524C">
      <w:pPr>
        <w:ind w:hanging="180"/>
        <w:divId w:val="1392071934"/>
        <w:rPr>
          <w:rFonts w:eastAsia="Times New Roman"/>
        </w:rPr>
      </w:pPr>
      <w:r>
        <w:rPr>
          <w:rFonts w:eastAsia="Times New Roman"/>
          <w:color w:val="000000"/>
          <w:sz w:val="20"/>
          <w:szCs w:val="20"/>
          <w:shd w:val="clear" w:color="auto" w:fill="FFFFFF"/>
        </w:rPr>
        <w:t xml:space="preserve">•Fee-type revenue increased by $72 million primarily due to </w:t>
      </w:r>
      <w:r>
        <w:rPr>
          <w:rFonts w:eastAsia="Times New Roman"/>
          <w:color w:val="000000"/>
          <w:sz w:val="20"/>
          <w:szCs w:val="20"/>
        </w:rPr>
        <w:t>higher investment advisory base fees, performance based fees and distribution revenue. The increase in investment advisory base fees i</w:t>
      </w:r>
      <w:r>
        <w:rPr>
          <w:rFonts w:eastAsia="Times New Roman"/>
          <w:color w:val="000000"/>
          <w:sz w:val="20"/>
          <w:szCs w:val="20"/>
        </w:rPr>
        <w:t>s primarily driven by higher average AUM. The increase in performance based fees is primarily due to higher performance fees earned on AB’s U.S. Real Estate Funds, partially offset by lower performance fees earned on AB’s U.S. Select Equity and Private Cre</w:t>
      </w:r>
      <w:r>
        <w:rPr>
          <w:rFonts w:eastAsia="Times New Roman"/>
          <w:color w:val="000000"/>
          <w:sz w:val="20"/>
          <w:szCs w:val="20"/>
        </w:rPr>
        <w:t>dit Fund. The increase in distribution revenue is primarily due to an increase in overall portfolio fee rate, partially offset by a decrease in the corresponding average AUM of these mutual funds.</w:t>
      </w:r>
    </w:p>
    <w:p w:rsidR="00000000" w:rsidRDefault="005C524C">
      <w:pPr>
        <w:ind w:hanging="180"/>
        <w:jc w:val="both"/>
        <w:divId w:val="729112546"/>
        <w:rPr>
          <w:rFonts w:eastAsia="Times New Roman"/>
        </w:rPr>
      </w:pPr>
      <w:r>
        <w:rPr>
          <w:rFonts w:eastAsia="Times New Roman"/>
          <w:color w:val="000000"/>
          <w:sz w:val="20"/>
          <w:szCs w:val="20"/>
        </w:rPr>
        <w:t>•Earnings attributable to noncontrolling interest decreased</w:t>
      </w:r>
      <w:r>
        <w:rPr>
          <w:rFonts w:eastAsia="Times New Roman"/>
          <w:color w:val="000000"/>
          <w:sz w:val="20"/>
          <w:szCs w:val="20"/>
        </w:rPr>
        <w:t xml:space="preserve"> by $14 million due to lower pre-tax earnings.</w:t>
      </w:r>
    </w:p>
    <w:p w:rsidR="00000000" w:rsidRDefault="005C524C">
      <w:pPr>
        <w:ind w:hanging="180"/>
        <w:jc w:val="both"/>
        <w:divId w:val="34357517"/>
        <w:rPr>
          <w:rFonts w:eastAsia="Times New Roman"/>
        </w:rPr>
      </w:pPr>
      <w:r>
        <w:rPr>
          <w:rFonts w:eastAsia="Times New Roman"/>
          <w:color w:val="000000"/>
          <w:sz w:val="20"/>
          <w:szCs w:val="20"/>
        </w:rPr>
        <w:t>•Income tax expense decreased by $7 million due to lower pre-tax earnings.</w:t>
      </w:r>
    </w:p>
    <w:p w:rsidR="00000000" w:rsidRDefault="005C524C">
      <w:pPr>
        <w:jc w:val="both"/>
        <w:divId w:val="419913003"/>
        <w:rPr>
          <w:rFonts w:eastAsia="Times New Roman"/>
        </w:rPr>
      </w:pPr>
      <w:r>
        <w:rPr>
          <w:rFonts w:eastAsia="Times New Roman"/>
          <w:b/>
          <w:bCs/>
          <w:i/>
          <w:iCs/>
          <w:color w:val="000000"/>
          <w:sz w:val="20"/>
          <w:szCs w:val="20"/>
          <w:shd w:val="clear" w:color="auto" w:fill="FFFFFF"/>
        </w:rPr>
        <w:t>Long-Term Net Flows and AUM</w:t>
      </w:r>
    </w:p>
    <w:p w:rsidR="00000000" w:rsidRDefault="005C524C">
      <w:pPr>
        <w:ind w:hanging="180"/>
        <w:divId w:val="1475248034"/>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Total AUM as of </w:t>
      </w:r>
      <w:r>
        <w:rPr>
          <w:rFonts w:eastAsia="Times New Roman"/>
          <w:color w:val="000000"/>
          <w:sz w:val="20"/>
          <w:szCs w:val="20"/>
          <w:shd w:val="clear" w:color="auto" w:fill="FFFFFF"/>
        </w:rPr>
        <w:t>June 30, 2022</w:t>
      </w:r>
      <w:r>
        <w:rPr>
          <w:rFonts w:eastAsia="Times New Roman"/>
          <w:color w:val="000000"/>
          <w:sz w:val="20"/>
          <w:szCs w:val="20"/>
        </w:rPr>
        <w:t xml:space="preserve"> was </w:t>
      </w:r>
      <w:r>
        <w:rPr>
          <w:rFonts w:eastAsia="Times New Roman"/>
          <w:color w:val="000000"/>
          <w:sz w:val="20"/>
          <w:szCs w:val="20"/>
          <w:shd w:val="clear" w:color="auto" w:fill="FFFFFF"/>
        </w:rPr>
        <w:t>$646.8 billion</w:t>
      </w:r>
      <w:r>
        <w:rPr>
          <w:rFonts w:eastAsia="Times New Roman"/>
          <w:color w:val="000000"/>
          <w:sz w:val="20"/>
          <w:szCs w:val="20"/>
        </w:rPr>
        <w:t xml:space="preserve">, </w:t>
      </w:r>
      <w:r>
        <w:rPr>
          <w:rFonts w:eastAsia="Times New Roman"/>
          <w:color w:val="000000"/>
          <w:sz w:val="20"/>
          <w:szCs w:val="20"/>
          <w:shd w:val="clear" w:color="auto" w:fill="FFFFFF"/>
        </w:rPr>
        <w:t>down</w:t>
      </w:r>
      <w:r>
        <w:rPr>
          <w:rFonts w:eastAsia="Times New Roman"/>
          <w:color w:val="000000"/>
          <w:sz w:val="20"/>
          <w:szCs w:val="20"/>
        </w:rPr>
        <w:t xml:space="preserve"> </w:t>
      </w:r>
      <w:r>
        <w:rPr>
          <w:rFonts w:eastAsia="Times New Roman"/>
          <w:color w:val="000000"/>
          <w:sz w:val="20"/>
          <w:szCs w:val="20"/>
          <w:shd w:val="clear" w:color="auto" w:fill="FFFFFF"/>
        </w:rPr>
        <w:t>$131.8 billion</w:t>
      </w:r>
      <w:r>
        <w:rPr>
          <w:rFonts w:eastAsia="Times New Roman"/>
          <w:color w:val="000000"/>
          <w:sz w:val="20"/>
          <w:szCs w:val="20"/>
        </w:rPr>
        <w:t>, or 16.9%, compared to December 31,</w:t>
      </w:r>
      <w:r>
        <w:rPr>
          <w:rFonts w:eastAsia="Times New Roman"/>
          <w:color w:val="000000"/>
          <w:sz w:val="20"/>
          <w:szCs w:val="20"/>
        </w:rPr>
        <w:t xml:space="preserve"> 2021, and down </w:t>
      </w:r>
      <w:r>
        <w:rPr>
          <w:rFonts w:eastAsia="Times New Roman"/>
          <w:color w:val="000000"/>
          <w:sz w:val="20"/>
          <w:szCs w:val="20"/>
          <w:shd w:val="clear" w:color="auto" w:fill="FFFFFF"/>
        </w:rPr>
        <w:t>$91.6 billion</w:t>
      </w:r>
      <w:r>
        <w:rPr>
          <w:rFonts w:eastAsia="Times New Roman"/>
          <w:color w:val="000000"/>
          <w:sz w:val="20"/>
          <w:szCs w:val="20"/>
        </w:rPr>
        <w:t xml:space="preserve">, or 12.4%, compared to June 30, 2021. During the six months ended </w:t>
      </w:r>
      <w:r>
        <w:rPr>
          <w:rFonts w:eastAsia="Times New Roman"/>
          <w:color w:val="000000"/>
          <w:sz w:val="20"/>
          <w:szCs w:val="20"/>
          <w:shd w:val="clear" w:color="auto" w:fill="FFFFFF"/>
        </w:rPr>
        <w:t>June 30, 2022</w:t>
      </w:r>
      <w:r>
        <w:rPr>
          <w:rFonts w:eastAsia="Times New Roman"/>
          <w:color w:val="000000"/>
          <w:sz w:val="20"/>
          <w:szCs w:val="20"/>
        </w:rPr>
        <w:t>, AUM decreased primarily as a result of market depreciation of $140.1 billion partially offset by net inflows of $8.7 billion. During the twelve m</w:t>
      </w:r>
      <w:r>
        <w:rPr>
          <w:rFonts w:eastAsia="Times New Roman"/>
          <w:color w:val="000000"/>
          <w:sz w:val="20"/>
          <w:szCs w:val="20"/>
        </w:rPr>
        <w:t xml:space="preserve">onths ended </w:t>
      </w:r>
      <w:r>
        <w:rPr>
          <w:rFonts w:eastAsia="Times New Roman"/>
          <w:color w:val="000000"/>
          <w:sz w:val="20"/>
          <w:szCs w:val="20"/>
          <w:shd w:val="clear" w:color="auto" w:fill="FFFFFF"/>
        </w:rPr>
        <w:t>June 30, 2022</w:t>
      </w:r>
      <w:r>
        <w:rPr>
          <w:rFonts w:eastAsia="Times New Roman"/>
          <w:color w:val="000000"/>
          <w:sz w:val="20"/>
          <w:szCs w:val="20"/>
        </w:rPr>
        <w:t>, AUM decreased primarily as a result of market depreciation of $114.6 billion partially offset by net inflows of $23.4 billion. Excluding AXA redemptions of low-fee fixed income mandates of $0.6 billion, AB generated net inflows o</w:t>
      </w:r>
      <w:r>
        <w:rPr>
          <w:rFonts w:eastAsia="Times New Roman"/>
          <w:color w:val="000000"/>
          <w:sz w:val="20"/>
          <w:szCs w:val="20"/>
        </w:rPr>
        <w:t>f $9.3 billion and $24.0 billion during the six and twelve month periods ended June 30, 2022.</w:t>
      </w:r>
    </w:p>
    <w:p w:rsidR="00000000" w:rsidRDefault="005C524C">
      <w:pPr>
        <w:ind w:hanging="180"/>
        <w:divId w:val="138499841"/>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During the six months ended </w:t>
      </w:r>
      <w:r>
        <w:rPr>
          <w:rFonts w:eastAsia="Times New Roman"/>
          <w:color w:val="000000"/>
          <w:sz w:val="20"/>
          <w:szCs w:val="20"/>
          <w:shd w:val="clear" w:color="auto" w:fill="FFFFFF"/>
        </w:rPr>
        <w:t>June 30, 2022</w:t>
      </w:r>
      <w:r>
        <w:rPr>
          <w:rFonts w:eastAsia="Times New Roman"/>
          <w:color w:val="000000"/>
          <w:sz w:val="20"/>
          <w:szCs w:val="20"/>
        </w:rPr>
        <w:t>, Institutional and Private Wealth net inflows were $10.9 billion and $1.1 billion, respectively, offset by Retail net o</w:t>
      </w:r>
      <w:r>
        <w:rPr>
          <w:rFonts w:eastAsia="Times New Roman"/>
          <w:color w:val="000000"/>
          <w:sz w:val="20"/>
          <w:szCs w:val="20"/>
        </w:rPr>
        <w:t xml:space="preserve">utflows of $3.3 billion. During the twelve months ended </w:t>
      </w:r>
      <w:r>
        <w:rPr>
          <w:rFonts w:eastAsia="Times New Roman"/>
          <w:color w:val="000000"/>
          <w:sz w:val="20"/>
          <w:szCs w:val="20"/>
          <w:shd w:val="clear" w:color="auto" w:fill="FFFFFF"/>
        </w:rPr>
        <w:t>June 30, 2022</w:t>
      </w:r>
      <w:r>
        <w:rPr>
          <w:rFonts w:eastAsia="Times New Roman"/>
          <w:color w:val="000000"/>
          <w:sz w:val="20"/>
          <w:szCs w:val="20"/>
        </w:rPr>
        <w:t>, Institutional, Retail and Private Wealth net inflows were $11.5 billion, $9.7 billion and $2.2 billion, respectively.</w:t>
      </w:r>
    </w:p>
    <w:p w:rsidR="00000000" w:rsidRDefault="005C524C">
      <w:pPr>
        <w:ind w:hanging="180"/>
        <w:jc w:val="both"/>
        <w:divId w:val="1520854511"/>
        <w:rPr>
          <w:rFonts w:eastAsia="Times New Roman"/>
        </w:rPr>
      </w:pPr>
      <w:r>
        <w:rPr>
          <w:rFonts w:eastAsia="Times New Roman"/>
          <w:color w:val="000000"/>
          <w:sz w:val="20"/>
          <w:szCs w:val="20"/>
          <w:shd w:val="clear" w:color="auto" w:fill="FFFFFF"/>
        </w:rPr>
        <w:t>•AB expects approximately $4 billion of additional AXA-related rede</w:t>
      </w:r>
      <w:r>
        <w:rPr>
          <w:rFonts w:eastAsia="Times New Roman"/>
          <w:color w:val="000000"/>
          <w:sz w:val="20"/>
          <w:szCs w:val="20"/>
          <w:shd w:val="clear" w:color="auto" w:fill="FFFFFF"/>
        </w:rPr>
        <w:t>mptions of low-fee AUM in the second half of 2022.</w:t>
      </w:r>
    </w:p>
    <w:p w:rsidR="00000000" w:rsidRDefault="005C524C">
      <w:pPr>
        <w:divId w:val="865558687"/>
        <w:rPr>
          <w:rFonts w:eastAsia="Times New Roman"/>
        </w:rPr>
      </w:pPr>
      <w:r>
        <w:rPr>
          <w:rFonts w:eastAsia="Times New Roman"/>
          <w:b/>
          <w:bCs/>
          <w:color w:val="000000"/>
          <w:sz w:val="20"/>
          <w:szCs w:val="20"/>
        </w:rPr>
        <w:t>Protection Solutions</w:t>
      </w:r>
    </w:p>
    <w:p w:rsidR="00000000" w:rsidRDefault="005C524C">
      <w:pPr>
        <w:ind w:firstLine="360"/>
        <w:divId w:val="1797286358"/>
        <w:rPr>
          <w:rFonts w:eastAsia="Times New Roman"/>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w:t>
      </w:r>
      <w:r>
        <w:rPr>
          <w:rFonts w:eastAsia="Times New Roman"/>
          <w:color w:val="000000"/>
          <w:sz w:val="20"/>
          <w:szCs w:val="20"/>
        </w:rPr>
        <w:t>ts throughout their lives, including VUL, IUL and term life products. In 2015, we entered the employee benefits market and currently offer a suite of dental, vision, life, as well as short- and long-term disability insurance products to small and medium-si</w:t>
      </w:r>
      <w:r>
        <w:rPr>
          <w:rFonts w:eastAsia="Times New Roman"/>
          <w:color w:val="000000"/>
          <w:sz w:val="20"/>
          <w:szCs w:val="20"/>
        </w:rPr>
        <w:t>ze businesses.</w:t>
      </w:r>
    </w:p>
    <w:p w:rsidR="00000000" w:rsidRDefault="005C524C">
      <w:pPr>
        <w:jc w:val="center"/>
        <w:divId w:val="1273709767"/>
        <w:rPr>
          <w:rFonts w:eastAsia="Times New Roman"/>
        </w:rPr>
      </w:pPr>
      <w:r>
        <w:rPr>
          <w:rFonts w:eastAsia="Times New Roman"/>
          <w:color w:val="000000"/>
          <w:sz w:val="20"/>
          <w:szCs w:val="20"/>
        </w:rPr>
        <w:t>91</w:t>
      </w:r>
    </w:p>
    <w:p w:rsidR="00000000" w:rsidRDefault="005C524C">
      <w:pPr>
        <w:rPr>
          <w:rFonts w:eastAsia="Times New Roman"/>
        </w:rPr>
      </w:pPr>
      <w:r>
        <w:rPr>
          <w:rFonts w:eastAsia="Times New Roman"/>
        </w:rPr>
        <w:pict>
          <v:rect id="_x0000_i1117" style="width:0;height:1.5pt" o:hralign="center" o:hrstd="t" o:hr="t" fillcolor="#a0a0a0" stroked="f"/>
        </w:pict>
      </w:r>
    </w:p>
    <w:p w:rsidR="00000000" w:rsidRDefault="005C524C">
      <w:pPr>
        <w:divId w:val="203739133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1235824324"/>
        <w:rPr>
          <w:rFonts w:eastAsia="Times New Roman"/>
        </w:rPr>
      </w:pPr>
      <w:r>
        <w:rPr>
          <w:rFonts w:eastAsia="Times New Roman"/>
          <w:color w:val="000000"/>
          <w:sz w:val="20"/>
          <w:szCs w:val="20"/>
        </w:rPr>
        <w:t xml:space="preserve">In recent years, we have refocused our product offering and distribution towards less capital intensive, higher return accumulation and protection products. For example, in January 2021, we discontinued offering our most interest sensitive IUL product. We </w:t>
      </w:r>
      <w:r>
        <w:rPr>
          <w:rFonts w:eastAsia="Times New Roman"/>
          <w:color w:val="000000"/>
          <w:sz w:val="20"/>
          <w:szCs w:val="20"/>
        </w:rPr>
        <w:t>plan to improve our operating earnings over time through earnings generated from sales of our repositioned product portfolio and by proactively managing and optimizing our in-force book.</w:t>
      </w:r>
    </w:p>
    <w:p w:rsidR="00000000" w:rsidRDefault="005C524C">
      <w:pPr>
        <w:ind w:firstLine="360"/>
        <w:divId w:val="434441202"/>
        <w:rPr>
          <w:rFonts w:eastAsia="Times New Roman"/>
        </w:rPr>
      </w:pPr>
      <w:r>
        <w:rPr>
          <w:rFonts w:eastAsia="Times New Roman"/>
          <w:color w:val="000000"/>
          <w:sz w:val="20"/>
          <w:szCs w:val="20"/>
        </w:rPr>
        <w:t>The following table summarizes operating earnings (loss) of our Prote</w:t>
      </w:r>
      <w:r>
        <w:rPr>
          <w:rFonts w:eastAsia="Times New Roman"/>
          <w:color w:val="000000"/>
          <w:sz w:val="20"/>
          <w:szCs w:val="20"/>
        </w:rPr>
        <w:t>ction Solutions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333"/>
        <w:gridCol w:w="36"/>
        <w:gridCol w:w="120"/>
        <w:gridCol w:w="703"/>
        <w:gridCol w:w="36"/>
        <w:gridCol w:w="36"/>
        <w:gridCol w:w="36"/>
        <w:gridCol w:w="36"/>
        <w:gridCol w:w="120"/>
        <w:gridCol w:w="703"/>
        <w:gridCol w:w="36"/>
        <w:gridCol w:w="120"/>
        <w:gridCol w:w="787"/>
        <w:gridCol w:w="36"/>
        <w:gridCol w:w="36"/>
        <w:gridCol w:w="36"/>
        <w:gridCol w:w="36"/>
        <w:gridCol w:w="120"/>
        <w:gridCol w:w="651"/>
        <w:gridCol w:w="36"/>
        <w:gridCol w:w="36"/>
        <w:gridCol w:w="36"/>
        <w:gridCol w:w="36"/>
        <w:gridCol w:w="36"/>
        <w:gridCol w:w="36"/>
        <w:gridCol w:w="36"/>
      </w:tblGrid>
      <w:tr w:rsidR="00000000">
        <w:trPr>
          <w:divId w:val="400250250"/>
        </w:trPr>
        <w:tc>
          <w:tcPr>
            <w:tcW w:w="50" w:type="pct"/>
            <w:vAlign w:val="center"/>
            <w:hideMark/>
          </w:tcPr>
          <w:p w:rsidR="00000000" w:rsidRDefault="005C524C">
            <w:pPr>
              <w:ind w:firstLine="360"/>
              <w:rPr>
                <w:rFonts w:eastAsia="Times New Roman"/>
              </w:rPr>
            </w:pPr>
          </w:p>
        </w:tc>
        <w:tc>
          <w:tcPr>
            <w:tcW w:w="27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0025025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40025025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40025025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400250250"/>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104 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firstLine="360"/>
        <w:divId w:val="799349633"/>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332"/>
        <w:gridCol w:w="37"/>
        <w:gridCol w:w="120"/>
        <w:gridCol w:w="703"/>
        <w:gridCol w:w="36"/>
        <w:gridCol w:w="36"/>
        <w:gridCol w:w="36"/>
        <w:gridCol w:w="36"/>
        <w:gridCol w:w="120"/>
        <w:gridCol w:w="703"/>
        <w:gridCol w:w="36"/>
        <w:gridCol w:w="120"/>
        <w:gridCol w:w="787"/>
        <w:gridCol w:w="36"/>
        <w:gridCol w:w="36"/>
        <w:gridCol w:w="36"/>
        <w:gridCol w:w="36"/>
        <w:gridCol w:w="120"/>
        <w:gridCol w:w="650"/>
        <w:gridCol w:w="36"/>
        <w:gridCol w:w="36"/>
        <w:gridCol w:w="36"/>
        <w:gridCol w:w="36"/>
        <w:gridCol w:w="36"/>
        <w:gridCol w:w="36"/>
        <w:gridCol w:w="36"/>
      </w:tblGrid>
      <w:tr w:rsidR="00000000">
        <w:trPr>
          <w:divId w:val="1748072631"/>
        </w:trPr>
        <w:tc>
          <w:tcPr>
            <w:tcW w:w="50" w:type="pct"/>
            <w:vAlign w:val="center"/>
            <w:hideMark/>
          </w:tcPr>
          <w:p w:rsidR="00000000" w:rsidRDefault="005C524C">
            <w:pPr>
              <w:ind w:firstLine="360"/>
              <w:rPr>
                <w:rFonts w:eastAsia="Times New Roman"/>
              </w:rPr>
            </w:pPr>
          </w:p>
        </w:tc>
        <w:tc>
          <w:tcPr>
            <w:tcW w:w="27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derivative (losses) gains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Height w:val="24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748072631"/>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1,520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1,533 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firstLine="360"/>
        <w:divId w:val="762920254"/>
        <w:rPr>
          <w:rFonts w:eastAsia="Times New Roman"/>
        </w:rPr>
      </w:pPr>
      <w:r>
        <w:rPr>
          <w:rFonts w:eastAsia="Times New Roman"/>
          <w:color w:val="000000"/>
          <w:sz w:val="20"/>
          <w:szCs w:val="20"/>
        </w:rPr>
        <w:t>The following table summarizes Protection Solutions Reserves for our Protection Solutions segment as of the dates presen</w:t>
      </w:r>
      <w:r>
        <w:rPr>
          <w:rFonts w:eastAsia="Times New Roman"/>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57"/>
        <w:gridCol w:w="37"/>
        <w:gridCol w:w="120"/>
        <w:gridCol w:w="1037"/>
        <w:gridCol w:w="36"/>
        <w:gridCol w:w="36"/>
        <w:gridCol w:w="36"/>
        <w:gridCol w:w="36"/>
        <w:gridCol w:w="120"/>
        <w:gridCol w:w="1001"/>
        <w:gridCol w:w="36"/>
        <w:gridCol w:w="36"/>
        <w:gridCol w:w="36"/>
        <w:gridCol w:w="36"/>
        <w:gridCol w:w="36"/>
        <w:gridCol w:w="36"/>
        <w:gridCol w:w="36"/>
      </w:tblGrid>
      <w:tr w:rsidR="00000000">
        <w:trPr>
          <w:divId w:val="255944628"/>
        </w:trPr>
        <w:tc>
          <w:tcPr>
            <w:tcW w:w="50" w:type="pct"/>
            <w:vAlign w:val="center"/>
            <w:hideMark/>
          </w:tcPr>
          <w:p w:rsidR="00000000" w:rsidRDefault="005C524C">
            <w:pPr>
              <w:ind w:firstLine="360"/>
              <w:rPr>
                <w:rFonts w:eastAsia="Times New Roman"/>
              </w:rPr>
            </w:pPr>
          </w:p>
        </w:tc>
        <w:tc>
          <w:tcPr>
            <w:tcW w:w="34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18,625 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17,012 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255944628"/>
        </w:trPr>
        <w:tc>
          <w:tcPr>
            <w:tcW w:w="0" w:type="auto"/>
            <w:gridSpan w:val="3"/>
            <w:shd w:val="clear" w:color="auto" w:fill="CCEEFF"/>
            <w:tcMar>
              <w:top w:w="30" w:type="dxa"/>
              <w:left w:w="14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31,765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35,637 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2053917269"/>
        <w:rPr>
          <w:rFonts w:eastAsia="Times New Roman"/>
        </w:rPr>
      </w:pPr>
      <w:r>
        <w:rPr>
          <w:rFonts w:eastAsia="Times New Roman"/>
          <w:color w:val="000000"/>
          <w:sz w:val="18"/>
          <w:szCs w:val="18"/>
        </w:rPr>
        <w:t>_______________</w:t>
      </w:r>
    </w:p>
    <w:p w:rsidR="00000000" w:rsidRDefault="005C524C">
      <w:pPr>
        <w:ind w:hanging="360"/>
        <w:divId w:val="876313443"/>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5C524C">
      <w:pPr>
        <w:ind w:firstLine="360"/>
        <w:divId w:val="652829940"/>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p w:rsidR="00000000" w:rsidRDefault="005C524C">
      <w:pPr>
        <w:jc w:val="center"/>
        <w:divId w:val="126775298"/>
        <w:rPr>
          <w:rFonts w:eastAsia="Times New Roman"/>
        </w:rPr>
      </w:pPr>
      <w:r>
        <w:rPr>
          <w:rFonts w:eastAsia="Times New Roman"/>
          <w:color w:val="000000"/>
          <w:sz w:val="20"/>
          <w:szCs w:val="20"/>
        </w:rPr>
        <w:t>92</w:t>
      </w:r>
    </w:p>
    <w:p w:rsidR="00000000" w:rsidRDefault="005C524C">
      <w:pPr>
        <w:rPr>
          <w:rFonts w:eastAsia="Times New Roman"/>
        </w:rPr>
      </w:pPr>
      <w:r>
        <w:rPr>
          <w:rFonts w:eastAsia="Times New Roman"/>
        </w:rPr>
        <w:pict>
          <v:rect id="_x0000_i1118" style="width:0;height:1.5pt" o:hralign="center" o:hrstd="t" o:hr="t" fillcolor="#a0a0a0" stroked="f"/>
        </w:pict>
      </w:r>
    </w:p>
    <w:p w:rsidR="00000000" w:rsidRDefault="005C524C">
      <w:pPr>
        <w:divId w:val="2020809041"/>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463"/>
        <w:gridCol w:w="36"/>
        <w:gridCol w:w="120"/>
        <w:gridCol w:w="1037"/>
        <w:gridCol w:w="36"/>
        <w:gridCol w:w="36"/>
        <w:gridCol w:w="36"/>
        <w:gridCol w:w="36"/>
        <w:gridCol w:w="121"/>
        <w:gridCol w:w="1096"/>
        <w:gridCol w:w="36"/>
        <w:gridCol w:w="36"/>
        <w:gridCol w:w="36"/>
        <w:gridCol w:w="36"/>
        <w:gridCol w:w="36"/>
        <w:gridCol w:w="36"/>
        <w:gridCol w:w="36"/>
      </w:tblGrid>
      <w:tr w:rsidR="00000000">
        <w:trPr>
          <w:divId w:val="1517115740"/>
        </w:trPr>
        <w:tc>
          <w:tcPr>
            <w:tcW w:w="50" w:type="pct"/>
            <w:vAlign w:val="center"/>
            <w:hideMark/>
          </w:tcPr>
          <w:p w:rsidR="00000000" w:rsidRDefault="005C524C">
            <w:pPr>
              <w:rPr>
                <w:rFonts w:eastAsia="Times New Roman"/>
              </w:rPr>
            </w:pPr>
          </w:p>
        </w:tc>
        <w:tc>
          <w:tcPr>
            <w:tcW w:w="340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7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CCEEFF"/>
            <w:tcMar>
              <w:top w:w="30" w:type="dxa"/>
              <w:left w:w="20" w:type="dxa"/>
              <w:bottom w:w="30" w:type="dxa"/>
              <w:right w:w="20" w:type="dxa"/>
            </w:tcMar>
            <w:hideMark/>
          </w:tcPr>
          <w:p w:rsidR="00000000" w:rsidRDefault="005C524C">
            <w:pPr>
              <w:spacing w:after="100"/>
              <w:divId w:val="1689403611"/>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FFFFFF"/>
            <w:tcMar>
              <w:top w:w="30" w:type="dxa"/>
              <w:left w:w="20" w:type="dxa"/>
              <w:bottom w:w="30" w:type="dxa"/>
              <w:right w:w="20" w:type="dxa"/>
            </w:tcMar>
            <w:hideMark/>
          </w:tcPr>
          <w:p w:rsidR="00000000" w:rsidRDefault="005C524C">
            <w:pPr>
              <w:spacing w:after="100"/>
              <w:divId w:val="448013405"/>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CCEEFF"/>
            <w:tcMar>
              <w:top w:w="30" w:type="dxa"/>
              <w:left w:w="20" w:type="dxa"/>
              <w:bottom w:w="30" w:type="dxa"/>
              <w:right w:w="20" w:type="dxa"/>
            </w:tcMar>
            <w:hideMark/>
          </w:tcPr>
          <w:p w:rsidR="00000000" w:rsidRDefault="005C524C">
            <w:pPr>
              <w:spacing w:after="100"/>
              <w:divId w:val="182206219"/>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FFFFFF"/>
            <w:tcMar>
              <w:top w:w="30" w:type="dxa"/>
              <w:left w:w="20" w:type="dxa"/>
              <w:bottom w:w="30" w:type="dxa"/>
              <w:right w:w="20" w:type="dxa"/>
            </w:tcMar>
            <w:hideMark/>
          </w:tcPr>
          <w:p w:rsidR="00000000" w:rsidRDefault="005C524C">
            <w:pPr>
              <w:spacing w:after="100"/>
              <w:divId w:val="540288111"/>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215.4 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CCEEFF"/>
            <w:tcMar>
              <w:top w:w="30" w:type="dxa"/>
              <w:left w:w="20" w:type="dxa"/>
              <w:bottom w:w="30" w:type="dxa"/>
              <w:right w:w="20" w:type="dxa"/>
            </w:tcMar>
            <w:hideMark/>
          </w:tcPr>
          <w:p w:rsidR="00000000" w:rsidRDefault="005C524C">
            <w:pPr>
              <w:spacing w:after="100"/>
              <w:divId w:val="960069476"/>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17115740"/>
        </w:trPr>
        <w:tc>
          <w:tcPr>
            <w:tcW w:w="0" w:type="auto"/>
            <w:gridSpan w:val="3"/>
            <w:shd w:val="clear" w:color="auto" w:fill="FFFFFF"/>
            <w:tcMar>
              <w:top w:w="30" w:type="dxa"/>
              <w:left w:w="14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420.6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ind w:hanging="360"/>
        <w:divId w:val="1290893544"/>
        <w:rPr>
          <w:rFonts w:eastAsia="Times New Roman"/>
        </w:rPr>
      </w:pPr>
      <w:r>
        <w:rPr>
          <w:rFonts w:eastAsia="Times New Roman"/>
          <w:color w:val="000000"/>
          <w:sz w:val="18"/>
          <w:szCs w:val="18"/>
        </w:rPr>
        <w:t>_______________</w:t>
      </w:r>
    </w:p>
    <w:p w:rsidR="00000000" w:rsidRDefault="005C524C">
      <w:pPr>
        <w:ind w:hanging="360"/>
        <w:divId w:val="333260594"/>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5C524C">
      <w:pPr>
        <w:ind w:hanging="360"/>
        <w:divId w:val="828786833"/>
        <w:rPr>
          <w:rFonts w:eastAsia="Times New Roman"/>
        </w:rPr>
      </w:pPr>
      <w:r>
        <w:rPr>
          <w:rFonts w:eastAsia="Times New Roman"/>
          <w:color w:val="000000"/>
          <w:sz w:val="18"/>
          <w:szCs w:val="18"/>
        </w:rPr>
        <w:t>(2)UL includes GUL.</w:t>
      </w:r>
    </w:p>
    <w:p w:rsidR="00000000" w:rsidRDefault="005C524C">
      <w:pPr>
        <w:ind w:hanging="360"/>
        <w:divId w:val="156073407"/>
        <w:rPr>
          <w:rFonts w:eastAsia="Times New Roman"/>
        </w:rPr>
      </w:pPr>
      <w:r>
        <w:rPr>
          <w:rFonts w:eastAsia="Times New Roman"/>
          <w:color w:val="000000"/>
          <w:sz w:val="18"/>
          <w:szCs w:val="18"/>
        </w:rPr>
        <w:t>(3)VUL includes VL and COLI.</w:t>
      </w:r>
    </w:p>
    <w:p w:rsidR="00000000" w:rsidRDefault="005C524C">
      <w:pPr>
        <w:jc w:val="center"/>
        <w:divId w:val="1222863150"/>
        <w:rPr>
          <w:rFonts w:eastAsia="Times New Roman"/>
        </w:rPr>
      </w:pPr>
      <w:r>
        <w:rPr>
          <w:rFonts w:eastAsia="Times New Roman"/>
          <w:color w:val="000000"/>
          <w:sz w:val="20"/>
          <w:szCs w:val="20"/>
        </w:rPr>
        <w:t>93</w:t>
      </w:r>
    </w:p>
    <w:p w:rsidR="00000000" w:rsidRDefault="005C524C">
      <w:pPr>
        <w:rPr>
          <w:rFonts w:eastAsia="Times New Roman"/>
        </w:rPr>
      </w:pPr>
      <w:r>
        <w:rPr>
          <w:rFonts w:eastAsia="Times New Roman"/>
        </w:rPr>
        <w:pict>
          <v:rect id="_x0000_i1119" style="width:0;height:1.5pt" o:hralign="center" o:hrstd="t" o:hr="t" fillcolor="#a0a0a0" stroked="f"/>
        </w:pict>
      </w:r>
    </w:p>
    <w:p w:rsidR="00000000" w:rsidRDefault="005C524C">
      <w:pPr>
        <w:divId w:val="170729591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698894276"/>
        <w:rPr>
          <w:rFonts w:eastAsia="Times New Roman"/>
        </w:rPr>
      </w:pPr>
      <w:r>
        <w:rPr>
          <w:rFonts w:eastAsia="Times New Roman"/>
          <w:b/>
          <w:bCs/>
          <w:color w:val="000000"/>
          <w:sz w:val="20"/>
          <w:szCs w:val="20"/>
        </w:rPr>
        <w:t>Three Months Ended June 30, 2022 Compared to the Three Months Ended June 30, 2021 for the Protection Solutions Segment</w:t>
      </w:r>
    </w:p>
    <w:p w:rsidR="00000000" w:rsidRDefault="005C524C">
      <w:pPr>
        <w:jc w:val="both"/>
        <w:divId w:val="523906955"/>
        <w:rPr>
          <w:rFonts w:eastAsia="Times New Roman"/>
        </w:rPr>
      </w:pPr>
      <w:r>
        <w:rPr>
          <w:rFonts w:eastAsia="Times New Roman"/>
          <w:b/>
          <w:bCs/>
          <w:i/>
          <w:iCs/>
          <w:color w:val="000000"/>
          <w:sz w:val="20"/>
          <w:szCs w:val="20"/>
        </w:rPr>
        <w:t>Operating earnings (loss)</w:t>
      </w:r>
    </w:p>
    <w:p w:rsidR="00000000" w:rsidRDefault="005C524C">
      <w:pPr>
        <w:ind w:firstLine="360"/>
        <w:divId w:val="1996832983"/>
        <w:rPr>
          <w:rFonts w:eastAsia="Times New Roman"/>
        </w:rPr>
      </w:pPr>
      <w:r>
        <w:rPr>
          <w:rFonts w:eastAsia="Times New Roman"/>
          <w:color w:val="000000"/>
          <w:sz w:val="20"/>
          <w:szCs w:val="20"/>
        </w:rPr>
        <w:t>Operating earnings increased by $38 million to $101 million during the three months ended June 30, 2022 from $63 million in the three months ended June 30, 2021. The following notable items were the primary drivers of the change in operating earnings:</w:t>
      </w:r>
    </w:p>
    <w:p w:rsidR="00000000" w:rsidRDefault="005C524C">
      <w:pPr>
        <w:ind w:firstLine="360"/>
        <w:divId w:val="621690223"/>
        <w:rPr>
          <w:rFonts w:eastAsia="Times New Roman"/>
        </w:rPr>
      </w:pPr>
      <w:r>
        <w:rPr>
          <w:rFonts w:eastAsia="Times New Roman"/>
          <w:color w:val="000000"/>
          <w:sz w:val="20"/>
          <w:szCs w:val="20"/>
        </w:rPr>
        <w:t>Favo</w:t>
      </w:r>
      <w:r>
        <w:rPr>
          <w:rFonts w:eastAsia="Times New Roman"/>
          <w:color w:val="000000"/>
          <w:sz w:val="20"/>
          <w:szCs w:val="20"/>
        </w:rPr>
        <w:t>rable items included:</w:t>
      </w:r>
    </w:p>
    <w:p w:rsidR="00000000" w:rsidRDefault="005C524C">
      <w:pPr>
        <w:ind w:hanging="360"/>
        <w:divId w:val="1723407615"/>
        <w:rPr>
          <w:rFonts w:eastAsia="Times New Roman"/>
        </w:rPr>
      </w:pPr>
      <w:r>
        <w:rPr>
          <w:rFonts w:eastAsia="Times New Roman"/>
          <w:color w:val="000000"/>
          <w:sz w:val="20"/>
          <w:szCs w:val="20"/>
        </w:rPr>
        <w:t>•Policyholders’ benefits decreased by $40 million mainly due to lower mortality and lower accrual of PFBL reserves, partially offset by the unfavorable Employee Benefits’ claims and the increase in reserves due to strong business grow</w:t>
      </w:r>
      <w:r>
        <w:rPr>
          <w:rFonts w:eastAsia="Times New Roman"/>
          <w:color w:val="000000"/>
          <w:sz w:val="20"/>
          <w:szCs w:val="20"/>
        </w:rPr>
        <w:t>th (offset in Fee-type revenue).</w:t>
      </w:r>
    </w:p>
    <w:p w:rsidR="00000000" w:rsidRDefault="005C524C">
      <w:pPr>
        <w:ind w:hanging="360"/>
        <w:divId w:val="29772497"/>
        <w:rPr>
          <w:rFonts w:eastAsia="Times New Roman"/>
        </w:rPr>
      </w:pPr>
      <w:r>
        <w:rPr>
          <w:rFonts w:eastAsia="Times New Roman"/>
          <w:color w:val="000000"/>
          <w:sz w:val="20"/>
          <w:szCs w:val="20"/>
        </w:rPr>
        <w:t xml:space="preserve">•Fee-type revenue increased by $18 million mainly driven by higher premiums due to growth in Employee Benefits business. </w:t>
      </w:r>
    </w:p>
    <w:p w:rsidR="00000000" w:rsidRDefault="005C524C">
      <w:pPr>
        <w:ind w:hanging="360"/>
        <w:jc w:val="both"/>
        <w:divId w:val="1308585628"/>
        <w:rPr>
          <w:rFonts w:eastAsia="Times New Roman"/>
        </w:rPr>
      </w:pPr>
      <w:r>
        <w:rPr>
          <w:rFonts w:eastAsia="Times New Roman"/>
          <w:color w:val="000000"/>
          <w:sz w:val="20"/>
          <w:szCs w:val="20"/>
        </w:rPr>
        <w:t>•Interest credited to policyholders’ account balances decreased by $12 million mainly due to market v</w:t>
      </w:r>
      <w:r>
        <w:rPr>
          <w:rFonts w:eastAsia="Times New Roman"/>
          <w:color w:val="000000"/>
          <w:sz w:val="20"/>
          <w:szCs w:val="20"/>
        </w:rPr>
        <w:t>alue adjustments on our IUL products.</w:t>
      </w:r>
    </w:p>
    <w:p w:rsidR="00000000" w:rsidRDefault="005C524C">
      <w:pPr>
        <w:ind w:firstLine="360"/>
        <w:divId w:val="121701850"/>
        <w:rPr>
          <w:rFonts w:eastAsia="Times New Roman"/>
        </w:rPr>
      </w:pPr>
      <w:r>
        <w:rPr>
          <w:rFonts w:eastAsia="Times New Roman"/>
          <w:color w:val="000000"/>
          <w:sz w:val="20"/>
          <w:szCs w:val="20"/>
        </w:rPr>
        <w:t>These were partially offset by the following unfavorable items:</w:t>
      </w:r>
    </w:p>
    <w:p w:rsidR="00000000" w:rsidRDefault="005C524C">
      <w:pPr>
        <w:ind w:hanging="360"/>
        <w:divId w:val="77333619"/>
        <w:rPr>
          <w:rFonts w:eastAsia="Times New Roman"/>
        </w:rPr>
      </w:pPr>
      <w:r>
        <w:rPr>
          <w:rFonts w:eastAsia="Times New Roman"/>
          <w:color w:val="000000"/>
          <w:sz w:val="20"/>
          <w:szCs w:val="20"/>
        </w:rPr>
        <w:t>•Net investment income decreased by $19 million mainly due to lower alternative investment income, lower prepayments, partially offset by higher income fr</w:t>
      </w:r>
      <w:r>
        <w:rPr>
          <w:rFonts w:eastAsia="Times New Roman"/>
          <w:color w:val="000000"/>
          <w:sz w:val="20"/>
          <w:szCs w:val="20"/>
        </w:rPr>
        <w:t>om TIPS (offset in inflation related hedging losses) and GA optimization.</w:t>
      </w:r>
    </w:p>
    <w:p w:rsidR="00000000" w:rsidRDefault="005C524C">
      <w:pPr>
        <w:ind w:hanging="360"/>
        <w:jc w:val="both"/>
        <w:divId w:val="1274052241"/>
        <w:rPr>
          <w:rFonts w:eastAsia="Times New Roman"/>
        </w:rPr>
      </w:pPr>
      <w:r>
        <w:rPr>
          <w:rFonts w:eastAsia="Times New Roman"/>
          <w:color w:val="000000"/>
          <w:sz w:val="20"/>
          <w:szCs w:val="20"/>
        </w:rPr>
        <w:t>•Income tax expense increased by $11 million primarily due to higher pre-tax earnings.</w:t>
      </w:r>
    </w:p>
    <w:p w:rsidR="00000000" w:rsidRDefault="005C524C">
      <w:pPr>
        <w:divId w:val="957956762"/>
        <w:rPr>
          <w:rFonts w:eastAsia="Times New Roman"/>
        </w:rPr>
      </w:pPr>
      <w:r>
        <w:rPr>
          <w:rFonts w:eastAsia="Times New Roman"/>
          <w:b/>
          <w:bCs/>
          <w:color w:val="000000"/>
          <w:sz w:val="20"/>
          <w:szCs w:val="20"/>
        </w:rPr>
        <w:t>Six Months Ended June 30, 2022 Compared to the Six Months Ended June 30, 2021 for the Protectio</w:t>
      </w:r>
      <w:r>
        <w:rPr>
          <w:rFonts w:eastAsia="Times New Roman"/>
          <w:b/>
          <w:bCs/>
          <w:color w:val="000000"/>
          <w:sz w:val="20"/>
          <w:szCs w:val="20"/>
        </w:rPr>
        <w:t>n Solutions Segment</w:t>
      </w:r>
    </w:p>
    <w:p w:rsidR="00000000" w:rsidRDefault="005C524C">
      <w:pPr>
        <w:jc w:val="both"/>
        <w:divId w:val="471600019"/>
        <w:rPr>
          <w:rFonts w:eastAsia="Times New Roman"/>
        </w:rPr>
      </w:pPr>
      <w:r>
        <w:rPr>
          <w:rFonts w:eastAsia="Times New Roman"/>
          <w:b/>
          <w:bCs/>
          <w:i/>
          <w:iCs/>
          <w:color w:val="000000"/>
          <w:sz w:val="20"/>
          <w:szCs w:val="20"/>
          <w:shd w:val="clear" w:color="auto" w:fill="FFFFFF"/>
        </w:rPr>
        <w:t>Operating earnings</w:t>
      </w:r>
    </w:p>
    <w:p w:rsidR="00000000" w:rsidRDefault="005C524C">
      <w:pPr>
        <w:ind w:firstLine="360"/>
        <w:divId w:val="220676435"/>
        <w:rPr>
          <w:rFonts w:eastAsia="Times New Roman"/>
        </w:rPr>
      </w:pPr>
      <w:r>
        <w:rPr>
          <w:rFonts w:eastAsia="Times New Roman"/>
          <w:color w:val="000000"/>
          <w:sz w:val="20"/>
          <w:szCs w:val="20"/>
          <w:shd w:val="clear" w:color="auto" w:fill="FFFFFF"/>
        </w:rPr>
        <w:t>Operating earnings increased</w:t>
      </w:r>
      <w:r>
        <w:rPr>
          <w:rFonts w:eastAsia="Times New Roman"/>
          <w:color w:val="000000"/>
          <w:sz w:val="20"/>
          <w:szCs w:val="20"/>
        </w:rPr>
        <w:t xml:space="preserve"> $32 million to $136 million du</w:t>
      </w:r>
      <w:r>
        <w:rPr>
          <w:rFonts w:eastAsia="Times New Roman"/>
          <w:color w:val="000000"/>
          <w:sz w:val="20"/>
          <w:szCs w:val="20"/>
          <w:shd w:val="clear" w:color="auto" w:fill="FFFFFF"/>
        </w:rPr>
        <w:t>ring the six months ended June 30, 2022 from $104 million in the six months ended June 30, 2021. The following notable items were the primary drivers of the c</w:t>
      </w:r>
      <w:r>
        <w:rPr>
          <w:rFonts w:eastAsia="Times New Roman"/>
          <w:color w:val="000000"/>
          <w:sz w:val="20"/>
          <w:szCs w:val="20"/>
          <w:shd w:val="clear" w:color="auto" w:fill="FFFFFF"/>
        </w:rPr>
        <w:t>hange in operating earnings:</w:t>
      </w:r>
    </w:p>
    <w:p w:rsidR="00000000" w:rsidRDefault="005C524C">
      <w:pPr>
        <w:divId w:val="697657161"/>
        <w:rPr>
          <w:rFonts w:eastAsia="Times New Roman"/>
        </w:rPr>
      </w:pPr>
      <w:r>
        <w:rPr>
          <w:rFonts w:eastAsia="Times New Roman"/>
          <w:color w:val="000000"/>
          <w:sz w:val="20"/>
          <w:szCs w:val="20"/>
          <w:shd w:val="clear" w:color="auto" w:fill="FFFFFF"/>
        </w:rPr>
        <w:t>Favorable items included:</w:t>
      </w:r>
    </w:p>
    <w:p w:rsidR="00000000" w:rsidRDefault="005C524C">
      <w:pPr>
        <w:ind w:hanging="270"/>
        <w:divId w:val="229123767"/>
        <w:rPr>
          <w:rFonts w:eastAsia="Times New Roman"/>
        </w:rPr>
      </w:pPr>
      <w:r>
        <w:rPr>
          <w:rFonts w:eastAsia="Times New Roman"/>
          <w:color w:val="000000"/>
          <w:sz w:val="20"/>
          <w:szCs w:val="20"/>
        </w:rPr>
        <w:t xml:space="preserve">•Fee-type revenue increased by $32 million mainly driven by higher premiums due to growth in Employee Benefits (offset in Policyholders’ benefits). </w:t>
      </w:r>
    </w:p>
    <w:p w:rsidR="00000000" w:rsidRDefault="005C524C">
      <w:pPr>
        <w:ind w:hanging="270"/>
        <w:divId w:val="1539466876"/>
        <w:rPr>
          <w:rFonts w:eastAsia="Times New Roman"/>
        </w:rPr>
      </w:pPr>
      <w:r>
        <w:rPr>
          <w:rFonts w:eastAsia="Times New Roman"/>
          <w:color w:val="000000"/>
          <w:sz w:val="20"/>
          <w:szCs w:val="20"/>
        </w:rPr>
        <w:t>•Policyholders’ benefits decreased by $28 million ma</w:t>
      </w:r>
      <w:r>
        <w:rPr>
          <w:rFonts w:eastAsia="Times New Roman"/>
          <w:color w:val="000000"/>
          <w:sz w:val="20"/>
          <w:szCs w:val="20"/>
        </w:rPr>
        <w:t>inly due to lower mortality and lower accrual of PFBL reserves, offset by unfavorable EB claims and the increase in Employee Benefits’ reserves due to strong growth.</w:t>
      </w:r>
    </w:p>
    <w:p w:rsidR="00000000" w:rsidRDefault="005C524C">
      <w:pPr>
        <w:ind w:firstLine="90"/>
        <w:divId w:val="1114908464"/>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C524C">
      <w:pPr>
        <w:ind w:hanging="270"/>
        <w:divId w:val="1582326326"/>
        <w:rPr>
          <w:rFonts w:eastAsia="Times New Roman"/>
        </w:rPr>
      </w:pPr>
      <w:r>
        <w:rPr>
          <w:rFonts w:eastAsia="Times New Roman"/>
          <w:color w:val="000000"/>
          <w:sz w:val="20"/>
          <w:szCs w:val="20"/>
        </w:rPr>
        <w:t>•Commissions and distribut</w:t>
      </w:r>
      <w:r>
        <w:rPr>
          <w:rFonts w:eastAsia="Times New Roman"/>
          <w:color w:val="000000"/>
          <w:sz w:val="20"/>
          <w:szCs w:val="20"/>
        </w:rPr>
        <w:t>ion-related payments increased by $10 million mainly due to higher sales of Employee Benefits products.</w:t>
      </w:r>
    </w:p>
    <w:p w:rsidR="00000000" w:rsidRDefault="005C524C">
      <w:pPr>
        <w:ind w:hanging="270"/>
        <w:divId w:val="1385131237"/>
        <w:rPr>
          <w:rFonts w:eastAsia="Times New Roman"/>
        </w:rPr>
      </w:pPr>
      <w:r>
        <w:rPr>
          <w:rFonts w:eastAsia="Times New Roman"/>
          <w:color w:val="000000"/>
          <w:sz w:val="20"/>
          <w:szCs w:val="20"/>
        </w:rPr>
        <w:t>•</w:t>
      </w:r>
      <w:r>
        <w:rPr>
          <w:rFonts w:eastAsia="Times New Roman"/>
          <w:color w:val="000000"/>
          <w:sz w:val="20"/>
          <w:szCs w:val="20"/>
        </w:rPr>
        <w:t>Net investment income decreased by $9 million mainly due to lower alternative investment income , lower prepayments, partially offset higher income from TIPS (offset in inflation related hedging losses) and GA optimization.</w:t>
      </w:r>
    </w:p>
    <w:p w:rsidR="00000000" w:rsidRDefault="005C524C">
      <w:pPr>
        <w:ind w:hanging="270"/>
        <w:jc w:val="both"/>
        <w:divId w:val="1010988240"/>
        <w:rPr>
          <w:rFonts w:eastAsia="Times New Roman"/>
        </w:rPr>
      </w:pPr>
      <w:r>
        <w:rPr>
          <w:rFonts w:eastAsia="Times New Roman"/>
          <w:color w:val="000000"/>
          <w:sz w:val="20"/>
          <w:szCs w:val="20"/>
        </w:rPr>
        <w:t>•Income tax expense increased by</w:t>
      </w:r>
      <w:r>
        <w:rPr>
          <w:rFonts w:eastAsia="Times New Roman"/>
          <w:color w:val="000000"/>
          <w:sz w:val="20"/>
          <w:szCs w:val="20"/>
        </w:rPr>
        <w:t xml:space="preserve"> $10 million primarily due to higher pre-tax earnings. </w:t>
      </w:r>
    </w:p>
    <w:p w:rsidR="00000000" w:rsidRDefault="005C524C">
      <w:pPr>
        <w:jc w:val="center"/>
        <w:divId w:val="2019309279"/>
        <w:rPr>
          <w:rFonts w:eastAsia="Times New Roman"/>
        </w:rPr>
      </w:pPr>
      <w:r>
        <w:rPr>
          <w:rFonts w:eastAsia="Times New Roman"/>
          <w:color w:val="000000"/>
          <w:sz w:val="20"/>
          <w:szCs w:val="20"/>
        </w:rPr>
        <w:t>94</w:t>
      </w:r>
    </w:p>
    <w:p w:rsidR="00000000" w:rsidRDefault="005C524C">
      <w:pPr>
        <w:rPr>
          <w:rFonts w:eastAsia="Times New Roman"/>
        </w:rPr>
      </w:pPr>
      <w:r>
        <w:rPr>
          <w:rFonts w:eastAsia="Times New Roman"/>
        </w:rPr>
        <w:pict>
          <v:rect id="_x0000_i1120" style="width:0;height:1.5pt" o:hralign="center" o:hrstd="t" o:hr="t" fillcolor="#a0a0a0" stroked="f"/>
        </w:pict>
      </w:r>
    </w:p>
    <w:p w:rsidR="00000000" w:rsidRDefault="005C524C">
      <w:pPr>
        <w:divId w:val="106190448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494416947"/>
        <w:rPr>
          <w:rFonts w:eastAsia="Times New Roman"/>
        </w:rPr>
      </w:pPr>
      <w:r>
        <w:rPr>
          <w:rFonts w:eastAsia="Times New Roman"/>
          <w:b/>
          <w:bCs/>
          <w:color w:val="000000"/>
          <w:sz w:val="20"/>
          <w:szCs w:val="20"/>
        </w:rPr>
        <w:t>Corporate and Other</w:t>
      </w:r>
    </w:p>
    <w:p w:rsidR="00000000" w:rsidRDefault="005C524C">
      <w:pPr>
        <w:ind w:firstLine="360"/>
        <w:divId w:val="408776729"/>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 run-off variable annuity reinsurance business, run-off group pension business, run-off health busines</w:t>
      </w:r>
      <w:r>
        <w:rPr>
          <w:rFonts w:eastAsia="Times New Roman"/>
          <w:color w:val="000000"/>
          <w:sz w:val="20"/>
          <w:szCs w:val="20"/>
        </w:rPr>
        <w:t>s, benefit plans for our employees, certain strategic investments and certain unallocated items, including capital and related investments, interest expense and financing fees and corporate expense. AB’s results of operations are reflected in the Investmen</w:t>
      </w:r>
      <w:r>
        <w:rPr>
          <w:rFonts w:eastAsia="Times New Roman"/>
          <w:color w:val="000000"/>
          <w:sz w:val="20"/>
          <w:szCs w:val="20"/>
        </w:rPr>
        <w:t>t Management and Research segment. Accordingly, Corporate and Other does not include any items applicable to AB.</w:t>
      </w:r>
    </w:p>
    <w:p w:rsidR="00000000" w:rsidRDefault="005C524C">
      <w:pPr>
        <w:ind w:firstLine="360"/>
        <w:divId w:val="674503204"/>
        <w:rPr>
          <w:rFonts w:eastAsia="Times New Roman"/>
        </w:rPr>
      </w:pPr>
      <w:r>
        <w:rPr>
          <w:rFonts w:eastAsia="Times New Roman"/>
          <w:color w:val="000000"/>
          <w:sz w:val="20"/>
          <w:szCs w:val="20"/>
        </w:rPr>
        <w:t>The following table summarizes operating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333"/>
        <w:gridCol w:w="36"/>
        <w:gridCol w:w="120"/>
        <w:gridCol w:w="703"/>
        <w:gridCol w:w="36"/>
        <w:gridCol w:w="36"/>
        <w:gridCol w:w="36"/>
        <w:gridCol w:w="36"/>
        <w:gridCol w:w="120"/>
        <w:gridCol w:w="703"/>
        <w:gridCol w:w="36"/>
        <w:gridCol w:w="120"/>
        <w:gridCol w:w="787"/>
        <w:gridCol w:w="36"/>
        <w:gridCol w:w="36"/>
        <w:gridCol w:w="36"/>
        <w:gridCol w:w="36"/>
        <w:gridCol w:w="120"/>
        <w:gridCol w:w="651"/>
        <w:gridCol w:w="36"/>
        <w:gridCol w:w="36"/>
        <w:gridCol w:w="36"/>
        <w:gridCol w:w="36"/>
        <w:gridCol w:w="36"/>
        <w:gridCol w:w="36"/>
        <w:gridCol w:w="36"/>
      </w:tblGrid>
      <w:tr w:rsidR="00000000">
        <w:trPr>
          <w:divId w:val="1275669221"/>
        </w:trPr>
        <w:tc>
          <w:tcPr>
            <w:tcW w:w="50" w:type="pct"/>
            <w:vAlign w:val="center"/>
            <w:hideMark/>
          </w:tcPr>
          <w:p w:rsidR="00000000" w:rsidRDefault="005C524C">
            <w:pPr>
              <w:ind w:firstLine="360"/>
              <w:rPr>
                <w:rFonts w:eastAsia="Times New Roman"/>
              </w:rPr>
            </w:pPr>
          </w:p>
        </w:tc>
        <w:tc>
          <w:tcPr>
            <w:tcW w:w="27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7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7566922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275669221"/>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vAlign w:val="center"/>
            <w:hideMark/>
          </w:tcPr>
          <w:p w:rsidR="00000000" w:rsidRDefault="005C524C">
            <w:pPr>
              <w:spacing w:after="100"/>
              <w:jc w:val="center"/>
              <w:rPr>
                <w:rFonts w:eastAsia="Times New Roman"/>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27566922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275669221"/>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(147)</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bl>
    <w:p w:rsidR="00000000" w:rsidRDefault="005C524C">
      <w:pPr>
        <w:divId w:val="384765672"/>
        <w:rPr>
          <w:rFonts w:eastAsia="Times New Roman"/>
        </w:rPr>
      </w:pPr>
      <w:r>
        <w:rPr>
          <w:rFonts w:eastAsia="Times New Roman"/>
          <w:b/>
          <w:bCs/>
          <w:color w:val="000000"/>
          <w:sz w:val="20"/>
          <w:szCs w:val="20"/>
        </w:rPr>
        <w:t>General Account Investment Portfolio</w:t>
      </w:r>
    </w:p>
    <w:p w:rsidR="00000000" w:rsidRDefault="005C524C">
      <w:pPr>
        <w:ind w:firstLine="360"/>
        <w:divId w:val="1862818045"/>
        <w:rPr>
          <w:rFonts w:eastAsia="Times New Roman"/>
        </w:rPr>
      </w:pPr>
      <w:r>
        <w:rPr>
          <w:rFonts w:eastAsia="Times New Roman"/>
          <w:color w:val="000000"/>
          <w:sz w:val="20"/>
          <w:szCs w:val="20"/>
        </w:rPr>
        <w:t>The General Account investment portfolio is used to support the insurance and annuity liabilities of ou</w:t>
      </w:r>
      <w:r>
        <w:rPr>
          <w:rFonts w:eastAsia="Times New Roman"/>
          <w:color w:val="000000"/>
          <w:sz w:val="20"/>
          <w:szCs w:val="20"/>
        </w:rPr>
        <w:t xml:space="preserve">r Individual Retirement, Group Retirement and Protection Solutions businesses segments. In the first quarter 2022, the Company changed its methodology for allocating its General Account investment portfolio, which resulted in a change in the asset and net </w:t>
      </w:r>
      <w:r>
        <w:rPr>
          <w:rFonts w:eastAsia="Times New Roman"/>
          <w:color w:val="000000"/>
          <w:sz w:val="20"/>
          <w:szCs w:val="20"/>
        </w:rPr>
        <w:t>investment income allocation amongst the Company’s business segments. Following this change, the segmentation of the general account investments is now more closely aligned with the liability characteristics of the product groups. Management determined tha</w:t>
      </w:r>
      <w:r>
        <w:rPr>
          <w:rFonts w:eastAsia="Times New Roman"/>
          <w:color w:val="000000"/>
          <w:sz w:val="20"/>
          <w:szCs w:val="20"/>
        </w:rPr>
        <w:t>t the change in the allocation methodology allows for improved flexibility and infuses an active asset liability management practice into the segmentation process. Additionally, the Company also changed its basis for allocating the spread earned from our</w:t>
      </w:r>
      <w:r>
        <w:rPr>
          <w:rFonts w:eastAsia="Times New Roman"/>
          <w:color w:val="000000"/>
          <w:sz w:val="20"/>
          <w:szCs w:val="20"/>
        </w:rPr>
        <w:t> </w:t>
      </w:r>
      <w:r>
        <w:rPr>
          <w:rFonts w:eastAsia="Times New Roman"/>
          <w:color w:val="000000"/>
          <w:sz w:val="20"/>
          <w:szCs w:val="20"/>
        </w:rPr>
        <w:t>F</w:t>
      </w:r>
      <w:r>
        <w:rPr>
          <w:rFonts w:eastAsia="Times New Roman"/>
          <w:color w:val="000000"/>
          <w:sz w:val="20"/>
          <w:szCs w:val="20"/>
        </w:rPr>
        <w:t>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programs. The spread earned from our</w:t>
      </w:r>
      <w:r>
        <w:rPr>
          <w:rFonts w:eastAsia="Times New Roman"/>
          <w:color w:val="000000"/>
          <w:sz w:val="20"/>
          <w:szCs w:val="20"/>
        </w:rPr>
        <w:t> </w:t>
      </w:r>
      <w:r>
        <w:rPr>
          <w:rFonts w:eastAsia="Times New Roman"/>
          <w:color w:val="000000"/>
          <w:sz w:val="20"/>
          <w:szCs w:val="20"/>
        </w:rPr>
        <w:t>FHLB</w:t>
      </w:r>
      <w:r>
        <w:rPr>
          <w:rFonts w:eastAsia="Times New Roman"/>
          <w:color w:val="000000"/>
          <w:sz w:val="20"/>
          <w:szCs w:val="20"/>
        </w:rPr>
        <w:t> </w:t>
      </w:r>
      <w:r>
        <w:rPr>
          <w:rFonts w:eastAsia="Times New Roman"/>
          <w:color w:val="000000"/>
          <w:sz w:val="20"/>
          <w:szCs w:val="20"/>
        </w:rPr>
        <w:t>investment borrowing and</w:t>
      </w:r>
      <w:r>
        <w:rPr>
          <w:rFonts w:eastAsia="Times New Roman"/>
          <w:color w:val="000000"/>
          <w:sz w:val="20"/>
          <w:szCs w:val="20"/>
        </w:rPr>
        <w:t> </w:t>
      </w:r>
      <w:r>
        <w:rPr>
          <w:rFonts w:eastAsia="Times New Roman"/>
          <w:color w:val="000000"/>
          <w:sz w:val="20"/>
          <w:szCs w:val="20"/>
        </w:rPr>
        <w:t>FABN</w:t>
      </w:r>
      <w:r>
        <w:rPr>
          <w:rFonts w:eastAsia="Times New Roman"/>
          <w:color w:val="000000"/>
          <w:sz w:val="20"/>
          <w:szCs w:val="20"/>
        </w:rPr>
        <w:t> </w:t>
      </w:r>
      <w:r>
        <w:rPr>
          <w:rFonts w:eastAsia="Times New Roman"/>
          <w:color w:val="000000"/>
          <w:sz w:val="20"/>
          <w:szCs w:val="20"/>
        </w:rPr>
        <w:t xml:space="preserve">programs includes the investment income on the assets less interest credited on the funding agreements. The net spread as reflected in net investment </w:t>
      </w:r>
      <w:r>
        <w:rPr>
          <w:rFonts w:eastAsia="Times New Roman"/>
          <w:color w:val="000000"/>
          <w:sz w:val="20"/>
          <w:szCs w:val="20"/>
        </w:rPr>
        <w:t xml:space="preserve">income is allocated to the segments based on the percentage of the individual segment insurance liabilities over the combined segments insurance liabilities. </w:t>
      </w:r>
    </w:p>
    <w:p w:rsidR="00000000" w:rsidRDefault="005C524C">
      <w:pPr>
        <w:ind w:firstLine="360"/>
        <w:divId w:val="1933927467"/>
        <w:rPr>
          <w:rFonts w:eastAsia="Times New Roman"/>
        </w:rPr>
      </w:pPr>
      <w:r>
        <w:rPr>
          <w:rFonts w:eastAsia="Times New Roman"/>
          <w:color w:val="000000"/>
          <w:sz w:val="20"/>
          <w:szCs w:val="20"/>
        </w:rPr>
        <w:t>Our General Account investment portfolio investment strategy seeks to achieve sustainable risk-ad</w:t>
      </w:r>
      <w:r>
        <w:rPr>
          <w:rFonts w:eastAsia="Times New Roman"/>
          <w:color w:val="000000"/>
          <w:sz w:val="20"/>
          <w:szCs w:val="20"/>
        </w:rPr>
        <w:t>justed returns by focusing on principal preservation, investment return, duration and liquidity requirements by product class and the diversification of risks. Investment activities are undertaken according to investment policy statements that contain inte</w:t>
      </w:r>
      <w:r>
        <w:rPr>
          <w:rFonts w:eastAsia="Times New Roman"/>
          <w:color w:val="000000"/>
          <w:sz w:val="20"/>
          <w:szCs w:val="20"/>
        </w:rPr>
        <w:t xml:space="preserve">rnally established guidelines and are required to comply with applicable laws and insurance regulations. </w:t>
      </w:r>
    </w:p>
    <w:p w:rsidR="00000000" w:rsidRDefault="005C524C">
      <w:pPr>
        <w:ind w:firstLine="360"/>
        <w:divId w:val="1699309113"/>
        <w:rPr>
          <w:rFonts w:eastAsia="Times New Roman"/>
        </w:rPr>
      </w:pPr>
      <w:r>
        <w:rPr>
          <w:rFonts w:eastAsia="Times New Roman"/>
          <w:color w:val="000000"/>
          <w:sz w:val="20"/>
          <w:szCs w:val="20"/>
        </w:rPr>
        <w:t>Risk tolerances are established for credit risk, market risk, liquidity risk and concentration risk across types of issuers and asset classes that see</w:t>
      </w:r>
      <w:r>
        <w:rPr>
          <w:rFonts w:eastAsia="Times New Roman"/>
          <w:color w:val="000000"/>
          <w:sz w:val="20"/>
          <w:szCs w:val="20"/>
        </w:rPr>
        <w:t>k to mitigate the impact of cash flow variability arising from these risks. The impact of COVID-19 continues to be assessed for potential negative impacts to the performance of mortgage loans and fixed maturities.</w:t>
      </w:r>
    </w:p>
    <w:p w:rsidR="00000000" w:rsidRDefault="005C524C">
      <w:pPr>
        <w:ind w:firstLine="360"/>
        <w:divId w:val="1086077886"/>
        <w:rPr>
          <w:rFonts w:eastAsia="Times New Roman"/>
        </w:rPr>
      </w:pPr>
      <w:r>
        <w:rPr>
          <w:rFonts w:eastAsia="Times New Roman"/>
          <w:color w:val="000000"/>
          <w:sz w:val="20"/>
          <w:szCs w:val="20"/>
        </w:rPr>
        <w:t>The General Account investment portfolio c</w:t>
      </w:r>
      <w:r>
        <w:rPr>
          <w:rFonts w:eastAsia="Times New Roman"/>
          <w:color w:val="000000"/>
          <w:sz w:val="20"/>
          <w:szCs w:val="20"/>
        </w:rPr>
        <w:t>onsists largely of investment grade fixed maturities, short-term investments, commercial and agricultural mortgage loans, alternative investments and other financial instruments. Fixed maturities include publicly issued corporate bonds, government bonds, p</w:t>
      </w:r>
      <w:r>
        <w:rPr>
          <w:rFonts w:eastAsia="Times New Roman"/>
          <w:color w:val="000000"/>
          <w:sz w:val="20"/>
          <w:szCs w:val="20"/>
        </w:rPr>
        <w:t xml:space="preserve">rivately placed notes and bonds, bonds issued by states and municipalities, mortgage-backed securities and asset-backed securities. The General Account investment portfolio also includes credit derivatives to replicate exposure to individual securities or </w:t>
      </w:r>
      <w:r>
        <w:rPr>
          <w:rFonts w:eastAsia="Times New Roman"/>
          <w:color w:val="000000"/>
          <w:sz w:val="20"/>
          <w:szCs w:val="20"/>
        </w:rPr>
        <w:t>pools of securities as a means of achieving credit exposure similar to bonds of the underlying issuer(s) more efficiently. In addition, from time to time we use derivatives for hedging purposes to reduce our exposure to equity markets, interest rates, fore</w:t>
      </w:r>
      <w:r>
        <w:rPr>
          <w:rFonts w:eastAsia="Times New Roman"/>
          <w:color w:val="000000"/>
          <w:sz w:val="20"/>
          <w:szCs w:val="20"/>
        </w:rPr>
        <w:t xml:space="preserve">ign currency and credit spreads. As part of a yield enhancement strategy, the General Account has diversified into more asset and sub-asset classes including higher yielding commercial mortgage investments. </w:t>
      </w:r>
    </w:p>
    <w:p w:rsidR="00000000" w:rsidRDefault="005C524C">
      <w:pPr>
        <w:ind w:firstLine="360"/>
        <w:divId w:val="211891601"/>
        <w:rPr>
          <w:rFonts w:eastAsia="Times New Roman"/>
        </w:rPr>
      </w:pPr>
      <w:r>
        <w:rPr>
          <w:rFonts w:eastAsia="Times New Roman"/>
          <w:color w:val="000000"/>
          <w:sz w:val="20"/>
          <w:szCs w:val="20"/>
        </w:rPr>
        <w:t>As part of our asset and liability management st</w:t>
      </w:r>
      <w:r>
        <w:rPr>
          <w:rFonts w:eastAsia="Times New Roman"/>
          <w:color w:val="000000"/>
          <w:sz w:val="20"/>
          <w:szCs w:val="20"/>
        </w:rPr>
        <w:t xml:space="preserve">rategies, we maintain a weighted average duration for our General Account investment portfolio that is within an acceptable range of the estimated duration of our liabilities given our risk appetite and hedging programs. </w:t>
      </w:r>
    </w:p>
    <w:p w:rsidR="00000000" w:rsidRDefault="005C524C">
      <w:pPr>
        <w:ind w:firstLine="360"/>
        <w:divId w:val="366687725"/>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allocated to business segments.</w:t>
      </w:r>
    </w:p>
    <w:p w:rsidR="00000000" w:rsidRDefault="005C524C">
      <w:pPr>
        <w:ind w:firstLine="360"/>
        <w:divId w:val="1578250326"/>
        <w:rPr>
          <w:rFonts w:eastAsia="Times New Roman"/>
        </w:rPr>
      </w:pPr>
      <w:r>
        <w:rPr>
          <w:rFonts w:eastAsia="Times New Roman"/>
          <w:color w:val="000000"/>
          <w:sz w:val="20"/>
          <w:szCs w:val="20"/>
        </w:rPr>
        <w:t>Our investment philosophy is driv</w:t>
      </w:r>
      <w:r>
        <w:rPr>
          <w:rFonts w:eastAsia="Times New Roman"/>
          <w:color w:val="000000"/>
          <w:sz w:val="20"/>
          <w:szCs w:val="20"/>
        </w:rPr>
        <w:t>en by our long-term commitments to clients, robust risk management and strategic asset allocation. In executing the activities of our General Account investment portfolio, we incorporate ESG factors into the investment processes for a significant portion o</w:t>
      </w:r>
      <w:r>
        <w:rPr>
          <w:rFonts w:eastAsia="Times New Roman"/>
          <w:color w:val="000000"/>
          <w:sz w:val="20"/>
          <w:szCs w:val="20"/>
        </w:rPr>
        <w:t xml:space="preserve">f our portfolio. As investors with a long-term horizon, we believe that </w:t>
      </w:r>
    </w:p>
    <w:p w:rsidR="00000000" w:rsidRDefault="005C524C">
      <w:pPr>
        <w:jc w:val="center"/>
        <w:divId w:val="1920746532"/>
        <w:rPr>
          <w:rFonts w:eastAsia="Times New Roman"/>
        </w:rPr>
      </w:pPr>
      <w:r>
        <w:rPr>
          <w:rFonts w:eastAsia="Times New Roman"/>
          <w:color w:val="000000"/>
          <w:sz w:val="20"/>
          <w:szCs w:val="20"/>
        </w:rPr>
        <w:t>95</w:t>
      </w:r>
    </w:p>
    <w:p w:rsidR="00000000" w:rsidRDefault="005C524C">
      <w:pPr>
        <w:rPr>
          <w:rFonts w:eastAsia="Times New Roman"/>
        </w:rPr>
      </w:pPr>
      <w:r>
        <w:rPr>
          <w:rFonts w:eastAsia="Times New Roman"/>
        </w:rPr>
        <w:pict>
          <v:rect id="_x0000_i1121" style="width:0;height:1.5pt" o:hralign="center" o:hrstd="t" o:hr="t" fillcolor="#a0a0a0" stroked="f"/>
        </w:pict>
      </w:r>
    </w:p>
    <w:p w:rsidR="00000000" w:rsidRDefault="005C524C">
      <w:pPr>
        <w:divId w:val="758214243"/>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192379406"/>
        <w:rPr>
          <w:rFonts w:eastAsia="Times New Roman"/>
        </w:rPr>
      </w:pPr>
      <w:r>
        <w:rPr>
          <w:rFonts w:eastAsia="Times New Roman"/>
          <w:color w:val="000000"/>
          <w:sz w:val="20"/>
          <w:szCs w:val="20"/>
        </w:rPr>
        <w:t>companies with sustainable practices are better positioned to deliv</w:t>
      </w:r>
      <w:r>
        <w:rPr>
          <w:rFonts w:eastAsia="Times New Roman"/>
          <w:color w:val="000000"/>
          <w:sz w:val="20"/>
          <w:szCs w:val="20"/>
        </w:rPr>
        <w:t>er value to stakeholders over an extended period, thereby enhancing the quality of our portfolio. These companies are more likely to increase sales through sustainable products, reduce energy costs and attract and retain talent. This belief underpins our a</w:t>
      </w:r>
      <w:r>
        <w:rPr>
          <w:rFonts w:eastAsia="Times New Roman"/>
          <w:color w:val="000000"/>
          <w:sz w:val="20"/>
          <w:szCs w:val="20"/>
        </w:rPr>
        <w:t>pproach to sustainable investing, where we seek to enhance the sustainability of our investment portfolio by integrating ESG factors into our investment decision process.</w:t>
      </w:r>
    </w:p>
    <w:p w:rsidR="00000000" w:rsidRDefault="005C524C">
      <w:pPr>
        <w:ind w:firstLine="360"/>
        <w:divId w:val="1624728751"/>
        <w:rPr>
          <w:rFonts w:eastAsia="Times New Roman"/>
        </w:rPr>
      </w:pPr>
      <w:r>
        <w:rPr>
          <w:rFonts w:eastAsia="Times New Roman"/>
          <w:color w:val="000000"/>
          <w:sz w:val="20"/>
          <w:szCs w:val="20"/>
        </w:rPr>
        <w:t>The General Account investment portfolio reflects certain differences from the presen</w:t>
      </w:r>
      <w:r>
        <w:rPr>
          <w:rFonts w:eastAsia="Times New Roman"/>
          <w:color w:val="000000"/>
          <w:sz w:val="20"/>
          <w:szCs w:val="20"/>
        </w:rPr>
        <w:t>tation of the U.S. GAAP Consolidated Financial Statements. This presentation is consistent with how we manage the General Account investment portfolio. For further investment information, please refer to Note 3 and Note 4 of the Notes to the Consolidated F</w:t>
      </w:r>
      <w:r>
        <w:rPr>
          <w:rFonts w:eastAsia="Times New Roman"/>
          <w:color w:val="000000"/>
          <w:sz w:val="20"/>
          <w:szCs w:val="20"/>
        </w:rPr>
        <w:t>inancial Statements.</w:t>
      </w:r>
    </w:p>
    <w:p w:rsidR="00000000" w:rsidRDefault="005C524C">
      <w:pPr>
        <w:jc w:val="both"/>
        <w:divId w:val="1111971858"/>
        <w:rPr>
          <w:rFonts w:eastAsia="Times New Roman"/>
        </w:rPr>
      </w:pPr>
      <w:r>
        <w:rPr>
          <w:rFonts w:eastAsia="Times New Roman"/>
          <w:b/>
          <w:bCs/>
          <w:i/>
          <w:iCs/>
          <w:color w:val="000000"/>
          <w:sz w:val="20"/>
          <w:szCs w:val="20"/>
        </w:rPr>
        <w:t>Investment Results of the General Account Investment Portfolio</w:t>
      </w:r>
    </w:p>
    <w:p w:rsidR="00000000" w:rsidRDefault="005C524C">
      <w:pPr>
        <w:ind w:firstLine="360"/>
        <w:divId w:val="1471051520"/>
        <w:rPr>
          <w:rFonts w:eastAsia="Times New Roman"/>
        </w:rPr>
      </w:pPr>
      <w:r>
        <w:rPr>
          <w:rFonts w:eastAsia="Times New Roman"/>
          <w:color w:val="000000"/>
          <w:sz w:val="20"/>
          <w:szCs w:val="20"/>
        </w:rPr>
        <w:t>The following table summarizes the General Account investment portfolio results with Non-GAAP Operating Earnings adjustments by asset category for the periods indicated. Th</w:t>
      </w:r>
      <w:r>
        <w:rPr>
          <w:rFonts w:eastAsia="Times New Roman"/>
          <w:color w:val="000000"/>
          <w:sz w:val="20"/>
          <w:szCs w:val="20"/>
        </w:rPr>
        <w:t>is presentation is consistent with how we measure investment performance for management purposes.</w:t>
      </w:r>
    </w:p>
    <w:tbl>
      <w:tblPr>
        <w:tblW w:w="4824" w:type="pct"/>
        <w:tblCellMar>
          <w:top w:w="15" w:type="dxa"/>
          <w:left w:w="15" w:type="dxa"/>
          <w:bottom w:w="15" w:type="dxa"/>
          <w:right w:w="15" w:type="dxa"/>
        </w:tblCellMar>
        <w:tblLook w:val="04A0" w:firstRow="1" w:lastRow="0" w:firstColumn="1" w:lastColumn="0" w:noHBand="0" w:noVBand="1"/>
      </w:tblPr>
      <w:tblGrid>
        <w:gridCol w:w="39"/>
        <w:gridCol w:w="4654"/>
        <w:gridCol w:w="38"/>
        <w:gridCol w:w="59"/>
        <w:gridCol w:w="461"/>
        <w:gridCol w:w="220"/>
        <w:gridCol w:w="36"/>
        <w:gridCol w:w="36"/>
        <w:gridCol w:w="36"/>
        <w:gridCol w:w="120"/>
        <w:gridCol w:w="600"/>
        <w:gridCol w:w="36"/>
        <w:gridCol w:w="36"/>
        <w:gridCol w:w="36"/>
        <w:gridCol w:w="36"/>
        <w:gridCol w:w="59"/>
        <w:gridCol w:w="461"/>
        <w:gridCol w:w="187"/>
        <w:gridCol w:w="36"/>
        <w:gridCol w:w="36"/>
        <w:gridCol w:w="36"/>
        <w:gridCol w:w="120"/>
        <w:gridCol w:w="600"/>
        <w:gridCol w:w="36"/>
      </w:tblGrid>
      <w:tr w:rsidR="00000000">
        <w:trPr>
          <w:divId w:val="606618025"/>
        </w:trPr>
        <w:tc>
          <w:tcPr>
            <w:tcW w:w="50" w:type="pct"/>
            <w:vAlign w:val="center"/>
            <w:hideMark/>
          </w:tcPr>
          <w:p w:rsidR="00000000" w:rsidRDefault="005C524C">
            <w:pPr>
              <w:ind w:firstLine="360"/>
              <w:rPr>
                <w:rFonts w:eastAsia="Times New Roman"/>
              </w:rPr>
            </w:pPr>
          </w:p>
        </w:tc>
        <w:tc>
          <w:tcPr>
            <w:tcW w:w="30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9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9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9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9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Three Months Ended June 30,</w:t>
            </w:r>
          </w:p>
        </w:tc>
      </w:tr>
      <w:tr w:rsidR="00000000">
        <w:trPr>
          <w:divId w:val="606618025"/>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606618025"/>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Amount (2)</w:t>
            </w:r>
          </w:p>
        </w:tc>
      </w:tr>
      <w:tr w:rsidR="00000000">
        <w:trPr>
          <w:divId w:val="606618025"/>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(Dollars in millions)</w:t>
            </w:r>
          </w:p>
        </w:tc>
      </w:tr>
      <w:tr w:rsidR="00000000">
        <w:trPr>
          <w:divId w:val="606618025"/>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Fixed Maturities: (5)</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73,443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69,407 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13,384 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17.18 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2,588 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(0.51)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(7,286)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90,188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82,882 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Less: investment fees (3)</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(0.15)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90,325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83,428 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06618025"/>
          <w:trHeight w:val="1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06618025"/>
          <w:trHeight w:val="24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127553253"/>
        <w:rPr>
          <w:rFonts w:eastAsia="Times New Roman"/>
        </w:rPr>
      </w:pPr>
      <w:r>
        <w:rPr>
          <w:rFonts w:eastAsia="Times New Roman"/>
          <w:color w:val="000000"/>
          <w:sz w:val="20"/>
          <w:szCs w:val="20"/>
        </w:rPr>
        <w:t>96</w:t>
      </w:r>
    </w:p>
    <w:p w:rsidR="00000000" w:rsidRDefault="005C524C">
      <w:pPr>
        <w:rPr>
          <w:rFonts w:eastAsia="Times New Roman"/>
        </w:rPr>
      </w:pPr>
      <w:r>
        <w:rPr>
          <w:rFonts w:eastAsia="Times New Roman"/>
        </w:rPr>
        <w:pict>
          <v:rect id="_x0000_i1122" style="width:0;height:1.5pt" o:hralign="center" o:hrstd="t" o:hr="t" fillcolor="#a0a0a0" stroked="f"/>
        </w:pict>
      </w:r>
    </w:p>
    <w:p w:rsidR="00000000" w:rsidRDefault="005C524C">
      <w:pPr>
        <w:divId w:val="492643014"/>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122"/>
        <w:gridCol w:w="38"/>
        <w:gridCol w:w="62"/>
        <w:gridCol w:w="458"/>
        <w:gridCol w:w="220"/>
        <w:gridCol w:w="36"/>
        <w:gridCol w:w="36"/>
        <w:gridCol w:w="36"/>
        <w:gridCol w:w="120"/>
        <w:gridCol w:w="600"/>
        <w:gridCol w:w="36"/>
        <w:gridCol w:w="36"/>
        <w:gridCol w:w="36"/>
        <w:gridCol w:w="36"/>
        <w:gridCol w:w="64"/>
        <w:gridCol w:w="456"/>
        <w:gridCol w:w="187"/>
        <w:gridCol w:w="36"/>
        <w:gridCol w:w="36"/>
        <w:gridCol w:w="36"/>
        <w:gridCol w:w="120"/>
        <w:gridCol w:w="600"/>
        <w:gridCol w:w="36"/>
        <w:gridCol w:w="36"/>
        <w:gridCol w:w="36"/>
        <w:gridCol w:w="36"/>
        <w:gridCol w:w="57"/>
        <w:gridCol w:w="463"/>
        <w:gridCol w:w="188"/>
        <w:gridCol w:w="36"/>
        <w:gridCol w:w="36"/>
        <w:gridCol w:w="36"/>
        <w:gridCol w:w="120"/>
        <w:gridCol w:w="600"/>
        <w:gridCol w:w="36"/>
        <w:gridCol w:w="36"/>
        <w:gridCol w:w="36"/>
        <w:gridCol w:w="36"/>
        <w:gridCol w:w="36"/>
      </w:tblGrid>
      <w:tr w:rsidR="00000000">
        <w:trPr>
          <w:divId w:val="1001815733"/>
        </w:trPr>
        <w:tc>
          <w:tcPr>
            <w:tcW w:w="50" w:type="pct"/>
            <w:vAlign w:val="center"/>
            <w:hideMark/>
          </w:tcPr>
          <w:p w:rsidR="00000000" w:rsidRDefault="005C524C">
            <w:pPr>
              <w:rPr>
                <w:rFonts w:eastAsia="Times New Roman"/>
              </w:rPr>
            </w:pPr>
          </w:p>
        </w:tc>
        <w:tc>
          <w:tcPr>
            <w:tcW w:w="210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9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1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1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1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Amount (2)</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(Dollars in millions)</w:t>
            </w:r>
          </w:p>
        </w:tc>
        <w:tc>
          <w:tcPr>
            <w:tcW w:w="0" w:type="auto"/>
            <w:vAlign w:val="center"/>
            <w:hideMark/>
          </w:tcPr>
          <w:p w:rsidR="00000000" w:rsidRDefault="005C524C">
            <w:pPr>
              <w:spacing w:after="100"/>
              <w:jc w:val="center"/>
              <w:rPr>
                <w:rFonts w:eastAsia="Times New Roman"/>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73,443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69,407 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72,545 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14,480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13,384 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14,033 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center"/>
            <w:hideMark/>
          </w:tcPr>
          <w:p w:rsidR="00000000" w:rsidRDefault="005C524C">
            <w:pPr>
              <w:spacing w:after="100"/>
              <w:jc w:val="right"/>
              <w:rPr>
                <w:rFonts w:eastAsia="Times New Roman"/>
              </w:rPr>
            </w:pPr>
            <w:r>
              <w:rPr>
                <w:rFonts w:eastAsia="Times New Roman"/>
                <w:b/>
                <w:bCs/>
                <w:color w:val="000000"/>
                <w:sz w:val="20"/>
                <w:szCs w:val="20"/>
              </w:rPr>
              <w:t>10.52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18.35 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20.45 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2,588 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4,048 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4,024 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(0.34)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1,662 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(7,286)</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(8,224)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(6,447)</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90,188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82,882 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88,518 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1,865 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90,325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83,428 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88,660 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vAlign w:val="center"/>
            <w:hideMark/>
          </w:tcPr>
          <w:p w:rsidR="00000000" w:rsidRDefault="005C524C">
            <w:pPr>
              <w:spacing w:after="100"/>
              <w:jc w:val="right"/>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1001815733"/>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bl>
    <w:p w:rsidR="00000000" w:rsidRDefault="005C524C">
      <w:pPr>
        <w:ind w:hanging="360"/>
        <w:divId w:val="624777738"/>
        <w:rPr>
          <w:rFonts w:eastAsia="Times New Roman"/>
        </w:rPr>
      </w:pPr>
      <w:r>
        <w:rPr>
          <w:rFonts w:eastAsia="Times New Roman"/>
          <w:color w:val="000000"/>
          <w:sz w:val="18"/>
          <w:szCs w:val="18"/>
        </w:rPr>
        <w:t>_____________</w:t>
      </w:r>
    </w:p>
    <w:p w:rsidR="00000000" w:rsidRDefault="005C524C">
      <w:pPr>
        <w:ind w:hanging="360"/>
        <w:divId w:val="1365666735"/>
        <w:rPr>
          <w:rFonts w:eastAsia="Times New Roman"/>
        </w:rPr>
      </w:pPr>
      <w:r>
        <w:rPr>
          <w:rFonts w:eastAsia="Times New Roman"/>
          <w:color w:val="000000"/>
          <w:sz w:val="18"/>
          <w:szCs w:val="18"/>
        </w:rPr>
        <w:t>(1)</w:t>
      </w:r>
      <w:r>
        <w:rPr>
          <w:rFonts w:eastAsia="Times New Roman"/>
          <w:color w:val="000000"/>
          <w:sz w:val="18"/>
          <w:szCs w:val="18"/>
        </w:rPr>
        <w:t xml:space="preserve">Includes, as of June 30, 2022, June 30, 2021 and December 31, 2021 respectively, $369 million, $391 million and $319 million of other invested assets. </w:t>
      </w:r>
    </w:p>
    <w:p w:rsidR="00000000" w:rsidRDefault="005C524C">
      <w:pPr>
        <w:ind w:hanging="360"/>
        <w:divId w:val="876237611"/>
        <w:rPr>
          <w:rFonts w:eastAsia="Times New Roman"/>
        </w:rPr>
      </w:pPr>
      <w:r>
        <w:rPr>
          <w:rFonts w:eastAsia="Times New Roman"/>
          <w:color w:val="000000"/>
          <w:sz w:val="18"/>
          <w:szCs w:val="18"/>
        </w:rPr>
        <w:t>(2)Amount for fixed maturities and mortgages represents original cost, reduced by repayments, write-down</w:t>
      </w:r>
      <w:r>
        <w:rPr>
          <w:rFonts w:eastAsia="Times New Roman"/>
          <w:color w:val="000000"/>
          <w:sz w:val="18"/>
          <w:szCs w:val="18"/>
        </w:rPr>
        <w:t>s, adjusted amortization of premiums, accretion of discount and allowances. Cost for equity securities represents original cost reduced by write-downs; cost for other limited partnership interests represents original cost adjusted for equity in earnings an</w:t>
      </w:r>
      <w:r>
        <w:rPr>
          <w:rFonts w:eastAsia="Times New Roman"/>
          <w:color w:val="000000"/>
          <w:sz w:val="18"/>
          <w:szCs w:val="18"/>
        </w:rPr>
        <w:t>d reduced by distributions.</w:t>
      </w:r>
    </w:p>
    <w:p w:rsidR="00000000" w:rsidRDefault="005C524C">
      <w:pPr>
        <w:ind w:hanging="360"/>
        <w:divId w:val="775754013"/>
        <w:rPr>
          <w:rFonts w:eastAsia="Times New Roman"/>
        </w:rPr>
      </w:pPr>
      <w:r>
        <w:rPr>
          <w:rFonts w:eastAsia="Times New Roman"/>
          <w:color w:val="000000"/>
          <w:sz w:val="18"/>
          <w:szCs w:val="18"/>
        </w:rPr>
        <w:t xml:space="preserve">(3)Investment fees are inclusive of investment management fees paid to AB. </w:t>
      </w:r>
    </w:p>
    <w:p w:rsidR="00000000" w:rsidRDefault="005C524C">
      <w:pPr>
        <w:ind w:hanging="360"/>
        <w:divId w:val="123274390"/>
        <w:rPr>
          <w:rFonts w:eastAsia="Times New Roman"/>
        </w:rPr>
      </w:pPr>
    </w:p>
    <w:p w:rsidR="00000000" w:rsidRDefault="005C524C">
      <w:pPr>
        <w:jc w:val="both"/>
        <w:divId w:val="15039497"/>
        <w:rPr>
          <w:rFonts w:eastAsia="Times New Roman"/>
        </w:rPr>
      </w:pPr>
      <w:r>
        <w:rPr>
          <w:rFonts w:eastAsia="Times New Roman"/>
          <w:b/>
          <w:bCs/>
          <w:i/>
          <w:iCs/>
          <w:color w:val="000000"/>
          <w:sz w:val="20"/>
          <w:szCs w:val="20"/>
        </w:rPr>
        <w:t>Fixed Maturities</w:t>
      </w:r>
    </w:p>
    <w:p w:rsidR="00000000" w:rsidRDefault="005C524C">
      <w:pPr>
        <w:ind w:firstLine="360"/>
        <w:divId w:val="572276713"/>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below investment grade securities in the General Account investment portfolio consis</w:t>
      </w:r>
      <w:r>
        <w:rPr>
          <w:rFonts w:eastAsia="Times New Roman"/>
          <w:color w:val="000000"/>
          <w:sz w:val="20"/>
          <w:szCs w:val="20"/>
        </w:rPr>
        <w:t>t of loans to middle market companies, public high yield securities, bank loans, as well as “fallen angels,” originally purchased as investment grade investments.</w:t>
      </w:r>
    </w:p>
    <w:p w:rsidR="00000000" w:rsidRDefault="005C524C">
      <w:pPr>
        <w:jc w:val="both"/>
        <w:divId w:val="1796829517"/>
        <w:rPr>
          <w:rFonts w:eastAsia="Times New Roman"/>
        </w:rPr>
      </w:pPr>
      <w:r>
        <w:rPr>
          <w:rFonts w:eastAsia="Times New Roman"/>
          <w:b/>
          <w:bCs/>
          <w:i/>
          <w:iCs/>
          <w:color w:val="000000"/>
          <w:sz w:val="20"/>
          <w:szCs w:val="20"/>
        </w:rPr>
        <w:t>Fixed Maturities by Industry</w:t>
      </w:r>
    </w:p>
    <w:p w:rsidR="00000000" w:rsidRDefault="005C524C">
      <w:pPr>
        <w:ind w:firstLine="360"/>
        <w:divId w:val="1144078861"/>
        <w:rPr>
          <w:rFonts w:eastAsia="Times New Roman"/>
        </w:rPr>
      </w:pPr>
      <w:r>
        <w:rPr>
          <w:rFonts w:eastAsia="Times New Roman"/>
          <w:color w:val="000000"/>
          <w:sz w:val="20"/>
          <w:szCs w:val="20"/>
        </w:rPr>
        <w:t>The following table sets forth these fixed maturities by industr</w:t>
      </w:r>
      <w:r>
        <w:rPr>
          <w:rFonts w:eastAsia="Times New Roman"/>
          <w:color w:val="000000"/>
          <w:sz w:val="20"/>
          <w:szCs w:val="20"/>
        </w:rPr>
        <w:t>y category as of the dates indicated along with their associated gross unrealized gains and losses.</w:t>
      </w:r>
    </w:p>
    <w:p w:rsidR="00000000" w:rsidRDefault="005C524C">
      <w:pPr>
        <w:jc w:val="center"/>
        <w:divId w:val="313922078"/>
        <w:rPr>
          <w:rFonts w:eastAsia="Times New Roman"/>
        </w:rPr>
      </w:pPr>
      <w:r>
        <w:rPr>
          <w:rFonts w:eastAsia="Times New Roman"/>
          <w:color w:val="000000"/>
          <w:sz w:val="20"/>
          <w:szCs w:val="20"/>
        </w:rPr>
        <w:t>97</w:t>
      </w:r>
    </w:p>
    <w:p w:rsidR="00000000" w:rsidRDefault="005C524C">
      <w:pPr>
        <w:rPr>
          <w:rFonts w:eastAsia="Times New Roman"/>
        </w:rPr>
      </w:pPr>
      <w:r>
        <w:rPr>
          <w:rFonts w:eastAsia="Times New Roman"/>
        </w:rPr>
        <w:pict>
          <v:rect id="_x0000_i1123" style="width:0;height:1.5pt" o:hralign="center" o:hrstd="t" o:hr="t" fillcolor="#a0a0a0" stroked="f"/>
        </w:pict>
      </w:r>
    </w:p>
    <w:p w:rsidR="00000000" w:rsidRDefault="005C524C">
      <w:pPr>
        <w:divId w:val="107146111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9"/>
        <w:gridCol w:w="2462"/>
        <w:gridCol w:w="38"/>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1110667800"/>
        </w:trPr>
        <w:tc>
          <w:tcPr>
            <w:tcW w:w="50" w:type="pct"/>
            <w:vAlign w:val="center"/>
            <w:hideMark/>
          </w:tcPr>
          <w:p w:rsidR="00000000" w:rsidRDefault="005C524C">
            <w:pPr>
              <w:jc w:val="center"/>
              <w:rPr>
                <w:rFonts w:eastAsia="Times New Roman"/>
              </w:rPr>
            </w:pPr>
          </w:p>
        </w:tc>
        <w:tc>
          <w:tcPr>
            <w:tcW w:w="182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Percentage of Total (%)</w:t>
            </w:r>
          </w:p>
        </w:tc>
      </w:tr>
      <w:tr w:rsidR="00000000">
        <w:trPr>
          <w:divId w:val="1110667800"/>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As of 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13,851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12,563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12,416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11,024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51,231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5,684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45,691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8,333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73,444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7,181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66,503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r>
      <w:tr w:rsidR="00000000">
        <w:trPr>
          <w:divId w:val="1110667800"/>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545 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13,440 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12,212 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12,947 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6,446 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6,761 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8,191 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3,854 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4,011 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3,390 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3,590 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49,288 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13,056 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2,344 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15,385 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586 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1,124 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2,421 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5,934 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110667800"/>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72,545 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5,125 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77,342 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bl>
    <w:p w:rsidR="00000000" w:rsidRDefault="005C524C">
      <w:pPr>
        <w:ind w:hanging="360"/>
        <w:divId w:val="652561792"/>
        <w:rPr>
          <w:rFonts w:eastAsia="Times New Roman"/>
        </w:rPr>
      </w:pPr>
      <w:r>
        <w:rPr>
          <w:rFonts w:eastAsia="Times New Roman"/>
          <w:color w:val="000000"/>
          <w:sz w:val="18"/>
          <w:szCs w:val="18"/>
        </w:rPr>
        <w:t>______________</w:t>
      </w:r>
    </w:p>
    <w:p w:rsidR="00000000" w:rsidRDefault="005C524C">
      <w:pPr>
        <w:ind w:hanging="360"/>
        <w:divId w:val="1404138956"/>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5C524C">
      <w:pPr>
        <w:ind w:hanging="360"/>
        <w:divId w:val="791049841"/>
        <w:rPr>
          <w:rFonts w:eastAsia="Times New Roman"/>
        </w:rPr>
      </w:pPr>
      <w:r>
        <w:rPr>
          <w:rFonts w:eastAsia="Times New Roman"/>
          <w:color w:val="000000"/>
          <w:sz w:val="18"/>
          <w:szCs w:val="18"/>
        </w:rPr>
        <w:t>(2)Includes publicly traded agency pass-through securities and collateralized obligations.</w:t>
      </w:r>
    </w:p>
    <w:p w:rsidR="00000000" w:rsidRDefault="005C524C">
      <w:pPr>
        <w:ind w:firstLine="360"/>
        <w:divId w:val="110591609"/>
        <w:rPr>
          <w:rFonts w:eastAsia="Times New Roman"/>
        </w:rPr>
      </w:pPr>
    </w:p>
    <w:p w:rsidR="00000000" w:rsidRDefault="005C524C">
      <w:pPr>
        <w:ind w:hanging="360"/>
        <w:divId w:val="642277305"/>
        <w:rPr>
          <w:rFonts w:eastAsia="Times New Roman"/>
        </w:rPr>
      </w:pPr>
    </w:p>
    <w:p w:rsidR="00000000" w:rsidRDefault="005C524C">
      <w:pPr>
        <w:jc w:val="center"/>
        <w:divId w:val="1462575470"/>
        <w:rPr>
          <w:rFonts w:eastAsia="Times New Roman"/>
        </w:rPr>
      </w:pPr>
      <w:r>
        <w:rPr>
          <w:rFonts w:eastAsia="Times New Roman"/>
          <w:color w:val="000000"/>
          <w:sz w:val="20"/>
          <w:szCs w:val="20"/>
        </w:rPr>
        <w:t>98</w:t>
      </w:r>
    </w:p>
    <w:p w:rsidR="00000000" w:rsidRDefault="005C524C">
      <w:pPr>
        <w:rPr>
          <w:rFonts w:eastAsia="Times New Roman"/>
        </w:rPr>
      </w:pPr>
      <w:r>
        <w:rPr>
          <w:rFonts w:eastAsia="Times New Roman"/>
        </w:rPr>
        <w:pict>
          <v:rect id="_x0000_i1124" style="width:0;height:1.5pt" o:hralign="center" o:hrstd="t" o:hr="t" fillcolor="#a0a0a0" stroked="f"/>
        </w:pict>
      </w:r>
    </w:p>
    <w:p w:rsidR="00000000" w:rsidRDefault="005C524C">
      <w:pPr>
        <w:divId w:val="209794489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both"/>
        <w:divId w:val="386687069"/>
        <w:rPr>
          <w:rFonts w:eastAsia="Times New Roman"/>
        </w:rPr>
      </w:pPr>
      <w:r>
        <w:rPr>
          <w:rFonts w:eastAsia="Times New Roman"/>
          <w:b/>
          <w:bCs/>
          <w:i/>
          <w:iCs/>
          <w:color w:val="000000"/>
          <w:sz w:val="20"/>
          <w:szCs w:val="20"/>
          <w:shd w:val="clear" w:color="auto" w:fill="FFFFFF"/>
        </w:rPr>
        <w:t>Fixed Maturities Credit Quality</w:t>
      </w:r>
    </w:p>
    <w:p w:rsidR="00000000" w:rsidRDefault="005C524C">
      <w:pPr>
        <w:ind w:firstLine="360"/>
        <w:divId w:val="1671060218"/>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Designations of “1” or “2” include fixed maturities considered investment grade, w</w:t>
      </w:r>
      <w:r>
        <w:rPr>
          <w:rFonts w:eastAsia="Times New Roman"/>
          <w:color w:val="000000"/>
          <w:sz w:val="20"/>
          <w:szCs w:val="20"/>
        </w:rPr>
        <w:t>hich include securities rated Baa3 or higher by Moody’s or BBB- or higher by Standard &amp; Poor’s. NAIC Designations of “3” through “6” are referred to as below investment grade, which include securities rated Ba1 or lower by Moody’s and BB+ or lower by Stand</w:t>
      </w:r>
      <w:r>
        <w:rPr>
          <w:rFonts w:eastAsia="Times New Roman"/>
          <w:color w:val="000000"/>
          <w:sz w:val="20"/>
          <w:szCs w:val="20"/>
        </w:rPr>
        <w:t>ard &amp; Poor’s. As a result of time lags between the funding of investments and the completion of the SVO filing process, the fixed maturity portfolio typically includes securities that have not yet been rated by the SVO as of each balance sheet date. Pendin</w:t>
      </w:r>
      <w:r>
        <w:rPr>
          <w:rFonts w:eastAsia="Times New Roman"/>
          <w:color w:val="000000"/>
          <w:sz w:val="20"/>
          <w:szCs w:val="20"/>
        </w:rPr>
        <w:t>g receipt of SVO ratings, the categorization of these securities by NAIC designation is based on the expected ratings indicated by internal analysis.</w:t>
      </w:r>
    </w:p>
    <w:p w:rsidR="00000000" w:rsidRDefault="005C524C">
      <w:pPr>
        <w:ind w:firstLine="360"/>
        <w:divId w:val="1314027508"/>
        <w:rPr>
          <w:rFonts w:eastAsia="Times New Roman"/>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p>
    <w:p w:rsidR="00000000" w:rsidRDefault="005C524C">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6"/>
        <w:gridCol w:w="36"/>
        <w:gridCol w:w="36"/>
        <w:gridCol w:w="36"/>
        <w:gridCol w:w="48"/>
        <w:gridCol w:w="1344"/>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627054021"/>
        </w:trPr>
        <w:tc>
          <w:tcPr>
            <w:tcW w:w="50" w:type="pct"/>
            <w:vAlign w:val="center"/>
            <w:hideMark/>
          </w:tcPr>
          <w:p w:rsidR="00000000" w:rsidRDefault="005C524C">
            <w:pPr>
              <w:jc w:val="center"/>
              <w:rPr>
                <w:rFonts w:eastAsia="Times New Roman"/>
              </w:rPr>
            </w:pPr>
          </w:p>
        </w:tc>
        <w:tc>
          <w:tcPr>
            <w:tcW w:w="12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93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4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62705402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w:t>
            </w:r>
          </w:p>
          <w:p w:rsidR="00000000" w:rsidRDefault="005C524C">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w:t>
            </w:r>
          </w:p>
          <w:p w:rsidR="00000000" w:rsidRDefault="005C524C">
            <w:pPr>
              <w:spacing w:after="100"/>
              <w:jc w:val="center"/>
              <w:rPr>
                <w:rFonts w:eastAsia="Times New Roman"/>
              </w:rPr>
            </w:pPr>
            <w:r>
              <w:rPr>
                <w:rFonts w:eastAsia="Times New Roman"/>
                <w:b/>
                <w:bCs/>
                <w:color w:val="000000"/>
                <w:sz w:val="16"/>
                <w:szCs w:val="16"/>
              </w:rPr>
              <w:t>Unrealized</w:t>
            </w:r>
          </w:p>
          <w:p w:rsidR="00000000" w:rsidRDefault="005C524C">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Gross</w:t>
            </w:r>
          </w:p>
          <w:p w:rsidR="00000000" w:rsidRDefault="005C524C">
            <w:pPr>
              <w:spacing w:after="100"/>
              <w:jc w:val="center"/>
              <w:rPr>
                <w:rFonts w:eastAsia="Times New Roman"/>
              </w:rPr>
            </w:pPr>
            <w:r>
              <w:rPr>
                <w:rFonts w:eastAsia="Times New Roman"/>
                <w:b/>
                <w:bCs/>
                <w:color w:val="000000"/>
                <w:sz w:val="16"/>
                <w:szCs w:val="16"/>
              </w:rPr>
              <w:t>Unrealized</w:t>
            </w:r>
          </w:p>
          <w:p w:rsidR="00000000" w:rsidRDefault="005C524C">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Fair Value</w:t>
            </w:r>
          </w:p>
        </w:tc>
      </w:tr>
      <w:tr w:rsidR="00000000">
        <w:trPr>
          <w:divId w:val="62705402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627054021"/>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As of June 30, 2022</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44,403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3,765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40,812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26,257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70,660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6,980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63,933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1,476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2,784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2,570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9"/>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73,444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7,181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66,503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As of December 31, 2021: </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44,653 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3,734 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48,229 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25,141 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1,357 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26,371 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69,794 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5,091 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74,600 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992 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FFFFFF"/>
            <w:tcMar>
              <w:top w:w="30" w:type="dxa"/>
              <w:left w:w="20" w:type="dxa"/>
              <w:bottom w:w="30" w:type="dxa"/>
              <w:right w:w="20" w:type="dxa"/>
            </w:tcMar>
            <w:hideMark/>
          </w:tcPr>
          <w:p w:rsidR="00000000" w:rsidRDefault="005C524C">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627054021"/>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72,545 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5,125 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77,342 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775255218"/>
        <w:rPr>
          <w:rFonts w:eastAsia="Times New Roman"/>
        </w:rPr>
      </w:pPr>
    </w:p>
    <w:p w:rsidR="00000000" w:rsidRDefault="005C524C">
      <w:pPr>
        <w:jc w:val="both"/>
        <w:divId w:val="1849901834"/>
        <w:rPr>
          <w:rFonts w:eastAsia="Times New Roman"/>
        </w:rPr>
      </w:pPr>
      <w:r>
        <w:rPr>
          <w:rFonts w:eastAsia="Times New Roman"/>
          <w:b/>
          <w:bCs/>
          <w:i/>
          <w:iCs/>
          <w:color w:val="000000"/>
          <w:sz w:val="20"/>
          <w:szCs w:val="20"/>
        </w:rPr>
        <w:t xml:space="preserve">Mortgage Loans </w:t>
      </w:r>
    </w:p>
    <w:p w:rsidR="00000000" w:rsidRDefault="005C524C">
      <w:pPr>
        <w:ind w:firstLine="360"/>
        <w:divId w:val="68964808"/>
        <w:rPr>
          <w:rFonts w:eastAsia="Times New Roman"/>
        </w:rPr>
      </w:pPr>
      <w:r>
        <w:rPr>
          <w:rFonts w:eastAsia="Times New Roman"/>
          <w:color w:val="000000"/>
          <w:sz w:val="20"/>
          <w:szCs w:val="20"/>
        </w:rPr>
        <w:t>The mortgage portfolio primarily consists of commercial and agricultural mortgage loans. The investment strategy for the mortgage loan portfolio emphasizes diversification by property type and ge</w:t>
      </w:r>
      <w:r>
        <w:rPr>
          <w:rFonts w:eastAsia="Times New Roman"/>
          <w:color w:val="000000"/>
          <w:sz w:val="20"/>
          <w:szCs w:val="20"/>
        </w:rPr>
        <w:t>ographic location with a primary focus on asset quality. The tables below show the breakdown of the amortized cost of the General Account’s investments in mortgage loans by geographic region and property type as of the dates indicated.</w:t>
      </w:r>
    </w:p>
    <w:p w:rsidR="00000000" w:rsidRDefault="005C524C">
      <w:pPr>
        <w:jc w:val="center"/>
        <w:divId w:val="235818913"/>
        <w:rPr>
          <w:rFonts w:eastAsia="Times New Roman"/>
        </w:rPr>
      </w:pPr>
      <w:r>
        <w:rPr>
          <w:rFonts w:eastAsia="Times New Roman"/>
          <w:color w:val="000000"/>
          <w:sz w:val="20"/>
          <w:szCs w:val="20"/>
        </w:rPr>
        <w:t>99</w:t>
      </w:r>
    </w:p>
    <w:p w:rsidR="00000000" w:rsidRDefault="005C524C">
      <w:pPr>
        <w:rPr>
          <w:rFonts w:eastAsia="Times New Roman"/>
        </w:rPr>
      </w:pPr>
      <w:r>
        <w:rPr>
          <w:rFonts w:eastAsia="Times New Roman"/>
        </w:rPr>
        <w:pict>
          <v:rect id="_x0000_i1125" style="width:0;height:1.5pt" o:hralign="center" o:hrstd="t" o:hr="t" fillcolor="#a0a0a0" stroked="f"/>
        </w:pict>
      </w:r>
    </w:p>
    <w:p w:rsidR="00000000" w:rsidRDefault="005C524C">
      <w:pPr>
        <w:divId w:val="1680496995"/>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6"/>
        <w:gridCol w:w="36"/>
        <w:gridCol w:w="36"/>
        <w:gridCol w:w="36"/>
        <w:gridCol w:w="68"/>
        <w:gridCol w:w="704"/>
        <w:gridCol w:w="220"/>
        <w:gridCol w:w="36"/>
        <w:gridCol w:w="36"/>
        <w:gridCol w:w="36"/>
        <w:gridCol w:w="120"/>
        <w:gridCol w:w="734"/>
        <w:gridCol w:w="36"/>
        <w:gridCol w:w="36"/>
        <w:gridCol w:w="36"/>
        <w:gridCol w:w="36"/>
        <w:gridCol w:w="63"/>
        <w:gridCol w:w="701"/>
        <w:gridCol w:w="187"/>
      </w:tblGrid>
      <w:tr w:rsidR="00000000">
        <w:trPr>
          <w:divId w:val="463431168"/>
        </w:trPr>
        <w:tc>
          <w:tcPr>
            <w:tcW w:w="50" w:type="pct"/>
            <w:vAlign w:val="center"/>
            <w:hideMark/>
          </w:tcPr>
          <w:p w:rsidR="00000000" w:rsidRDefault="005C524C">
            <w:pPr>
              <w:jc w:val="center"/>
              <w:rPr>
                <w:rFonts w:eastAsia="Times New Roman"/>
              </w:rPr>
            </w:pPr>
          </w:p>
        </w:tc>
        <w:tc>
          <w:tcPr>
            <w:tcW w:w="252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2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December 31, 2021</w:t>
            </w:r>
          </w:p>
        </w:tc>
      </w:tr>
      <w:tr w:rsidR="00000000">
        <w:trPr>
          <w:divId w:val="463431168"/>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Amortized</w:t>
            </w:r>
          </w:p>
          <w:p w:rsidR="00000000" w:rsidRDefault="005C524C">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of </w:t>
            </w: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Amortized</w:t>
            </w:r>
          </w:p>
          <w:p w:rsidR="00000000" w:rsidRDefault="005C524C">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 of Total</w:t>
            </w:r>
          </w:p>
        </w:tc>
      </w:tr>
      <w:tr w:rsidR="00000000">
        <w:trPr>
          <w:divId w:val="463431168"/>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463431168"/>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4,297 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463431168"/>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3,441 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1,999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1,982 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579 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14,371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13,969 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shd w:val="clear" w:color="auto" w:fill="FFFFFF"/>
            <w:tcMar>
              <w:top w:w="30" w:type="dxa"/>
              <w:left w:w="155" w:type="dxa"/>
              <w:bottom w:w="30" w:type="dxa"/>
              <w:right w:w="20" w:type="dxa"/>
            </w:tcMar>
            <w:hideMark/>
          </w:tcPr>
          <w:p w:rsidR="00000000" w:rsidRDefault="005C524C">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463431168"/>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3,383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4,694 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2,644 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856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1,204 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410 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463431168"/>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14,095 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bl>
    <w:p w:rsidR="00000000" w:rsidRDefault="005C524C">
      <w:pPr>
        <w:divId w:val="1036852901"/>
        <w:rPr>
          <w:rFonts w:eastAsia="Times New Roman"/>
        </w:rPr>
      </w:pPr>
      <w:r>
        <w:rPr>
          <w:rFonts w:eastAsia="Times New Roman"/>
          <w:b/>
          <w:bCs/>
          <w:color w:val="000000"/>
          <w:sz w:val="20"/>
          <w:szCs w:val="20"/>
        </w:rPr>
        <w:t>Liquidity and Capital Resourc</w:t>
      </w:r>
      <w:r>
        <w:rPr>
          <w:rFonts w:eastAsia="Times New Roman"/>
          <w:b/>
          <w:bCs/>
          <w:color w:val="000000"/>
          <w:sz w:val="20"/>
          <w:szCs w:val="20"/>
        </w:rPr>
        <w:t>es</w:t>
      </w:r>
    </w:p>
    <w:p w:rsidR="00000000" w:rsidRDefault="005C524C">
      <w:pPr>
        <w:ind w:firstLine="360"/>
        <w:divId w:val="645820385"/>
        <w:rPr>
          <w:rFonts w:eastAsia="Times New Roman"/>
        </w:rPr>
      </w:pPr>
      <w:r>
        <w:rPr>
          <w:rFonts w:eastAsia="Times New Roman"/>
          <w:color w:val="000000"/>
          <w:sz w:val="20"/>
          <w:szCs w:val="20"/>
        </w:rPr>
        <w:t xml:space="preserve">Liquidity refers to our ability to generate adequate amounts of cash from our operating, investment and financing activities to meet our cash requirements with a prudent margin of safety. Capital refers to our long-term financial resources available to </w:t>
      </w:r>
      <w:r>
        <w:rPr>
          <w:rFonts w:eastAsia="Times New Roman"/>
          <w:color w:val="000000"/>
          <w:sz w:val="20"/>
          <w:szCs w:val="20"/>
        </w:rPr>
        <w:t>support business operations and future growth. Our ability to generate and maintain sufficient liquidity and capital is dependent on the profitability of our businesses, timing of cash flows related to our investments and products, our ability to access th</w:t>
      </w:r>
      <w:r>
        <w:rPr>
          <w:rFonts w:eastAsia="Times New Roman"/>
          <w:color w:val="000000"/>
          <w:sz w:val="20"/>
          <w:szCs w:val="20"/>
        </w:rPr>
        <w:t>e capital markets, general economic conditions and the alternative sources of liquidity and capital described herein. When considering our liquidity and cash flows, we distinguish between the needs of Holdings and the needs of our insurance and non-insuran</w:t>
      </w:r>
      <w:r>
        <w:rPr>
          <w:rFonts w:eastAsia="Times New Roman"/>
          <w:color w:val="000000"/>
          <w:sz w:val="20"/>
          <w:szCs w:val="20"/>
        </w:rPr>
        <w:t>ce subsidiaries. We also distinguish and separately manage the liquidity and capital resources of our retirement and protection businesses (our Individual Retirement, Group Retirement and Protection Solutions segments) and our Investment Management and Res</w:t>
      </w:r>
      <w:r>
        <w:rPr>
          <w:rFonts w:eastAsia="Times New Roman"/>
          <w:color w:val="000000"/>
          <w:sz w:val="20"/>
          <w:szCs w:val="20"/>
        </w:rPr>
        <w:t>earch segment.</w:t>
      </w:r>
    </w:p>
    <w:p w:rsidR="00000000" w:rsidRDefault="005C524C">
      <w:pPr>
        <w:jc w:val="both"/>
        <w:divId w:val="1016342979"/>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5C524C">
      <w:pPr>
        <w:ind w:firstLine="360"/>
        <w:divId w:val="689841837"/>
        <w:rPr>
          <w:rFonts w:eastAsia="Times New Roman"/>
        </w:rPr>
      </w:pPr>
      <w:r>
        <w:rPr>
          <w:rFonts w:eastAsia="Times New Roman"/>
          <w:color w:val="000000"/>
          <w:sz w:val="20"/>
          <w:szCs w:val="20"/>
        </w:rPr>
        <w:t>The Company has sufficient cash flows from operations to satisfy liquidity requirements in 2022.</w:t>
      </w:r>
    </w:p>
    <w:p w:rsidR="00000000" w:rsidRDefault="005C524C">
      <w:pPr>
        <w:divId w:val="1131946052"/>
        <w:rPr>
          <w:rFonts w:eastAsia="Times New Roman"/>
        </w:rPr>
      </w:pPr>
      <w:r>
        <w:rPr>
          <w:rFonts w:eastAsia="Times New Roman"/>
          <w:i/>
          <w:iCs/>
          <w:color w:val="000000"/>
          <w:sz w:val="20"/>
          <w:szCs w:val="20"/>
          <w:u w:val="single"/>
        </w:rPr>
        <w:t>Cash Flows of Holdings</w:t>
      </w:r>
    </w:p>
    <w:p w:rsidR="00000000" w:rsidRDefault="005C524C">
      <w:pPr>
        <w:ind w:firstLine="360"/>
        <w:divId w:val="1457872665"/>
        <w:rPr>
          <w:rFonts w:eastAsia="Times New Roman"/>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nearly all of which is currently held outside our insurance co</w:t>
      </w:r>
      <w:r>
        <w:rPr>
          <w:rFonts w:eastAsia="Times New Roman"/>
          <w:color w:val="000000"/>
          <w:sz w:val="20"/>
          <w:szCs w:val="20"/>
        </w:rPr>
        <w:t>mpany subsidiaries. These principal sources of liquidity are augmented by cash and short-term investments held by Holdings and access to bank lines of credit and the capital markets. The main uses of liquidity for Holdings are interest payments and debt re</w:t>
      </w:r>
      <w:r>
        <w:rPr>
          <w:rFonts w:eastAsia="Times New Roman"/>
          <w:color w:val="000000"/>
          <w:sz w:val="20"/>
          <w:szCs w:val="20"/>
        </w:rPr>
        <w:t xml:space="preserve">payment, payment of dividends and other distributions to stockholders (which may include stock </w:t>
      </w:r>
    </w:p>
    <w:p w:rsidR="00000000" w:rsidRDefault="005C524C">
      <w:pPr>
        <w:jc w:val="center"/>
        <w:divId w:val="1996688511"/>
        <w:rPr>
          <w:rFonts w:eastAsia="Times New Roman"/>
        </w:rPr>
      </w:pPr>
      <w:r>
        <w:rPr>
          <w:rFonts w:eastAsia="Times New Roman"/>
          <w:color w:val="000000"/>
          <w:sz w:val="20"/>
          <w:szCs w:val="20"/>
        </w:rPr>
        <w:t>100</w:t>
      </w:r>
    </w:p>
    <w:p w:rsidR="00000000" w:rsidRDefault="005C524C">
      <w:pPr>
        <w:rPr>
          <w:rFonts w:eastAsia="Times New Roman"/>
        </w:rPr>
      </w:pPr>
      <w:r>
        <w:rPr>
          <w:rFonts w:eastAsia="Times New Roman"/>
        </w:rPr>
        <w:pict>
          <v:rect id="_x0000_i1126" style="width:0;height:1.5pt" o:hralign="center" o:hrstd="t" o:hr="t" fillcolor="#a0a0a0" stroked="f"/>
        </w:pict>
      </w:r>
    </w:p>
    <w:p w:rsidR="00000000" w:rsidRDefault="005C524C">
      <w:pPr>
        <w:divId w:val="141242299"/>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2044404618"/>
        <w:rPr>
          <w:rFonts w:eastAsia="Times New Roman"/>
        </w:rPr>
      </w:pPr>
      <w:r>
        <w:rPr>
          <w:rFonts w:eastAsia="Times New Roman"/>
          <w:color w:val="000000"/>
          <w:sz w:val="20"/>
          <w:szCs w:val="20"/>
        </w:rPr>
        <w:t>repurchases) loans and capital contribution</w:t>
      </w:r>
      <w:r>
        <w:rPr>
          <w:rFonts w:eastAsia="Times New Roman"/>
          <w:color w:val="000000"/>
          <w:sz w:val="20"/>
          <w:szCs w:val="20"/>
        </w:rPr>
        <w:t>s, if needed, to our insurance subsidiaries. Our principal sources of liquidity and our capital position are described in the following paragraphs.</w:t>
      </w:r>
    </w:p>
    <w:p w:rsidR="00000000" w:rsidRDefault="005C524C">
      <w:pPr>
        <w:divId w:val="67851594"/>
        <w:rPr>
          <w:rFonts w:eastAsia="Times New Roman"/>
        </w:rPr>
      </w:pPr>
      <w:r>
        <w:rPr>
          <w:rFonts w:eastAsia="Times New Roman"/>
          <w:b/>
          <w:bCs/>
          <w:color w:val="000000"/>
          <w:sz w:val="20"/>
          <w:szCs w:val="20"/>
        </w:rPr>
        <w:t>Sources and Uses of Holding Company Highly Liquid Assets</w:t>
      </w:r>
    </w:p>
    <w:p w:rsidR="00000000" w:rsidRDefault="005C524C">
      <w:pPr>
        <w:ind w:firstLine="360"/>
        <w:divId w:val="400566773"/>
        <w:rPr>
          <w:rFonts w:eastAsia="Times New Roman"/>
        </w:rPr>
      </w:pPr>
      <w:r>
        <w:rPr>
          <w:rFonts w:eastAsia="Times New Roman"/>
          <w:color w:val="000000"/>
          <w:sz w:val="20"/>
          <w:szCs w:val="20"/>
        </w:rPr>
        <w:t xml:space="preserve">The following table sets forth Holdings’ principal </w:t>
      </w:r>
      <w:r>
        <w:rPr>
          <w:rFonts w:eastAsia="Times New Roman"/>
          <w:color w:val="000000"/>
          <w:sz w:val="20"/>
          <w:szCs w:val="20"/>
        </w:rPr>
        <w:t>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1525052831"/>
        </w:trPr>
        <w:tc>
          <w:tcPr>
            <w:tcW w:w="50" w:type="pct"/>
            <w:vAlign w:val="center"/>
            <w:hideMark/>
          </w:tcPr>
          <w:p w:rsidR="00000000" w:rsidRDefault="005C524C">
            <w:pPr>
              <w:ind w:firstLine="360"/>
              <w:rPr>
                <w:rFonts w:eastAsia="Times New Roman"/>
              </w:rPr>
            </w:pPr>
          </w:p>
        </w:tc>
        <w:tc>
          <w:tcPr>
            <w:tcW w:w="369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5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Six Months Ended June 30,</w:t>
            </w:r>
          </w:p>
        </w:tc>
      </w:tr>
      <w:tr w:rsidR="00000000">
        <w:trPr>
          <w:divId w:val="1525052831"/>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1525052831"/>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15250528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1,742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3,088 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(755)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CCEEFF"/>
            <w:tcMar>
              <w:top w:w="30" w:type="dxa"/>
              <w:left w:w="38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28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Purchase of treasury shares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(499)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Shareholder dividends paid</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CCEE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(644)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CCEEFF"/>
            <w:tcMar>
              <w:top w:w="30" w:type="dxa"/>
              <w:left w:w="26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Preferred stock dividend</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Issuance of long-term debt</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38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160"/>
        </w:trPr>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FFFF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vAlign w:val="center"/>
            <w:hideMark/>
          </w:tcPr>
          <w:p w:rsidR="00000000" w:rsidRDefault="005C524C">
            <w:pPr>
              <w:spacing w:after="100"/>
              <w:jc w:val="right"/>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CCEEFF"/>
            <w:tcMar>
              <w:top w:w="30" w:type="dxa"/>
              <w:left w:w="245"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Net decrease (increase) in existing facilities to affiliates (1)</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30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FFFF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(129)</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CCEEFF"/>
            <w:tcMar>
              <w:top w:w="30" w:type="dxa"/>
              <w:left w:w="245" w:type="dxa"/>
              <w:bottom w:w="30" w:type="dxa"/>
              <w:right w:w="20" w:type="dxa"/>
            </w:tcMar>
            <w:hideMark/>
          </w:tcPr>
          <w:p w:rsidR="00000000" w:rsidRDefault="005C524C">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FFFFFF"/>
            <w:tcMar>
              <w:top w:w="30" w:type="dxa"/>
              <w:left w:w="38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(97)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525052831"/>
        </w:trPr>
        <w:tc>
          <w:tcPr>
            <w:tcW w:w="0" w:type="auto"/>
            <w:gridSpan w:val="3"/>
            <w:shd w:val="clear" w:color="auto" w:fill="FFFF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Pr>
        <w:tc>
          <w:tcPr>
            <w:tcW w:w="0" w:type="auto"/>
            <w:gridSpan w:val="3"/>
            <w:shd w:val="clear" w:color="auto" w:fill="CCEEFF"/>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1525052831"/>
          <w:trHeight w:val="300"/>
        </w:trPr>
        <w:tc>
          <w:tcPr>
            <w:tcW w:w="0" w:type="auto"/>
            <w:gridSpan w:val="3"/>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divId w:val="1525052831"/>
        <w:rPr>
          <w:rFonts w:eastAsia="Times New Roman"/>
        </w:rPr>
      </w:pPr>
      <w:r>
        <w:rPr>
          <w:rFonts w:eastAsia="Times New Roman"/>
          <w:color w:val="000000"/>
          <w:sz w:val="18"/>
          <w:szCs w:val="18"/>
        </w:rPr>
        <w:t xml:space="preserve">(1) Represents net activity of draws and repayments of existing credit facilities between Holdings and affiliates. </w:t>
      </w:r>
    </w:p>
    <w:p w:rsidR="00000000" w:rsidRDefault="005C524C">
      <w:pPr>
        <w:jc w:val="center"/>
        <w:divId w:val="1896432937"/>
        <w:rPr>
          <w:rFonts w:eastAsia="Times New Roman"/>
        </w:rPr>
      </w:pPr>
      <w:r>
        <w:rPr>
          <w:rFonts w:eastAsia="Times New Roman"/>
          <w:color w:val="000000"/>
          <w:sz w:val="20"/>
          <w:szCs w:val="20"/>
        </w:rPr>
        <w:t>101</w:t>
      </w:r>
    </w:p>
    <w:p w:rsidR="00000000" w:rsidRDefault="005C524C">
      <w:pPr>
        <w:rPr>
          <w:rFonts w:eastAsia="Times New Roman"/>
        </w:rPr>
      </w:pPr>
      <w:r>
        <w:rPr>
          <w:rFonts w:eastAsia="Times New Roman"/>
        </w:rPr>
        <w:pict>
          <v:rect id="_x0000_i1127" style="width:0;height:1.5pt" o:hralign="center" o:hrstd="t" o:hr="t" fillcolor="#a0a0a0" stroked="f"/>
        </w:pict>
      </w:r>
    </w:p>
    <w:p w:rsidR="00000000" w:rsidRDefault="005C524C">
      <w:pPr>
        <w:divId w:val="1906522247"/>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649362756"/>
        <w:rPr>
          <w:rFonts w:eastAsia="Times New Roman"/>
        </w:rPr>
      </w:pPr>
      <w:r>
        <w:rPr>
          <w:rFonts w:eastAsia="Times New Roman"/>
          <w:i/>
          <w:iCs/>
          <w:color w:val="000000"/>
          <w:sz w:val="20"/>
          <w:szCs w:val="20"/>
          <w:u w:val="single"/>
        </w:rPr>
        <w:t>Capital Contribution to Our Subsidiaries</w:t>
      </w:r>
    </w:p>
    <w:p w:rsidR="00000000" w:rsidRDefault="005C524C">
      <w:pPr>
        <w:ind w:firstLine="360"/>
        <w:divId w:val="1015033021"/>
        <w:rPr>
          <w:rFonts w:eastAsia="Times New Roman"/>
        </w:rPr>
      </w:pPr>
      <w:r>
        <w:rPr>
          <w:rFonts w:eastAsia="Times New Roman"/>
          <w:color w:val="000000"/>
          <w:sz w:val="20"/>
          <w:szCs w:val="20"/>
        </w:rPr>
        <w:t xml:space="preserve">During the six months ended June 30, 2022, Holdings made a $50 million cash capital contribution. </w:t>
      </w:r>
    </w:p>
    <w:p w:rsidR="00000000" w:rsidRDefault="005C524C">
      <w:pPr>
        <w:divId w:val="1963918712"/>
        <w:rPr>
          <w:rFonts w:eastAsia="Times New Roman"/>
        </w:rPr>
      </w:pPr>
      <w:r>
        <w:rPr>
          <w:rFonts w:eastAsia="Times New Roman"/>
          <w:i/>
          <w:iCs/>
          <w:color w:val="000000"/>
          <w:sz w:val="20"/>
          <w:szCs w:val="20"/>
          <w:u w:val="single"/>
        </w:rPr>
        <w:t>Loans from Our Subsidiaries</w:t>
      </w:r>
    </w:p>
    <w:p w:rsidR="00000000" w:rsidRDefault="005C524C">
      <w:pPr>
        <w:ind w:firstLine="360"/>
        <w:divId w:val="1631547774"/>
        <w:rPr>
          <w:rFonts w:eastAsia="Times New Roman"/>
        </w:rPr>
      </w:pPr>
      <w:r>
        <w:rPr>
          <w:rFonts w:eastAsia="Times New Roman"/>
          <w:color w:val="000000"/>
          <w:sz w:val="20"/>
          <w:szCs w:val="20"/>
        </w:rPr>
        <w:t>There were no loans from our subsidiaries during the six months ended June 30, 2022.</w:t>
      </w:r>
    </w:p>
    <w:p w:rsidR="00000000" w:rsidRDefault="005C524C">
      <w:pPr>
        <w:divId w:val="627274708"/>
        <w:rPr>
          <w:rFonts w:eastAsia="Times New Roman"/>
        </w:rPr>
      </w:pPr>
      <w:r>
        <w:rPr>
          <w:rFonts w:eastAsia="Times New Roman"/>
          <w:i/>
          <w:iCs/>
          <w:color w:val="000000"/>
          <w:sz w:val="20"/>
          <w:szCs w:val="20"/>
          <w:u w:val="single"/>
        </w:rPr>
        <w:t>Cas</w:t>
      </w:r>
      <w:r>
        <w:rPr>
          <w:rFonts w:eastAsia="Times New Roman"/>
          <w:i/>
          <w:iCs/>
          <w:color w:val="000000"/>
          <w:sz w:val="20"/>
          <w:szCs w:val="20"/>
          <w:u w:val="single"/>
        </w:rPr>
        <w:t>h Distributions from Our Subsidiaries</w:t>
      </w:r>
      <w:r>
        <w:rPr>
          <w:rFonts w:eastAsia="Times New Roman"/>
          <w:color w:val="000000"/>
          <w:sz w:val="20"/>
          <w:szCs w:val="20"/>
        </w:rPr>
        <w:t xml:space="preserve"> </w:t>
      </w:r>
    </w:p>
    <w:p w:rsidR="00000000" w:rsidRDefault="005C524C">
      <w:pPr>
        <w:ind w:firstLine="360"/>
        <w:divId w:val="1098673937"/>
        <w:rPr>
          <w:rFonts w:eastAsia="Times New Roman"/>
        </w:rPr>
      </w:pPr>
      <w:r>
        <w:rPr>
          <w:rFonts w:eastAsia="Times New Roman"/>
          <w:color w:val="000000"/>
          <w:sz w:val="20"/>
          <w:szCs w:val="20"/>
        </w:rPr>
        <w:t xml:space="preserve">During the six months ended June 30, 2022, Holdings and certain of its subsidiaries received pretax cash distributions from AB of $367 million and post-tax distributions EIM of $125 million. </w:t>
      </w:r>
    </w:p>
    <w:p w:rsidR="00000000" w:rsidRDefault="005C524C">
      <w:pPr>
        <w:divId w:val="420413836"/>
        <w:rPr>
          <w:rFonts w:eastAsia="Times New Roman"/>
        </w:rPr>
      </w:pPr>
      <w:r>
        <w:rPr>
          <w:rFonts w:eastAsia="Times New Roman"/>
          <w:i/>
          <w:iCs/>
          <w:color w:val="000000"/>
          <w:sz w:val="20"/>
          <w:szCs w:val="20"/>
          <w:u w:val="single"/>
        </w:rPr>
        <w:t>Distributions from Insura</w:t>
      </w:r>
      <w:r>
        <w:rPr>
          <w:rFonts w:eastAsia="Times New Roman"/>
          <w:i/>
          <w:iCs/>
          <w:color w:val="000000"/>
          <w:sz w:val="20"/>
          <w:szCs w:val="20"/>
          <w:u w:val="single"/>
        </w:rPr>
        <w:t>nce Subsidiaries</w:t>
      </w:r>
    </w:p>
    <w:p w:rsidR="00000000" w:rsidRDefault="005C524C">
      <w:pPr>
        <w:ind w:firstLine="360"/>
        <w:divId w:val="1699696117"/>
        <w:rPr>
          <w:rFonts w:eastAsia="Times New Roman"/>
        </w:rPr>
      </w:pPr>
      <w:r>
        <w:rPr>
          <w:rFonts w:eastAsia="Times New Roman"/>
          <w:color w:val="000000"/>
          <w:sz w:val="20"/>
          <w:szCs w:val="20"/>
        </w:rPr>
        <w:t xml:space="preserve">Our insurance companies are subject to limitations on the payment of dividends and other transfers of funds to Holdings and other affiliates under applicable insurance law and regulation. Also, more generally, the ability of our insurance </w:t>
      </w:r>
      <w:r>
        <w:rPr>
          <w:rFonts w:eastAsia="Times New Roman"/>
          <w:color w:val="000000"/>
          <w:sz w:val="20"/>
          <w:szCs w:val="20"/>
        </w:rPr>
        <w:t xml:space="preserve">subsidiaries to pay dividends can be affected by market conditions and other factors beyond our control. </w:t>
      </w:r>
    </w:p>
    <w:p w:rsidR="00000000" w:rsidRDefault="005C524C">
      <w:pPr>
        <w:ind w:firstLine="360"/>
        <w:divId w:val="1394113000"/>
        <w:rPr>
          <w:rFonts w:eastAsia="Times New Roman"/>
        </w:rPr>
      </w:pPr>
      <w:r>
        <w:rPr>
          <w:rFonts w:eastAsia="Times New Roman"/>
          <w:color w:val="000000"/>
          <w:sz w:val="20"/>
          <w:szCs w:val="20"/>
        </w:rPr>
        <w:t>Under New York insurance laws, which are applicable to Equitable Financial, a domestic stock life insurer may not, without prior approval of the NYDFS</w:t>
      </w:r>
      <w:r>
        <w:rPr>
          <w:rFonts w:eastAsia="Times New Roman"/>
          <w:color w:val="000000"/>
          <w:sz w:val="20"/>
          <w:szCs w:val="20"/>
        </w:rPr>
        <w:t xml:space="preserve">, pay an ordinary dividend to its stockholders exceeding an amount calculated based on a statutory formula (“Ordinary Dividend”). Dividends in excess of this amount require the insurer to file a notice of its intent to declare the dividends with the NYDFS </w:t>
      </w:r>
      <w:r>
        <w:rPr>
          <w:rFonts w:eastAsia="Times New Roman"/>
          <w:color w:val="000000"/>
          <w:sz w:val="20"/>
          <w:szCs w:val="20"/>
        </w:rPr>
        <w:t>and obtain prior approval or non-disapproval from the NYDFS with respect to such dividends (“Extraordinary Dividends”). Due to a permitted statutory accounting practice agreed to with the NYDFS, Equitable Financial will need the prior approval of the NYDFS</w:t>
      </w:r>
      <w:r>
        <w:rPr>
          <w:rFonts w:eastAsia="Times New Roman"/>
          <w:color w:val="000000"/>
          <w:sz w:val="20"/>
          <w:szCs w:val="20"/>
        </w:rPr>
        <w:t xml:space="preserve"> to pay the portion, if any, of any Ordinary Dividend that exceeds the Ordinary Dividend that Equitable Financial would be permitted to pay under New York insurance law absent the application of such permitted practice (such excess, the “Permitted Practice</w:t>
      </w:r>
      <w:r>
        <w:rPr>
          <w:rFonts w:eastAsia="Times New Roman"/>
          <w:color w:val="000000"/>
          <w:sz w:val="20"/>
          <w:szCs w:val="20"/>
        </w:rPr>
        <w:t xml:space="preserve"> Ordinary Dividend”). Applying the formula above, Equitable Financial could pay an Ordinary Dividend of up to approximately $0.9 billion in 2022 without the prior approval of the NYDFS. Holdings received a dividend distribution from Equitable Financial of </w:t>
      </w:r>
      <w:r>
        <w:rPr>
          <w:rFonts w:eastAsia="Times New Roman"/>
          <w:color w:val="000000"/>
          <w:sz w:val="20"/>
          <w:szCs w:val="20"/>
        </w:rPr>
        <w:t>$0.9 billion during July 2022.</w:t>
      </w:r>
    </w:p>
    <w:p w:rsidR="00000000" w:rsidRDefault="005C524C">
      <w:pPr>
        <w:divId w:val="1648852314"/>
        <w:rPr>
          <w:rFonts w:eastAsia="Times New Roman"/>
        </w:rPr>
      </w:pPr>
      <w:r>
        <w:rPr>
          <w:rFonts w:eastAsia="Times New Roman"/>
          <w:i/>
          <w:iCs/>
          <w:color w:val="000000"/>
          <w:sz w:val="20"/>
          <w:szCs w:val="20"/>
          <w:u w:val="single"/>
        </w:rPr>
        <w:t>Distributions from AllianceBernstein</w:t>
      </w:r>
    </w:p>
    <w:p w:rsidR="00000000" w:rsidRDefault="005C524C">
      <w:pPr>
        <w:ind w:firstLine="360"/>
        <w:divId w:val="120195861"/>
        <w:rPr>
          <w:rFonts w:eastAsia="Times New Roman"/>
        </w:rPr>
      </w:pPr>
      <w:r>
        <w:rPr>
          <w:rFonts w:eastAsia="Times New Roman"/>
          <w:color w:val="000000"/>
          <w:sz w:val="20"/>
          <w:szCs w:val="20"/>
        </w:rPr>
        <w:t xml:space="preserve">ABLP is required to distribute all of its Available Cash Flow, as defined in the Amended and Restated Partnership Agreement of ABLP, to the holders of AB Units and to the General Partner. </w:t>
      </w:r>
      <w:r>
        <w:rPr>
          <w:rFonts w:eastAsia="Times New Roman"/>
          <w:color w:val="000000"/>
          <w:sz w:val="20"/>
          <w:szCs w:val="20"/>
        </w:rPr>
        <w:t>Available Cash Flow is defined as the cash flow received by ABLP from operations minus such amounts as the General Partner determines, in its sole discretion, should be retained by ABLP for use in its business, or plus such amounts as the General Partner d</w:t>
      </w:r>
      <w:r>
        <w:rPr>
          <w:rFonts w:eastAsia="Times New Roman"/>
          <w:color w:val="000000"/>
          <w:sz w:val="20"/>
          <w:szCs w:val="20"/>
        </w:rPr>
        <w:t>etermines, in its sole discretion, should be released from previously retained cash flow. Distributions by ABLP are made 1% to the General Partner and 99% among the limited partners.</w:t>
      </w:r>
    </w:p>
    <w:p w:rsidR="00000000" w:rsidRDefault="005C524C">
      <w:pPr>
        <w:ind w:firstLine="360"/>
        <w:divId w:val="919409629"/>
        <w:rPr>
          <w:rFonts w:eastAsia="Times New Roman"/>
        </w:rPr>
      </w:pPr>
      <w:r>
        <w:rPr>
          <w:rFonts w:eastAsia="Times New Roman"/>
          <w:color w:val="000000"/>
          <w:sz w:val="20"/>
          <w:szCs w:val="20"/>
        </w:rPr>
        <w:t>Typically, Available Cash Flow has been the adjusted diluted net income p</w:t>
      </w:r>
      <w:r>
        <w:rPr>
          <w:rFonts w:eastAsia="Times New Roman"/>
          <w:color w:val="000000"/>
          <w:sz w:val="20"/>
          <w:szCs w:val="20"/>
        </w:rPr>
        <w:t xml:space="preserve">er unit for the quarter multiplied by the number of general and limited partnership interests at the end of the quarter. In future periods, management of AB anticipates that Available Cash Flow will be based on adjusted diluted net income per unit, unless </w:t>
      </w:r>
      <w:r>
        <w:rPr>
          <w:rFonts w:eastAsia="Times New Roman"/>
          <w:color w:val="000000"/>
          <w:sz w:val="20"/>
          <w:szCs w:val="20"/>
        </w:rPr>
        <w:t>management of AB determines, with the concurrence of the Board of Directors of AB, that one or more adjustments that are made for adjusted net income should not be made with respect to the Available Cash Flow calculation.</w:t>
      </w:r>
    </w:p>
    <w:p w:rsidR="00000000" w:rsidRDefault="005C524C">
      <w:pPr>
        <w:ind w:firstLine="360"/>
        <w:divId w:val="465465420"/>
        <w:rPr>
          <w:rFonts w:eastAsia="Times New Roman"/>
        </w:rPr>
      </w:pPr>
      <w:r>
        <w:rPr>
          <w:rFonts w:eastAsia="Times New Roman"/>
          <w:color w:val="000000"/>
          <w:sz w:val="20"/>
          <w:szCs w:val="20"/>
        </w:rPr>
        <w:t>AB Holding is required to distribu</w:t>
      </w:r>
      <w:r>
        <w:rPr>
          <w:rFonts w:eastAsia="Times New Roman"/>
          <w:color w:val="000000"/>
          <w:sz w:val="20"/>
          <w:szCs w:val="20"/>
        </w:rPr>
        <w:t xml:space="preserve">te all of its Available Cash Flow, as defined in the Amended and Restated Agreement of Limited Partnership of AB Holding, to holders of AB Holding Units pro rata in accordance with their percentage interest in AB Holding. Available Cash Flow is defined as </w:t>
      </w:r>
      <w:r>
        <w:rPr>
          <w:rFonts w:eastAsia="Times New Roman"/>
          <w:color w:val="000000"/>
          <w:sz w:val="20"/>
          <w:szCs w:val="20"/>
        </w:rPr>
        <w:t>the cash distributions AB Holding receives from ABLP minus such amounts as the General Partner determines, in its sole discretion, should be retained by AB Holding for use in its business (such as the payment of taxes) or plus such amounts as the General P</w:t>
      </w:r>
      <w:r>
        <w:rPr>
          <w:rFonts w:eastAsia="Times New Roman"/>
          <w:color w:val="000000"/>
          <w:sz w:val="20"/>
          <w:szCs w:val="20"/>
        </w:rPr>
        <w:t>artner determines, in its sole discretion, should be released from previously retained cash flow. AB Holding is dependent on the quarterly cash distributions it receives from ABLP, which is subject to the performance of capital markets and other factors be</w:t>
      </w:r>
      <w:r>
        <w:rPr>
          <w:rFonts w:eastAsia="Times New Roman"/>
          <w:color w:val="000000"/>
          <w:sz w:val="20"/>
          <w:szCs w:val="20"/>
        </w:rPr>
        <w:t>yond our control. Distributions from AB Holding are made pro rata based on the holder’s percentage ownership interest in AB Holding.</w:t>
      </w:r>
    </w:p>
    <w:p w:rsidR="00000000" w:rsidRDefault="005C524C">
      <w:pPr>
        <w:ind w:firstLine="360"/>
        <w:divId w:val="887961197"/>
        <w:rPr>
          <w:rFonts w:eastAsia="Times New Roman"/>
        </w:rPr>
      </w:pPr>
      <w:r>
        <w:rPr>
          <w:rFonts w:eastAsia="Times New Roman"/>
          <w:color w:val="000000"/>
          <w:sz w:val="20"/>
          <w:szCs w:val="20"/>
        </w:rPr>
        <w:t>As of June 30, 2022, Holdings and its non-insurance company subsidiaries hold approximately 170.1 million AB Units, 4.1 mil</w:t>
      </w:r>
      <w:r>
        <w:rPr>
          <w:rFonts w:eastAsia="Times New Roman"/>
          <w:color w:val="000000"/>
          <w:sz w:val="20"/>
          <w:szCs w:val="20"/>
        </w:rPr>
        <w:t>lion AB Holding Units and the 1% General Partnership interest in ABLP.</w:t>
      </w:r>
    </w:p>
    <w:p w:rsidR="00000000" w:rsidRDefault="005C524C">
      <w:pPr>
        <w:ind w:firstLine="360"/>
        <w:divId w:val="203908517"/>
        <w:rPr>
          <w:rFonts w:eastAsia="Times New Roman"/>
        </w:rPr>
      </w:pPr>
      <w:r>
        <w:rPr>
          <w:rFonts w:eastAsia="Times New Roman"/>
          <w:color w:val="000000"/>
          <w:sz w:val="20"/>
          <w:szCs w:val="20"/>
        </w:rPr>
        <w:t xml:space="preserve">As of June 30, 2022, the ownership structure of ABLP, including AB Units outstanding as well as the general partner’s 1% interest, was as follows: </w:t>
      </w:r>
    </w:p>
    <w:p w:rsidR="00000000" w:rsidRDefault="005C524C">
      <w:pPr>
        <w:jc w:val="center"/>
        <w:divId w:val="190605943"/>
        <w:rPr>
          <w:rFonts w:eastAsia="Times New Roman"/>
        </w:rPr>
      </w:pPr>
      <w:r>
        <w:rPr>
          <w:rFonts w:eastAsia="Times New Roman"/>
          <w:color w:val="000000"/>
          <w:sz w:val="20"/>
          <w:szCs w:val="20"/>
        </w:rPr>
        <w:t>102</w:t>
      </w:r>
    </w:p>
    <w:p w:rsidR="00000000" w:rsidRDefault="005C524C">
      <w:pPr>
        <w:rPr>
          <w:rFonts w:eastAsia="Times New Roman"/>
        </w:rPr>
      </w:pPr>
      <w:r>
        <w:rPr>
          <w:rFonts w:eastAsia="Times New Roman"/>
        </w:rPr>
        <w:pict>
          <v:rect id="_x0000_i1128" style="width:0;height:1.5pt" o:hralign="center" o:hrstd="t" o:hr="t" fillcolor="#a0a0a0" stroked="f"/>
        </w:pict>
      </w:r>
    </w:p>
    <w:p w:rsidR="00000000" w:rsidRDefault="005C524C">
      <w:pPr>
        <w:divId w:val="864632278"/>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1000696138"/>
        </w:trPr>
        <w:tc>
          <w:tcPr>
            <w:tcW w:w="50" w:type="pct"/>
            <w:vAlign w:val="center"/>
            <w:hideMark/>
          </w:tcPr>
          <w:p w:rsidR="00000000" w:rsidRDefault="005C524C">
            <w:pPr>
              <w:rPr>
                <w:rFonts w:eastAsia="Times New Roman"/>
              </w:rPr>
            </w:pPr>
          </w:p>
        </w:tc>
        <w:tc>
          <w:tcPr>
            <w:tcW w:w="421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7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000696138"/>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Percentage Ownership</w:t>
            </w:r>
          </w:p>
        </w:tc>
      </w:tr>
      <w:tr w:rsidR="00000000">
        <w:trPr>
          <w:divId w:val="100069613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00069613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000696138"/>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r w:rsidR="00000000">
        <w:trPr>
          <w:divId w:val="1000696138"/>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r>
              <w:rPr>
                <w:rFonts w:eastAsia="Times New Roman"/>
                <w:color w:val="000000"/>
                <w:sz w:val="20"/>
                <w:szCs w:val="20"/>
              </w:rPr>
              <w:t>%</w:t>
            </w:r>
          </w:p>
        </w:tc>
      </w:tr>
    </w:tbl>
    <w:p w:rsidR="00000000" w:rsidRDefault="005C524C">
      <w:pPr>
        <w:ind w:firstLine="360"/>
        <w:divId w:val="1547066104"/>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June 30, 2022.</w:t>
      </w:r>
    </w:p>
    <w:p w:rsidR="00000000" w:rsidRDefault="005C524C">
      <w:pPr>
        <w:divId w:val="305209737"/>
        <w:rPr>
          <w:rFonts w:eastAsia="Times New Roman"/>
        </w:rPr>
      </w:pPr>
      <w:r>
        <w:rPr>
          <w:rFonts w:eastAsia="Times New Roman"/>
          <w:i/>
          <w:iCs/>
          <w:color w:val="000000"/>
          <w:sz w:val="20"/>
          <w:szCs w:val="20"/>
          <w:u w:val="single"/>
        </w:rPr>
        <w:t xml:space="preserve">Holdings Credit Facilities </w:t>
      </w:r>
    </w:p>
    <w:p w:rsidR="00000000" w:rsidRDefault="005C524C">
      <w:pPr>
        <w:ind w:firstLine="360"/>
        <w:divId w:val="241574740"/>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5C524C">
      <w:pPr>
        <w:ind w:firstLine="360"/>
        <w:divId w:val="1639922233"/>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5C524C">
      <w:pPr>
        <w:ind w:firstLine="360"/>
        <w:divId w:val="981082478"/>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June 30, 2022, we were in</w:t>
      </w:r>
      <w:r>
        <w:rPr>
          <w:rFonts w:eastAsia="Times New Roman"/>
          <w:color w:val="000000"/>
          <w:sz w:val="20"/>
          <w:szCs w:val="20"/>
        </w:rPr>
        <w:t xml:space="preserve"> compliance with these covenants”.</w:t>
      </w:r>
    </w:p>
    <w:p w:rsidR="00000000" w:rsidRDefault="005C524C">
      <w:pPr>
        <w:divId w:val="311837454"/>
        <w:rPr>
          <w:rFonts w:eastAsia="Times New Roman"/>
        </w:rPr>
      </w:pPr>
      <w:r>
        <w:rPr>
          <w:rFonts w:eastAsia="Times New Roman"/>
          <w:i/>
          <w:iCs/>
          <w:color w:val="000000"/>
          <w:sz w:val="20"/>
          <w:szCs w:val="20"/>
          <w:u w:val="single"/>
        </w:rPr>
        <w:t xml:space="preserve">Contingent Funding Arrangements </w:t>
      </w:r>
    </w:p>
    <w:p w:rsidR="00000000" w:rsidRDefault="005C524C">
      <w:pPr>
        <w:ind w:firstLine="360"/>
        <w:divId w:val="430393205"/>
        <w:rPr>
          <w:rFonts w:eastAsia="Times New Roman"/>
        </w:rPr>
      </w:pPr>
      <w:r>
        <w:rPr>
          <w:rFonts w:eastAsia="Times New Roman"/>
          <w:color w:val="000000"/>
          <w:sz w:val="20"/>
          <w:szCs w:val="20"/>
        </w:rPr>
        <w:t>For information regarding activity pertaining to our contingent funding arrangements and other off-balance sheet commitments, see “Commitments and Contingent Liabilities” in Note 12 of the</w:t>
      </w:r>
      <w:r>
        <w:rPr>
          <w:rFonts w:eastAsia="Times New Roman"/>
          <w:color w:val="000000"/>
          <w:sz w:val="20"/>
          <w:szCs w:val="20"/>
        </w:rPr>
        <w:t xml:space="preserve"> Notes to the Consolidated Financial Statements in this Form 10-Q.</w:t>
      </w:r>
    </w:p>
    <w:p w:rsidR="00000000" w:rsidRDefault="005C524C">
      <w:pPr>
        <w:divId w:val="1974559158"/>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5C524C">
      <w:pPr>
        <w:ind w:firstLine="360"/>
        <w:divId w:val="663046503"/>
        <w:rPr>
          <w:rFonts w:eastAsia="Times New Roman"/>
        </w:rPr>
      </w:pPr>
      <w:r>
        <w:rPr>
          <w:rFonts w:eastAsia="Times New Roman"/>
          <w:color w:val="000000"/>
          <w:sz w:val="20"/>
          <w:szCs w:val="20"/>
        </w:rPr>
        <w:t xml:space="preserve">For information pertaining to our Series A Preferred Stock, Series B Preferred Stock and Series C Preferred </w:t>
      </w:r>
      <w:r>
        <w:rPr>
          <w:rFonts w:eastAsia="Times New Roman"/>
          <w:color w:val="000000"/>
          <w:sz w:val="20"/>
          <w:szCs w:val="20"/>
        </w:rPr>
        <w:t>Stock see Note 10 of the Notes to the Consolidated Financial Statements.</w:t>
      </w:r>
    </w:p>
    <w:p w:rsidR="00000000" w:rsidRDefault="005C524C">
      <w:pPr>
        <w:jc w:val="both"/>
        <w:divId w:val="345525629"/>
        <w:rPr>
          <w:rFonts w:eastAsia="Times New Roman"/>
        </w:rPr>
      </w:pPr>
      <w:r>
        <w:rPr>
          <w:rFonts w:eastAsia="Times New Roman"/>
          <w:b/>
          <w:bCs/>
          <w:i/>
          <w:iCs/>
          <w:color w:val="000000"/>
          <w:sz w:val="20"/>
          <w:szCs w:val="20"/>
        </w:rPr>
        <w:t>Capital Position of Holdings</w:t>
      </w:r>
    </w:p>
    <w:p w:rsidR="00000000" w:rsidRDefault="005C524C">
      <w:pPr>
        <w:ind w:firstLine="360"/>
        <w:divId w:val="1714384028"/>
        <w:rPr>
          <w:rFonts w:eastAsia="Times New Roman"/>
        </w:rPr>
      </w:pPr>
      <w:r>
        <w:rPr>
          <w:rFonts w:eastAsia="Times New Roman"/>
          <w:color w:val="000000"/>
          <w:sz w:val="20"/>
          <w:szCs w:val="20"/>
        </w:rPr>
        <w:t xml:space="preserve">We manage our capital position to maintain financial strength and credit ratings that facilitate the distribution of our products and provide our desired </w:t>
      </w:r>
      <w:r>
        <w:rPr>
          <w:rFonts w:eastAsia="Times New Roman"/>
          <w:color w:val="000000"/>
          <w:sz w:val="20"/>
          <w:szCs w:val="20"/>
        </w:rPr>
        <w:t xml:space="preserve">level of access to the bank and capital markets. Our capital position is supported by the ability of our subsidiaries to generate cash flows and distribute cash to us and our ability to effectively manage the risk of our businesses and to borrow funds and </w:t>
      </w:r>
      <w:r>
        <w:rPr>
          <w:rFonts w:eastAsia="Times New Roman"/>
          <w:color w:val="000000"/>
          <w:sz w:val="20"/>
          <w:szCs w:val="20"/>
        </w:rPr>
        <w:t>raise capital to meet our operating and growth needs.</w:t>
      </w:r>
    </w:p>
    <w:p w:rsidR="00000000" w:rsidRDefault="005C524C">
      <w:pPr>
        <w:ind w:firstLine="360"/>
        <w:divId w:val="907040087"/>
        <w:rPr>
          <w:rFonts w:eastAsia="Times New Roman"/>
        </w:rPr>
      </w:pPr>
      <w:r>
        <w:rPr>
          <w:rFonts w:eastAsia="Times New Roman"/>
          <w:color w:val="000000"/>
          <w:sz w:val="20"/>
          <w:szCs w:val="20"/>
        </w:rPr>
        <w:t xml:space="preserve">Our Board and senior management are directly involved in the development of our capital management policies. Accordingly, capital actions, including proposed changes to the annual capital plan, capital </w:t>
      </w:r>
      <w:r>
        <w:rPr>
          <w:rFonts w:eastAsia="Times New Roman"/>
          <w:color w:val="000000"/>
          <w:sz w:val="20"/>
          <w:szCs w:val="20"/>
        </w:rPr>
        <w:t>targets and capital policies, are approved by the Board.</w:t>
      </w:r>
    </w:p>
    <w:p w:rsidR="00000000" w:rsidRDefault="005C524C">
      <w:pPr>
        <w:divId w:val="391076279"/>
        <w:rPr>
          <w:rFonts w:eastAsia="Times New Roman"/>
        </w:rPr>
      </w:pPr>
      <w:r>
        <w:rPr>
          <w:rFonts w:eastAsia="Times New Roman"/>
          <w:i/>
          <w:iCs/>
          <w:color w:val="000000"/>
          <w:sz w:val="20"/>
          <w:szCs w:val="20"/>
          <w:u w:val="single"/>
        </w:rPr>
        <w:t>Dividends Declared and Paid</w:t>
      </w:r>
    </w:p>
    <w:p w:rsidR="00000000" w:rsidRDefault="005C524C">
      <w:pPr>
        <w:ind w:firstLine="360"/>
        <w:divId w:val="1637174052"/>
        <w:rPr>
          <w:rFonts w:eastAsia="Times New Roman"/>
        </w:rPr>
      </w:pPr>
      <w:r>
        <w:rPr>
          <w:rFonts w:eastAsia="Times New Roman"/>
          <w:color w:val="000000"/>
          <w:sz w:val="20"/>
          <w:szCs w:val="20"/>
        </w:rPr>
        <w:t xml:space="preserve">The declaration and payment of future dividends is subject to the discretion of our Board of Directors and depends on our financial condition, results of operations, cash </w:t>
      </w:r>
      <w:r>
        <w:rPr>
          <w:rFonts w:eastAsia="Times New Roman"/>
          <w:color w:val="000000"/>
          <w:sz w:val="20"/>
          <w:szCs w:val="20"/>
        </w:rPr>
        <w:t>requirements, future prospects, regulatory restrictions on the payment of dividends by Holdings’ insurance subsidiaries and other factors deemed relevant by the Board. </w:t>
      </w:r>
    </w:p>
    <w:p w:rsidR="00000000" w:rsidRDefault="005C524C">
      <w:pPr>
        <w:jc w:val="center"/>
        <w:divId w:val="1144660592"/>
        <w:rPr>
          <w:rFonts w:eastAsia="Times New Roman"/>
        </w:rPr>
      </w:pPr>
      <w:r>
        <w:rPr>
          <w:rFonts w:eastAsia="Times New Roman"/>
          <w:color w:val="000000"/>
          <w:sz w:val="20"/>
          <w:szCs w:val="20"/>
        </w:rPr>
        <w:t>103</w:t>
      </w:r>
    </w:p>
    <w:p w:rsidR="00000000" w:rsidRDefault="005C524C">
      <w:pPr>
        <w:rPr>
          <w:rFonts w:eastAsia="Times New Roman"/>
        </w:rPr>
      </w:pPr>
      <w:r>
        <w:rPr>
          <w:rFonts w:eastAsia="Times New Roman"/>
        </w:rPr>
        <w:pict>
          <v:rect id="_x0000_i1129" style="width:0;height:1.5pt" o:hralign="center" o:hrstd="t" o:hr="t" fillcolor="#a0a0a0" stroked="f"/>
        </w:pict>
      </w:r>
    </w:p>
    <w:p w:rsidR="00000000" w:rsidRDefault="005C524C">
      <w:pPr>
        <w:divId w:val="32520826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1381052885"/>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 Series B and Series C Preferred Stock for the last proceeding dividend period. For additional information on ou</w:t>
      </w:r>
      <w:r>
        <w:rPr>
          <w:rFonts w:eastAsia="Times New Roman"/>
          <w:color w:val="000000"/>
          <w:sz w:val="20"/>
          <w:szCs w:val="20"/>
        </w:rPr>
        <w:t>r preferred stock, see “—Series A Preferred Stock, Series B Preferred Stock and Series C Preferred Stock”.</w:t>
      </w:r>
    </w:p>
    <w:p w:rsidR="00000000" w:rsidRDefault="005C524C">
      <w:pPr>
        <w:ind w:firstLine="360"/>
        <w:divId w:val="1170752990"/>
        <w:rPr>
          <w:rFonts w:eastAsia="Times New Roman"/>
        </w:rPr>
      </w:pPr>
      <w:r>
        <w:rPr>
          <w:rFonts w:eastAsia="Times New Roman"/>
          <w:color w:val="000000"/>
          <w:sz w:val="20"/>
          <w:szCs w:val="20"/>
        </w:rPr>
        <w:t>For information regarding activity pertaining to common and preferred dividends declared and paid, see Note 10 of the Notes to the Consolidated Finan</w:t>
      </w:r>
      <w:r>
        <w:rPr>
          <w:rFonts w:eastAsia="Times New Roman"/>
          <w:color w:val="000000"/>
          <w:sz w:val="20"/>
          <w:szCs w:val="20"/>
        </w:rPr>
        <w:t xml:space="preserve">cial Statements. </w:t>
      </w:r>
    </w:p>
    <w:p w:rsidR="00000000" w:rsidRDefault="005C524C">
      <w:pPr>
        <w:divId w:val="1970276413"/>
        <w:rPr>
          <w:rFonts w:eastAsia="Times New Roman"/>
        </w:rPr>
      </w:pPr>
      <w:r>
        <w:rPr>
          <w:rFonts w:eastAsia="Times New Roman"/>
          <w:i/>
          <w:iCs/>
          <w:color w:val="000000"/>
          <w:sz w:val="20"/>
          <w:szCs w:val="20"/>
          <w:u w:val="single"/>
        </w:rPr>
        <w:t>Share Repurchase Programs</w:t>
      </w:r>
    </w:p>
    <w:p w:rsidR="00000000" w:rsidRDefault="005C524C">
      <w:pPr>
        <w:ind w:firstLine="360"/>
        <w:divId w:val="341474552"/>
        <w:rPr>
          <w:rFonts w:eastAsia="Times New Roman"/>
        </w:rPr>
      </w:pPr>
      <w:r>
        <w:rPr>
          <w:rFonts w:eastAsia="Times New Roman"/>
          <w:color w:val="000000"/>
          <w:sz w:val="20"/>
          <w:szCs w:val="20"/>
        </w:rPr>
        <w:t>For information regarding activity pertaining to share repurchase programs, see Note 10 of the Notes to the Consolidated Financial Statements.</w:t>
      </w:r>
    </w:p>
    <w:p w:rsidR="00000000" w:rsidRDefault="005C524C">
      <w:pPr>
        <w:jc w:val="both"/>
        <w:divId w:val="1987783073"/>
        <w:rPr>
          <w:rFonts w:eastAsia="Times New Roman"/>
        </w:rPr>
      </w:pPr>
      <w:r>
        <w:rPr>
          <w:rFonts w:eastAsia="Times New Roman"/>
          <w:b/>
          <w:bCs/>
          <w:i/>
          <w:iCs/>
          <w:color w:val="000000"/>
          <w:sz w:val="20"/>
          <w:szCs w:val="20"/>
        </w:rPr>
        <w:t>Sources and Uses of Liquidity of Our Insurance Subsidiaries</w:t>
      </w:r>
    </w:p>
    <w:p w:rsidR="00000000" w:rsidRDefault="005C524C">
      <w:pPr>
        <w:ind w:firstLine="360"/>
        <w:divId w:val="600797241"/>
        <w:rPr>
          <w:rFonts w:eastAsia="Times New Roman"/>
        </w:rPr>
      </w:pPr>
      <w:r>
        <w:rPr>
          <w:rFonts w:eastAsia="Times New Roman"/>
          <w:color w:val="000000"/>
          <w:sz w:val="20"/>
          <w:szCs w:val="20"/>
        </w:rPr>
        <w:t>The princ</w:t>
      </w:r>
      <w:r>
        <w:rPr>
          <w:rFonts w:eastAsia="Times New Roman"/>
          <w:color w:val="000000"/>
          <w:sz w:val="20"/>
          <w:szCs w:val="20"/>
        </w:rPr>
        <w:t xml:space="preserve">ipal sources of liquidity for our insurance subsidiaries are premiums, investment and fee income, deposits associated with our insurance and annuity operations, cash and invested assets, as well as internal borrowings. The principal uses of that liquidity </w:t>
      </w:r>
      <w:r>
        <w:rPr>
          <w:rFonts w:eastAsia="Times New Roman"/>
          <w:color w:val="000000"/>
          <w:sz w:val="20"/>
          <w:szCs w:val="20"/>
        </w:rPr>
        <w:t>include benefits, claims and dividends paid to policyholders and payments to policyholders in connection with surrenders and withdrawals. Other uses of liquidity include commissions, general and administrative expenses, purchases of investments, the paymen</w:t>
      </w:r>
      <w:r>
        <w:rPr>
          <w:rFonts w:eastAsia="Times New Roman"/>
          <w:color w:val="000000"/>
          <w:sz w:val="20"/>
          <w:szCs w:val="20"/>
        </w:rPr>
        <w:t>t of dividends to Holdings and hedging activity. Certain of our insurance subsidiaries’ principal sources and uses of liquidity are described in the paragraphs that follow.</w:t>
      </w:r>
    </w:p>
    <w:p w:rsidR="00000000" w:rsidRDefault="005C524C">
      <w:pPr>
        <w:ind w:firstLine="360"/>
        <w:divId w:val="1651901852"/>
        <w:rPr>
          <w:rFonts w:eastAsia="Times New Roman"/>
        </w:rPr>
      </w:pPr>
      <w:r>
        <w:rPr>
          <w:rFonts w:eastAsia="Times New Roman"/>
          <w:color w:val="000000"/>
          <w:sz w:val="20"/>
          <w:szCs w:val="20"/>
        </w:rPr>
        <w:t>We manage the liquidity of our insurance subsidiaries with the objective of ensurin</w:t>
      </w:r>
      <w:r>
        <w:rPr>
          <w:rFonts w:eastAsia="Times New Roman"/>
          <w:color w:val="000000"/>
          <w:sz w:val="20"/>
          <w:szCs w:val="20"/>
        </w:rPr>
        <w:t xml:space="preserve">g that they can meet payment obligations linked to our Individual Retirement, Group Retirement and Protection Solutions businesses and to their outstanding debt and derivative positions, including in our hedging programs, without support from Holdings. We </w:t>
      </w:r>
      <w:r>
        <w:rPr>
          <w:rFonts w:eastAsia="Times New Roman"/>
          <w:color w:val="000000"/>
          <w:sz w:val="20"/>
          <w:szCs w:val="20"/>
        </w:rPr>
        <w:t>employ an asset/liability management approach specific to the requirements of each of our insurance businesses. We measure liquidity against internally-developed benchmarks that consider the characteristics of our asset portfolio and the liabilities that i</w:t>
      </w:r>
      <w:r>
        <w:rPr>
          <w:rFonts w:eastAsia="Times New Roman"/>
          <w:color w:val="000000"/>
          <w:sz w:val="20"/>
          <w:szCs w:val="20"/>
        </w:rPr>
        <w:t>t supports in both the short-term (the next 12 months) and long-term (beyond the next 12 months). We consider attributes of the various categories of our liquid assets (for example, type of asset and credit quality) in calculating internal liquidity indica</w:t>
      </w:r>
      <w:r>
        <w:rPr>
          <w:rFonts w:eastAsia="Times New Roman"/>
          <w:color w:val="000000"/>
          <w:sz w:val="20"/>
          <w:szCs w:val="20"/>
        </w:rPr>
        <w:t>tors for our insurance and reinsurance operations. Our liquidity benchmarks are established for various stress scenarios and durations, including company-specific and market-wide events. The scenarios we use to evaluate the liquidity of our subsidiaries ar</w:t>
      </w:r>
      <w:r>
        <w:rPr>
          <w:rFonts w:eastAsia="Times New Roman"/>
          <w:color w:val="000000"/>
          <w:sz w:val="20"/>
          <w:szCs w:val="20"/>
        </w:rPr>
        <w:t xml:space="preserve">e defined to allow operating entities to operate without support from Holdings. </w:t>
      </w:r>
    </w:p>
    <w:p w:rsidR="00000000" w:rsidRDefault="005C524C">
      <w:pPr>
        <w:divId w:val="907881294"/>
        <w:rPr>
          <w:rFonts w:eastAsia="Times New Roman"/>
        </w:rPr>
      </w:pPr>
      <w:r>
        <w:rPr>
          <w:rFonts w:eastAsia="Times New Roman"/>
          <w:i/>
          <w:iCs/>
          <w:color w:val="000000"/>
          <w:sz w:val="20"/>
          <w:szCs w:val="20"/>
          <w:u w:val="single"/>
        </w:rPr>
        <w:t>Liquid Assets</w:t>
      </w:r>
    </w:p>
    <w:p w:rsidR="00000000" w:rsidRDefault="005C524C">
      <w:pPr>
        <w:ind w:firstLine="360"/>
        <w:divId w:val="1715080649"/>
        <w:rPr>
          <w:rFonts w:eastAsia="Times New Roman"/>
        </w:rPr>
      </w:pPr>
      <w:r>
        <w:rPr>
          <w:rFonts w:eastAsia="Times New Roman"/>
          <w:color w:val="000000"/>
          <w:sz w:val="20"/>
          <w:szCs w:val="20"/>
        </w:rPr>
        <w:t>The investment portfolios of our insurance subsidiaries are a significant component of our overall liquidity. Liquid assets include cash and cash equivalents, sh</w:t>
      </w:r>
      <w:r>
        <w:rPr>
          <w:rFonts w:eastAsia="Times New Roman"/>
          <w:color w:val="000000"/>
          <w:sz w:val="20"/>
          <w:szCs w:val="20"/>
        </w:rPr>
        <w:t>ort-term investments, U.S. Treasury fixed maturities, fixed maturities that are not designated as HTM and public equity securities. We believe that our business operations and the liquidity profile of our assets provide sufficient liquidity under reasonabl</w:t>
      </w:r>
      <w:r>
        <w:rPr>
          <w:rFonts w:eastAsia="Times New Roman"/>
          <w:color w:val="000000"/>
          <w:sz w:val="20"/>
          <w:szCs w:val="20"/>
        </w:rPr>
        <w:t>y foreseeable stress scenarios for each of our insurance subsidiaries.</w:t>
      </w:r>
    </w:p>
    <w:p w:rsidR="00000000" w:rsidRDefault="005C524C">
      <w:pPr>
        <w:ind w:firstLine="360"/>
        <w:divId w:val="1672103668"/>
        <w:rPr>
          <w:rFonts w:eastAsia="Times New Roman"/>
        </w:rPr>
      </w:pPr>
      <w:r>
        <w:rPr>
          <w:rFonts w:eastAsia="Times New Roman"/>
          <w:color w:val="000000"/>
          <w:sz w:val="20"/>
          <w:szCs w:val="20"/>
        </w:rPr>
        <w:t>See “—General Account Investment Portfolio” and Note 3 and Note 4 of the Notes to the Consolidated Financial Statements for a description of our retirement and protection businesses’ po</w:t>
      </w:r>
      <w:r>
        <w:rPr>
          <w:rFonts w:eastAsia="Times New Roman"/>
          <w:color w:val="000000"/>
          <w:sz w:val="20"/>
          <w:szCs w:val="20"/>
        </w:rPr>
        <w:t>rtfolio of liquid assets.</w:t>
      </w:r>
    </w:p>
    <w:p w:rsidR="00000000" w:rsidRDefault="005C524C">
      <w:pPr>
        <w:divId w:val="529075785"/>
        <w:rPr>
          <w:rFonts w:eastAsia="Times New Roman"/>
        </w:rPr>
      </w:pPr>
      <w:r>
        <w:rPr>
          <w:rFonts w:eastAsia="Times New Roman"/>
          <w:i/>
          <w:iCs/>
          <w:color w:val="000000"/>
          <w:sz w:val="20"/>
          <w:szCs w:val="20"/>
          <w:u w:val="single"/>
        </w:rPr>
        <w:t>Hedging Activities</w:t>
      </w:r>
    </w:p>
    <w:p w:rsidR="00000000" w:rsidRDefault="005C524C">
      <w:pPr>
        <w:ind w:firstLine="360"/>
        <w:divId w:val="130951376"/>
        <w:rPr>
          <w:rFonts w:eastAsia="Times New Roman"/>
        </w:rPr>
      </w:pPr>
      <w:r>
        <w:rPr>
          <w:rFonts w:eastAsia="Times New Roman"/>
          <w:color w:val="000000"/>
          <w:sz w:val="20"/>
          <w:szCs w:val="20"/>
        </w:rPr>
        <w:t>Because the future claims exposure on our insurance products, and in particular our variable annuity products with GMxB features, is sensitive to movements in the equity markets and interest rates, we have in pl</w:t>
      </w:r>
      <w:r>
        <w:rPr>
          <w:rFonts w:eastAsia="Times New Roman"/>
          <w:color w:val="000000"/>
          <w:sz w:val="20"/>
          <w:szCs w:val="20"/>
        </w:rPr>
        <w:t>ace various hedging and reinsurance programs that are designed to mitigate the economic risks of movements in the equity markets and interest rates. We use derivatives as part of our overall asset/liability risk management program primarily to reduce expos</w:t>
      </w:r>
      <w:r>
        <w:rPr>
          <w:rFonts w:eastAsia="Times New Roman"/>
          <w:color w:val="000000"/>
          <w:sz w:val="20"/>
          <w:szCs w:val="20"/>
        </w:rPr>
        <w:t>ures to equity market and interest rate risks. In addition, we use credit derivatives to replicate exposure to individual securities or pools of securities as a means of achieving credit exposure similar to bonds of the underlying issuer(s) more efficientl</w:t>
      </w:r>
      <w:r>
        <w:rPr>
          <w:rFonts w:eastAsia="Times New Roman"/>
          <w:color w:val="000000"/>
          <w:sz w:val="20"/>
          <w:szCs w:val="20"/>
        </w:rPr>
        <w:t xml:space="preserve">y. The derivative contracts are an integral part of our risk management program, especially for the management of our variable annuities program, and are collectively managed to reduce the economic impact of unfavorable movements in capital markets. These </w:t>
      </w:r>
      <w:r>
        <w:rPr>
          <w:rFonts w:eastAsia="Times New Roman"/>
          <w:color w:val="000000"/>
          <w:sz w:val="20"/>
          <w:szCs w:val="20"/>
        </w:rPr>
        <w:t>derivative transactions require liquidity to meet payment obligations such as payments for periodic settlements, purchases, maturities and terminations as well as liquid assets pledged as collateral related to any decline in the net estimated fair value. C</w:t>
      </w:r>
      <w:r>
        <w:rPr>
          <w:rFonts w:eastAsia="Times New Roman"/>
          <w:color w:val="000000"/>
          <w:sz w:val="20"/>
          <w:szCs w:val="20"/>
        </w:rPr>
        <w:t>ollateral calls represent one of our biggest drivers for liquidity needs for our insurance subsidiaries. Our derivatives contracts reside primarily within Equitable Financial, which has a significantly large investment portfolio.</w:t>
      </w:r>
    </w:p>
    <w:p w:rsidR="00000000" w:rsidRDefault="005C524C">
      <w:pPr>
        <w:divId w:val="1342467476"/>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5C524C">
      <w:pPr>
        <w:ind w:firstLine="360"/>
        <w:divId w:val="1806777567"/>
        <w:rPr>
          <w:rFonts w:eastAsia="Times New Roman"/>
        </w:rPr>
      </w:pPr>
      <w:r>
        <w:rPr>
          <w:rFonts w:eastAsia="Times New Roman"/>
          <w:color w:val="000000"/>
          <w:sz w:val="20"/>
          <w:szCs w:val="20"/>
        </w:rPr>
        <w:t xml:space="preserve">Equitable Financial and Equitable America are members of the FHLB, which provides access to collateralized borrowings and other FHLB products. </w:t>
      </w:r>
    </w:p>
    <w:p w:rsidR="00000000" w:rsidRDefault="005C524C">
      <w:pPr>
        <w:jc w:val="center"/>
        <w:divId w:val="1665620977"/>
        <w:rPr>
          <w:rFonts w:eastAsia="Times New Roman"/>
        </w:rPr>
      </w:pPr>
      <w:r>
        <w:rPr>
          <w:rFonts w:eastAsia="Times New Roman"/>
          <w:color w:val="000000"/>
          <w:sz w:val="20"/>
          <w:szCs w:val="20"/>
        </w:rPr>
        <w:t>104</w:t>
      </w:r>
    </w:p>
    <w:p w:rsidR="00000000" w:rsidRDefault="005C524C">
      <w:pPr>
        <w:rPr>
          <w:rFonts w:eastAsia="Times New Roman"/>
        </w:rPr>
      </w:pPr>
      <w:r>
        <w:rPr>
          <w:rFonts w:eastAsia="Times New Roman"/>
        </w:rPr>
        <w:pict>
          <v:rect id="_x0000_i1130" style="width:0;height:1.5pt" o:hralign="center" o:hrstd="t" o:hr="t" fillcolor="#a0a0a0" stroked="f"/>
        </w:pict>
      </w:r>
    </w:p>
    <w:p w:rsidR="00000000" w:rsidRDefault="005C524C">
      <w:pPr>
        <w:divId w:val="97040700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744377853"/>
        <w:rPr>
          <w:rFonts w:eastAsia="Times New Roman"/>
        </w:rPr>
      </w:pPr>
      <w:r>
        <w:rPr>
          <w:rFonts w:eastAsia="Times New Roman"/>
          <w:color w:val="000000"/>
          <w:sz w:val="20"/>
          <w:szCs w:val="20"/>
        </w:rPr>
        <w:t xml:space="preserve">See Note 12 of the Notes to the Consolidated Financial Statements for further description of our FHLB program. </w:t>
      </w:r>
    </w:p>
    <w:p w:rsidR="00000000" w:rsidRDefault="005C524C">
      <w:pPr>
        <w:divId w:val="37243232"/>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rsidR="00000000" w:rsidRDefault="005C524C">
      <w:pPr>
        <w:ind w:firstLine="360"/>
        <w:divId w:val="167453578"/>
        <w:rPr>
          <w:rFonts w:eastAsia="Times New Roman"/>
        </w:rPr>
      </w:pPr>
      <w:r>
        <w:rPr>
          <w:rFonts w:eastAsia="Times New Roman"/>
          <w:color w:val="000000"/>
          <w:sz w:val="20"/>
          <w:szCs w:val="20"/>
        </w:rPr>
        <w:t>Under the FABN program, Equitable Financial may issue funding agreements in U.S. dollar or other foreign currencies</w:t>
      </w:r>
      <w:r>
        <w:rPr>
          <w:rFonts w:eastAsia="Times New Roman"/>
          <w:color w:val="000000"/>
          <w:sz w:val="20"/>
          <w:szCs w:val="20"/>
        </w:rPr>
        <w:t>.</w:t>
      </w:r>
    </w:p>
    <w:p w:rsidR="00000000" w:rsidRDefault="005C524C">
      <w:pPr>
        <w:ind w:firstLine="360"/>
        <w:divId w:val="136186967"/>
        <w:rPr>
          <w:rFonts w:eastAsia="Times New Roman"/>
        </w:rPr>
      </w:pPr>
      <w:r>
        <w:rPr>
          <w:rFonts w:eastAsia="Times New Roman"/>
          <w:color w:val="000000"/>
          <w:sz w:val="20"/>
          <w:szCs w:val="20"/>
        </w:rPr>
        <w:t xml:space="preserve">See Note 12 of the Notes to the Consolidated Financial Statements for further description of our FABN program. </w:t>
      </w:r>
    </w:p>
    <w:p w:rsidR="00000000" w:rsidRDefault="005C524C">
      <w:pPr>
        <w:divId w:val="2093354264"/>
        <w:rPr>
          <w:rFonts w:eastAsia="Times New Roman"/>
        </w:rPr>
      </w:pPr>
      <w:r>
        <w:rPr>
          <w:rFonts w:eastAsia="Times New Roman"/>
          <w:b/>
          <w:bCs/>
          <w:color w:val="000000"/>
          <w:sz w:val="20"/>
          <w:szCs w:val="20"/>
        </w:rPr>
        <w:t>Sources and Uses of Liquidity of our Investment Management and Research Segment</w:t>
      </w:r>
    </w:p>
    <w:p w:rsidR="00000000" w:rsidRDefault="005C524C">
      <w:pPr>
        <w:ind w:firstLine="360"/>
        <w:divId w:val="1591620849"/>
        <w:rPr>
          <w:rFonts w:eastAsia="Times New Roman"/>
        </w:rPr>
      </w:pPr>
      <w:r>
        <w:rPr>
          <w:rFonts w:eastAsia="Times New Roman"/>
          <w:color w:val="000000"/>
          <w:sz w:val="20"/>
          <w:szCs w:val="20"/>
        </w:rPr>
        <w:t>The principal sources of liquidity for our Investment Management and Research business include investment management fees and borrowings under its credit facilities and commercial paper program. The principal uses of liquidity include general and administr</w:t>
      </w:r>
      <w:r>
        <w:rPr>
          <w:rFonts w:eastAsia="Times New Roman"/>
          <w:color w:val="000000"/>
          <w:sz w:val="20"/>
          <w:szCs w:val="20"/>
        </w:rPr>
        <w:t>ative expenses, business financing and distributions to holders of AB Units and AB Holding Units plus interest and debt service. The primary liquidity risk for our fee-based Investment Management and Research business is its profitability, which is impacte</w:t>
      </w:r>
      <w:r>
        <w:rPr>
          <w:rFonts w:eastAsia="Times New Roman"/>
          <w:color w:val="000000"/>
          <w:sz w:val="20"/>
          <w:szCs w:val="20"/>
        </w:rPr>
        <w:t>d by market conditions and our investment management performance.</w:t>
      </w:r>
    </w:p>
    <w:p w:rsidR="00000000" w:rsidRDefault="005C524C">
      <w:pPr>
        <w:divId w:val="354160709"/>
        <w:rPr>
          <w:rFonts w:eastAsia="Times New Roman"/>
        </w:rPr>
      </w:pPr>
      <w:r>
        <w:rPr>
          <w:rFonts w:eastAsia="Times New Roman"/>
          <w:i/>
          <w:iCs/>
          <w:color w:val="000000"/>
          <w:sz w:val="20"/>
          <w:szCs w:val="20"/>
          <w:u w:val="single"/>
        </w:rPr>
        <w:t>AB Commercial Paper</w:t>
      </w:r>
    </w:p>
    <w:p w:rsidR="00000000" w:rsidRDefault="005C524C">
      <w:pPr>
        <w:ind w:firstLine="360"/>
        <w:divId w:val="974142490"/>
        <w:rPr>
          <w:rFonts w:eastAsia="Times New Roman"/>
        </w:rPr>
      </w:pPr>
      <w:r>
        <w:rPr>
          <w:rFonts w:eastAsia="Times New Roman"/>
          <w:color w:val="000000"/>
          <w:sz w:val="20"/>
          <w:szCs w:val="20"/>
        </w:rPr>
        <w:t xml:space="preserve">As of June 30, 2022 and December 31, 2021, AB had no commercial paper outstanding. The commercial paper is short term in nature, and as such, recorded value is estimated </w:t>
      </w:r>
      <w:r>
        <w:rPr>
          <w:rFonts w:eastAsia="Times New Roman"/>
          <w:color w:val="000000"/>
          <w:sz w:val="20"/>
          <w:szCs w:val="20"/>
        </w:rPr>
        <w:t>to approximate fair value (and considered a Level 2 security in the fair value hierarchy). Average daily borrowings for the commercial paper outstanding during the first six months of 2022 and full year 2021 were $230 million and $157 million, respectively</w:t>
      </w:r>
      <w:r>
        <w:rPr>
          <w:rFonts w:eastAsia="Times New Roman"/>
          <w:color w:val="000000"/>
          <w:sz w:val="20"/>
          <w:szCs w:val="20"/>
        </w:rPr>
        <w:t>, with weighted average interest rates of approximately 0.5% and 0.2%, respectively.</w:t>
      </w:r>
    </w:p>
    <w:p w:rsidR="00000000" w:rsidRDefault="005C524C">
      <w:pPr>
        <w:divId w:val="1128820437"/>
        <w:rPr>
          <w:rFonts w:eastAsia="Times New Roman"/>
        </w:rPr>
      </w:pPr>
      <w:r>
        <w:rPr>
          <w:rFonts w:eastAsia="Times New Roman"/>
          <w:i/>
          <w:iCs/>
          <w:color w:val="000000"/>
          <w:sz w:val="20"/>
          <w:szCs w:val="20"/>
          <w:u w:val="single"/>
        </w:rPr>
        <w:t>AB Revolver Credit Facility</w:t>
      </w:r>
    </w:p>
    <w:p w:rsidR="00000000" w:rsidRDefault="005C524C">
      <w:pPr>
        <w:ind w:firstLine="360"/>
        <w:divId w:val="395786278"/>
        <w:rPr>
          <w:rFonts w:eastAsia="Times New Roman"/>
        </w:rPr>
      </w:pPr>
      <w:r>
        <w:rPr>
          <w:rFonts w:eastAsia="Times New Roman"/>
          <w:color w:val="000000"/>
          <w:sz w:val="20"/>
          <w:szCs w:val="20"/>
        </w:rPr>
        <w:t>AB had a $200 million committed, unsecured senior revolving credit facility (the "AB Revolver") with a leading international bank, which mature</w:t>
      </w:r>
      <w:r>
        <w:rPr>
          <w:rFonts w:eastAsia="Times New Roman"/>
          <w:color w:val="000000"/>
          <w:sz w:val="20"/>
          <w:szCs w:val="20"/>
        </w:rPr>
        <w:t>d on November 16, 2021. Average daily borrowings for the full year 2021 were $13 million with a weighted average interest rate of 1.1%, respectively.</w:t>
      </w:r>
    </w:p>
    <w:p w:rsidR="00000000" w:rsidRDefault="005C524C">
      <w:pPr>
        <w:jc w:val="both"/>
        <w:divId w:val="471678397"/>
        <w:rPr>
          <w:rFonts w:eastAsia="Times New Roman"/>
        </w:rPr>
      </w:pPr>
      <w:r>
        <w:rPr>
          <w:rFonts w:eastAsia="Times New Roman"/>
          <w:b/>
          <w:bCs/>
          <w:i/>
          <w:iCs/>
          <w:color w:val="000000"/>
          <w:sz w:val="20"/>
          <w:szCs w:val="20"/>
        </w:rPr>
        <w:t>AB Credit Facility</w:t>
      </w:r>
    </w:p>
    <w:p w:rsidR="00000000" w:rsidRDefault="005C524C">
      <w:pPr>
        <w:ind w:firstLine="360"/>
        <w:divId w:val="161438192"/>
        <w:rPr>
          <w:rFonts w:eastAsia="Times New Roman"/>
        </w:rPr>
      </w:pPr>
      <w:r>
        <w:rPr>
          <w:rFonts w:eastAsia="Times New Roman"/>
          <w:color w:val="000000"/>
          <w:sz w:val="20"/>
          <w:szCs w:val="20"/>
        </w:rPr>
        <w:t>AB has a $800 million committed, unsecured senior revolving credit facility (the “AB Cr</w:t>
      </w:r>
      <w:r>
        <w:rPr>
          <w:rFonts w:eastAsia="Times New Roman"/>
          <w:color w:val="000000"/>
          <w:sz w:val="20"/>
          <w:szCs w:val="20"/>
        </w:rPr>
        <w:t>edit Facility”) with a group of commercial banks and other lenders which matures on October 13, 2026. The credit facility provides for possible increases in the principal amount by up to an aggregate incremental amount of $200 million. Any such increase is</w:t>
      </w:r>
      <w:r>
        <w:rPr>
          <w:rFonts w:eastAsia="Times New Roman"/>
          <w:color w:val="000000"/>
          <w:sz w:val="20"/>
          <w:szCs w:val="20"/>
        </w:rPr>
        <w:t xml:space="preserve"> subject to the consent of the affected lenders. The AB Credit Facility is available for AB and SCB LLC for business purposes, including the support of AB’s commercial paper program. Both AB and SCB LLC can draw directly under the AB Credit Facility and AB</w:t>
      </w:r>
      <w:r>
        <w:rPr>
          <w:rFonts w:eastAsia="Times New Roman"/>
          <w:color w:val="000000"/>
          <w:sz w:val="20"/>
          <w:szCs w:val="20"/>
        </w:rPr>
        <w:t xml:space="preserve"> management expects to draw on the AB Credit Facility from time to time. AB has agreed to guarantee the obligations of SCB LLC under the AB Credit Facility.</w:t>
      </w:r>
    </w:p>
    <w:p w:rsidR="00000000" w:rsidRDefault="005C524C">
      <w:pPr>
        <w:ind w:firstLine="360"/>
        <w:divId w:val="1785343929"/>
        <w:rPr>
          <w:rFonts w:eastAsia="Times New Roman"/>
        </w:rPr>
      </w:pPr>
      <w:r>
        <w:rPr>
          <w:rFonts w:eastAsia="Times New Roman"/>
          <w:color w:val="000000"/>
          <w:sz w:val="20"/>
          <w:szCs w:val="20"/>
        </w:rPr>
        <w:t xml:space="preserve">The AB Credit Facility contains affirmative, negative and financial covenants, which are customary </w:t>
      </w:r>
      <w:r>
        <w:rPr>
          <w:rFonts w:eastAsia="Times New Roman"/>
          <w:color w:val="000000"/>
          <w:sz w:val="20"/>
          <w:szCs w:val="20"/>
        </w:rPr>
        <w:t>for facilities of this type, including, among other things, restrictions on dispositions of assets, restrictions on liens, a minimum interest coverage ratio and a maximum leverage ratio. As of June 30, 2022, AB was in compliance with these covenants. The A</w:t>
      </w:r>
      <w:r>
        <w:rPr>
          <w:rFonts w:eastAsia="Times New Roman"/>
          <w:color w:val="000000"/>
          <w:sz w:val="20"/>
          <w:szCs w:val="20"/>
        </w:rPr>
        <w:t>B Credit Facility also includes customary events of default (with customary grace periods, as applicable), including provisions under which, upon the occurrence of an event of default, all outstanding loans may be accelerated and/or lender’s commitments ma</w:t>
      </w:r>
      <w:r>
        <w:rPr>
          <w:rFonts w:eastAsia="Times New Roman"/>
          <w:color w:val="000000"/>
          <w:sz w:val="20"/>
          <w:szCs w:val="20"/>
        </w:rPr>
        <w:t>y be terminated. Also, under such provisions, upon the occurrence of certain insolvency- or bankruptcy-related events of default, all amounts payable under the AB Credit Facility would automatically become immediately due and payable, and the lender’s comm</w:t>
      </w:r>
      <w:r>
        <w:rPr>
          <w:rFonts w:eastAsia="Times New Roman"/>
          <w:color w:val="000000"/>
          <w:sz w:val="20"/>
          <w:szCs w:val="20"/>
        </w:rPr>
        <w:t>itments would automatically terminate.</w:t>
      </w:r>
    </w:p>
    <w:p w:rsidR="00000000" w:rsidRDefault="005C524C">
      <w:pPr>
        <w:ind w:firstLine="360"/>
        <w:divId w:val="1949004844"/>
        <w:rPr>
          <w:rFonts w:eastAsia="Times New Roman"/>
        </w:rPr>
      </w:pPr>
      <w:r>
        <w:rPr>
          <w:rFonts w:eastAsia="Times New Roman"/>
          <w:color w:val="000000"/>
          <w:sz w:val="20"/>
          <w:szCs w:val="20"/>
        </w:rPr>
        <w:t>Amounts under the Credit Facility may be borrowed, repaid and re-borrowed by us from time to time until the maturity of the facility. Voluntary prepayments and commitment reductions requested by AB are permitted at an</w:t>
      </w:r>
      <w:r>
        <w:rPr>
          <w:rFonts w:eastAsia="Times New Roman"/>
          <w:color w:val="000000"/>
          <w:sz w:val="20"/>
          <w:szCs w:val="20"/>
        </w:rPr>
        <w:t>y time without a fee (other than customary breakage costs relating to the prepayment of any drawn loans) upon proper notice and subject to a minimum dollar requirement. Borrowings under the AB Credit Facility bear interest at a rate per annum, which will b</w:t>
      </w:r>
      <w:r>
        <w:rPr>
          <w:rFonts w:eastAsia="Times New Roman"/>
          <w:color w:val="000000"/>
          <w:sz w:val="20"/>
          <w:szCs w:val="20"/>
        </w:rPr>
        <w:t>e, at AB’s option, a rate equal to an applicable margin, which is subject to adjustment based on the credit ratings of AB, plus one of the following indices: LIBOR; a floating base rate; or the Federal Funds rate.</w:t>
      </w:r>
    </w:p>
    <w:p w:rsidR="00000000" w:rsidRDefault="005C524C">
      <w:pPr>
        <w:ind w:firstLine="360"/>
        <w:divId w:val="1483621081"/>
        <w:rPr>
          <w:rFonts w:eastAsia="Times New Roman"/>
        </w:rPr>
      </w:pPr>
      <w:r>
        <w:rPr>
          <w:rFonts w:eastAsia="Times New Roman"/>
          <w:color w:val="000000"/>
          <w:sz w:val="20"/>
          <w:szCs w:val="20"/>
        </w:rPr>
        <w:t>As of June 30, 2022 and December 31, 2021,</w:t>
      </w:r>
      <w:r>
        <w:rPr>
          <w:rFonts w:eastAsia="Times New Roman"/>
          <w:color w:val="000000"/>
          <w:sz w:val="20"/>
          <w:szCs w:val="20"/>
        </w:rPr>
        <w:t xml:space="preserve"> AB had no amounts outstanding under the AB Credit Facility. During the periods ended June 30, 2022 and December 31, 2021, AB and SCB LLC did not draw upon the AB Credit Facility.</w:t>
      </w:r>
    </w:p>
    <w:p w:rsidR="00000000" w:rsidRDefault="005C524C">
      <w:pPr>
        <w:jc w:val="center"/>
        <w:divId w:val="177276142"/>
        <w:rPr>
          <w:rFonts w:eastAsia="Times New Roman"/>
        </w:rPr>
      </w:pPr>
      <w:r>
        <w:rPr>
          <w:rFonts w:eastAsia="Times New Roman"/>
          <w:color w:val="000000"/>
          <w:sz w:val="20"/>
          <w:szCs w:val="20"/>
        </w:rPr>
        <w:t>105</w:t>
      </w:r>
    </w:p>
    <w:p w:rsidR="00000000" w:rsidRDefault="005C524C">
      <w:pPr>
        <w:rPr>
          <w:rFonts w:eastAsia="Times New Roman"/>
        </w:rPr>
      </w:pPr>
      <w:r>
        <w:rPr>
          <w:rFonts w:eastAsia="Times New Roman"/>
        </w:rPr>
        <w:pict>
          <v:rect id="_x0000_i1131" style="width:0;height:1.5pt" o:hralign="center" o:hrstd="t" o:hr="t" fillcolor="#a0a0a0" stroked="f"/>
        </w:pict>
      </w:r>
    </w:p>
    <w:p w:rsidR="00000000" w:rsidRDefault="005C524C">
      <w:pPr>
        <w:divId w:val="346710792"/>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1646542841"/>
        <w:rPr>
          <w:rFonts w:eastAsia="Times New Roman"/>
        </w:rPr>
      </w:pPr>
      <w:r>
        <w:rPr>
          <w:rFonts w:eastAsia="Times New Roman"/>
          <w:color w:val="000000"/>
          <w:sz w:val="20"/>
          <w:szCs w:val="20"/>
        </w:rPr>
        <w:t>In addition, SCB LLC currently has five uncommitted lines of credit with five financial institutions. Four of these lines of credit permit borrowing up to an aggregate of approximately $315 million, with AB named as</w:t>
      </w:r>
      <w:r>
        <w:rPr>
          <w:rFonts w:eastAsia="Times New Roman"/>
          <w:color w:val="000000"/>
          <w:sz w:val="20"/>
          <w:szCs w:val="20"/>
        </w:rPr>
        <w:t xml:space="preserve"> an additional borrower, while the other line has no stated limit. As of June 30, 2022 and December 31, 2021, SCB LLC had no outstanding balance on these lines of credit. Average daily borrowings during the first six months of 2022 and the full year 2021 w</w:t>
      </w:r>
      <w:r>
        <w:rPr>
          <w:rFonts w:eastAsia="Times New Roman"/>
          <w:color w:val="000000"/>
          <w:sz w:val="20"/>
          <w:szCs w:val="20"/>
        </w:rPr>
        <w:t>ere $1.4 million and $47 thousand with weighted average interest rates of approximately 0.8% and 0.9%, respectively.</w:t>
      </w:r>
    </w:p>
    <w:p w:rsidR="00000000" w:rsidRDefault="005C524C">
      <w:pPr>
        <w:jc w:val="both"/>
        <w:divId w:val="1113328934"/>
        <w:rPr>
          <w:rFonts w:eastAsia="Times New Roman"/>
        </w:rPr>
      </w:pPr>
      <w:r>
        <w:rPr>
          <w:rFonts w:eastAsia="Times New Roman"/>
          <w:b/>
          <w:bCs/>
          <w:i/>
          <w:iCs/>
          <w:color w:val="000000"/>
          <w:sz w:val="20"/>
          <w:szCs w:val="20"/>
        </w:rPr>
        <w:t>EQH Facility</w:t>
      </w:r>
    </w:p>
    <w:p w:rsidR="00000000" w:rsidRDefault="005C524C">
      <w:pPr>
        <w:ind w:firstLine="360"/>
        <w:divId w:val="1913159272"/>
        <w:rPr>
          <w:rFonts w:eastAsia="Times New Roman"/>
        </w:rPr>
      </w:pPr>
      <w:r>
        <w:rPr>
          <w:rFonts w:eastAsia="Times New Roman"/>
          <w:color w:val="000000"/>
          <w:sz w:val="20"/>
          <w:szCs w:val="20"/>
        </w:rPr>
        <w:t>AB has a $900 million committed, unsecured senior credit facility (the “EQH Facility”). The EQH Facility matures on November 4</w:t>
      </w:r>
      <w:r>
        <w:rPr>
          <w:rFonts w:eastAsia="Times New Roman"/>
          <w:color w:val="000000"/>
          <w:sz w:val="20"/>
          <w:szCs w:val="20"/>
        </w:rPr>
        <w:t>, 2024 and is available for AB’s general business purposes. Borrowings under the EQH Facility generally bear interest at a rate per annum based on prevailing overnight commercial paper rates.</w:t>
      </w:r>
    </w:p>
    <w:p w:rsidR="00000000" w:rsidRDefault="005C524C">
      <w:pPr>
        <w:ind w:firstLine="360"/>
        <w:divId w:val="325287548"/>
        <w:rPr>
          <w:rFonts w:eastAsia="Times New Roman"/>
        </w:rPr>
      </w:pPr>
      <w:r>
        <w:rPr>
          <w:rFonts w:eastAsia="Times New Roman"/>
          <w:color w:val="000000"/>
          <w:sz w:val="20"/>
          <w:szCs w:val="20"/>
        </w:rPr>
        <w:t>The EQH Facility contains affirmative, negative and financial co</w:t>
      </w:r>
      <w:r>
        <w:rPr>
          <w:rFonts w:eastAsia="Times New Roman"/>
          <w:color w:val="000000"/>
          <w:sz w:val="20"/>
          <w:szCs w:val="20"/>
        </w:rPr>
        <w:t>venants which are substantially similar to those in AB’s committed bank facilities. The EQH Facility also includes customary events of default substantially similar to those in AB’s committed bank facilities, including provisions under which, upon the occu</w:t>
      </w:r>
      <w:r>
        <w:rPr>
          <w:rFonts w:eastAsia="Times New Roman"/>
          <w:color w:val="000000"/>
          <w:sz w:val="20"/>
          <w:szCs w:val="20"/>
        </w:rPr>
        <w:t xml:space="preserve">rrence of an event of default, all outstanding loans may be accelerated and/or the lender’s commitment may be terminated. </w:t>
      </w:r>
    </w:p>
    <w:p w:rsidR="00000000" w:rsidRDefault="005C524C">
      <w:pPr>
        <w:ind w:firstLine="360"/>
        <w:divId w:val="63378308"/>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 at any time without penalty upon proper notice. Holdings also may termi</w:t>
      </w:r>
      <w:r>
        <w:rPr>
          <w:rFonts w:eastAsia="Times New Roman"/>
          <w:color w:val="000000"/>
          <w:sz w:val="20"/>
          <w:szCs w:val="20"/>
        </w:rPr>
        <w:t xml:space="preserve">nate the facility immediately upon a change of control of AB’s general partner. </w:t>
      </w:r>
    </w:p>
    <w:p w:rsidR="00000000" w:rsidRDefault="005C524C">
      <w:pPr>
        <w:ind w:firstLine="360"/>
        <w:divId w:val="1318921165"/>
        <w:rPr>
          <w:rFonts w:eastAsia="Times New Roman"/>
        </w:rPr>
      </w:pPr>
      <w:r>
        <w:rPr>
          <w:rFonts w:eastAsia="Times New Roman"/>
          <w:color w:val="000000"/>
          <w:sz w:val="20"/>
          <w:szCs w:val="20"/>
        </w:rPr>
        <w:t>As of June 30, 2022 and December 31, 2021, AB had $800 million and $755 million outstanding under the EQH Facility, with interest rates of approximately 1.5% and 0.2%, respect</w:t>
      </w:r>
      <w:r>
        <w:rPr>
          <w:rFonts w:eastAsia="Times New Roman"/>
          <w:color w:val="000000"/>
          <w:sz w:val="20"/>
          <w:szCs w:val="20"/>
        </w:rPr>
        <w:t>ively. Average daily borrowing of the EQH Facility during the first six months of 2022 and the full year 2021 were $657 million and $405 million, respectively, with a weighted average interest rates of approximately 0.5% and 0.2%, respectively.</w:t>
      </w:r>
    </w:p>
    <w:p w:rsidR="00000000" w:rsidRDefault="005C524C">
      <w:pPr>
        <w:divId w:val="238685095"/>
        <w:rPr>
          <w:rFonts w:eastAsia="Times New Roman"/>
        </w:rPr>
      </w:pPr>
      <w:r>
        <w:rPr>
          <w:rFonts w:eastAsia="Times New Roman"/>
          <w:b/>
          <w:bCs/>
          <w:i/>
          <w:iCs/>
          <w:color w:val="000000"/>
          <w:sz w:val="20"/>
          <w:szCs w:val="20"/>
        </w:rPr>
        <w:t>EQH Uncommi</w:t>
      </w:r>
      <w:r>
        <w:rPr>
          <w:rFonts w:eastAsia="Times New Roman"/>
          <w:b/>
          <w:bCs/>
          <w:i/>
          <w:iCs/>
          <w:color w:val="000000"/>
          <w:sz w:val="20"/>
          <w:szCs w:val="20"/>
        </w:rPr>
        <w:t>tted Facility</w:t>
      </w:r>
    </w:p>
    <w:p w:rsidR="00000000" w:rsidRDefault="005C524C">
      <w:pPr>
        <w:ind w:firstLine="360"/>
        <w:divId w:val="147214799"/>
        <w:rPr>
          <w:rFonts w:eastAsia="Times New Roman"/>
        </w:rPr>
      </w:pPr>
      <w:r>
        <w:rPr>
          <w:rFonts w:eastAsia="Times New Roman"/>
          <w:color w:val="000000"/>
          <w:sz w:val="20"/>
          <w:szCs w:val="20"/>
        </w:rPr>
        <w:t>In addition to the EQH Facility, AB entered into a $300 million uncommitted, unsecured senior credit facility (the “EQH Uncommitted Facility”) with EQH. The EQH Uncommitted Facility matures on September 1, 2024 and is available for AB’s gener</w:t>
      </w:r>
      <w:r>
        <w:rPr>
          <w:rFonts w:eastAsia="Times New Roman"/>
          <w:color w:val="000000"/>
          <w:sz w:val="20"/>
          <w:szCs w:val="20"/>
        </w:rPr>
        <w:t>al business purposes. Borrowings under the EQH Uncommitted Facility bear generally interest at a rate per annum based on prevailing overnight commercial paper rates. The EQH Uncommitted Facility contains affirmative, negative and financial covenants, which</w:t>
      </w:r>
      <w:r>
        <w:rPr>
          <w:rFonts w:eastAsia="Times New Roman"/>
          <w:color w:val="000000"/>
          <w:sz w:val="20"/>
          <w:szCs w:val="20"/>
        </w:rPr>
        <w:t xml:space="preserve"> are substantially similar to those in the EQH Facility.</w:t>
      </w:r>
    </w:p>
    <w:p w:rsidR="00000000" w:rsidRDefault="005C524C">
      <w:pPr>
        <w:ind w:firstLine="360"/>
        <w:divId w:val="236594159"/>
        <w:rPr>
          <w:rFonts w:eastAsia="Times New Roman"/>
        </w:rPr>
      </w:pPr>
      <w:r>
        <w:rPr>
          <w:rFonts w:eastAsia="Times New Roman"/>
          <w:color w:val="000000"/>
          <w:sz w:val="20"/>
          <w:szCs w:val="20"/>
        </w:rPr>
        <w:t>As of June 30, 2022 and December 31, 2021, AB had no outstanding balance on the EQH Uncommitted Facility and has not drawn upon the facility since its inception.</w:t>
      </w:r>
    </w:p>
    <w:p w:rsidR="00000000" w:rsidRDefault="005C524C">
      <w:pPr>
        <w:divId w:val="659962886"/>
        <w:rPr>
          <w:rFonts w:eastAsia="Times New Roman"/>
        </w:rPr>
      </w:pPr>
      <w:r>
        <w:rPr>
          <w:rFonts w:eastAsia="Times New Roman"/>
          <w:b/>
          <w:bCs/>
          <w:color w:val="000000"/>
          <w:sz w:val="20"/>
          <w:szCs w:val="20"/>
        </w:rPr>
        <w:t>Statutory Capital of Our Insurance Su</w:t>
      </w:r>
      <w:r>
        <w:rPr>
          <w:rFonts w:eastAsia="Times New Roman"/>
          <w:b/>
          <w:bCs/>
          <w:color w:val="000000"/>
          <w:sz w:val="20"/>
          <w:szCs w:val="20"/>
        </w:rPr>
        <w:t>bsidiaries</w:t>
      </w:r>
    </w:p>
    <w:p w:rsidR="00000000" w:rsidRDefault="005C524C">
      <w:pPr>
        <w:ind w:firstLine="360"/>
        <w:divId w:val="1172451909"/>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5C524C">
      <w:pPr>
        <w:ind w:firstLine="360"/>
        <w:divId w:val="651955553"/>
        <w:rPr>
          <w:rFonts w:eastAsia="Times New Roman"/>
        </w:rPr>
      </w:pPr>
      <w:r>
        <w:rPr>
          <w:rFonts w:eastAsia="Times New Roman"/>
          <w:color w:val="000000"/>
          <w:sz w:val="20"/>
          <w:szCs w:val="20"/>
        </w:rPr>
        <w:t>RBC requirements are used as minimum capital requirements by the NAIC and</w:t>
      </w:r>
      <w:r>
        <w:rPr>
          <w:rFonts w:eastAsia="Times New Roman"/>
          <w:color w:val="000000"/>
          <w:sz w:val="20"/>
          <w:szCs w:val="20"/>
        </w:rPr>
        <w:t xml:space="preserve"> the state insurance departments to evaluate the capital condition of regulated insurance companies. RBC is based on a formula calculated by applying factors to various asset, premium, claim, expense and statutory reserve items. The formula takes into acco</w:t>
      </w:r>
      <w:r>
        <w:rPr>
          <w:rFonts w:eastAsia="Times New Roman"/>
          <w:color w:val="000000"/>
          <w:sz w:val="20"/>
          <w:szCs w:val="20"/>
        </w:rPr>
        <w:t>unt the risk characteristics of the insurer, including asset risk, insurance risk, interest rate risk, market risk and business risk and is calculated on a quarterly basis and made public on an annual basis. The formula is used as an early warning regulato</w:t>
      </w:r>
      <w:r>
        <w:rPr>
          <w:rFonts w:eastAsia="Times New Roman"/>
          <w:color w:val="000000"/>
          <w:sz w:val="20"/>
          <w:szCs w:val="20"/>
        </w:rPr>
        <w:t>ry tool to identify possible inadequately capitalized insurers for purposes of initiating regulatory action, and not as a means to rank insurers generally. These rules apply to our insurance company subsidiaries and not to Holdings. State insurance laws pr</w:t>
      </w:r>
      <w:r>
        <w:rPr>
          <w:rFonts w:eastAsia="Times New Roman"/>
          <w:color w:val="000000"/>
          <w:sz w:val="20"/>
          <w:szCs w:val="20"/>
        </w:rPr>
        <w:t xml:space="preserve">ovide insurance regulators the authority to require various actions by, or take various actions against, insurers whose total adjusted capital does not meet or exceed certain RBC levels. At the date of the most recent annual statutory financial statements </w:t>
      </w:r>
      <w:r>
        <w:rPr>
          <w:rFonts w:eastAsia="Times New Roman"/>
          <w:color w:val="000000"/>
          <w:sz w:val="20"/>
          <w:szCs w:val="20"/>
        </w:rPr>
        <w:t>filed with insurance regulators, the total adjusted capital of each of these insurance company subsidiaries subject to these requirements was in excess of each of those RBC levels.</w:t>
      </w:r>
    </w:p>
    <w:p w:rsidR="00000000" w:rsidRDefault="005C524C">
      <w:pPr>
        <w:ind w:firstLine="360"/>
        <w:divId w:val="1406099745"/>
        <w:rPr>
          <w:rFonts w:eastAsia="Times New Roman"/>
        </w:rPr>
      </w:pPr>
      <w:r>
        <w:rPr>
          <w:rFonts w:eastAsia="Times New Roman"/>
          <w:color w:val="000000"/>
          <w:sz w:val="20"/>
          <w:szCs w:val="20"/>
        </w:rPr>
        <w:t>See 13 of the Notes to the Consolidated Financial Statements for additional</w:t>
      </w:r>
      <w:r>
        <w:rPr>
          <w:rFonts w:eastAsia="Times New Roman"/>
          <w:color w:val="000000"/>
          <w:sz w:val="20"/>
          <w:szCs w:val="20"/>
        </w:rPr>
        <w:t xml:space="preserve"> information relating to Permitted and Prescribed Statutory Accounting practices and its impact on our statutory surplus. </w:t>
      </w:r>
    </w:p>
    <w:p w:rsidR="00000000" w:rsidRDefault="005C524C">
      <w:pPr>
        <w:divId w:val="1122573084"/>
        <w:rPr>
          <w:rFonts w:eastAsia="Times New Roman"/>
        </w:rPr>
      </w:pPr>
      <w:r>
        <w:rPr>
          <w:rFonts w:eastAsia="Times New Roman"/>
          <w:b/>
          <w:bCs/>
          <w:color w:val="000000"/>
          <w:sz w:val="20"/>
          <w:szCs w:val="20"/>
        </w:rPr>
        <w:t>Captive Reinsurance Company</w:t>
      </w:r>
    </w:p>
    <w:p w:rsidR="00000000" w:rsidRDefault="005C524C">
      <w:pPr>
        <w:jc w:val="center"/>
        <w:divId w:val="116920632"/>
        <w:rPr>
          <w:rFonts w:eastAsia="Times New Roman"/>
        </w:rPr>
      </w:pPr>
      <w:r>
        <w:rPr>
          <w:rFonts w:eastAsia="Times New Roman"/>
          <w:color w:val="000000"/>
          <w:sz w:val="20"/>
          <w:szCs w:val="20"/>
        </w:rPr>
        <w:t>106</w:t>
      </w:r>
    </w:p>
    <w:p w:rsidR="00000000" w:rsidRDefault="005C524C">
      <w:pPr>
        <w:rPr>
          <w:rFonts w:eastAsia="Times New Roman"/>
        </w:rPr>
      </w:pPr>
      <w:r>
        <w:rPr>
          <w:rFonts w:eastAsia="Times New Roman"/>
        </w:rPr>
        <w:pict>
          <v:rect id="_x0000_i1132" style="width:0;height:1.5pt" o:hralign="center" o:hrstd="t" o:hr="t" fillcolor="#a0a0a0" stroked="f"/>
        </w:pict>
      </w:r>
    </w:p>
    <w:p w:rsidR="00000000" w:rsidRDefault="005C524C">
      <w:pPr>
        <w:divId w:val="23509641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firstLine="360"/>
        <w:divId w:val="1037193211"/>
        <w:rPr>
          <w:rFonts w:eastAsia="Times New Roman"/>
        </w:rPr>
      </w:pPr>
      <w:r>
        <w:rPr>
          <w:rFonts w:eastAsia="Times New Roman"/>
          <w:color w:val="000000"/>
          <w:sz w:val="20"/>
          <w:szCs w:val="20"/>
        </w:rPr>
        <w:t>We use a captive reinsurance company to more effectively manage our reserves and capital on an economic basis and to enable the aggregation and</w:t>
      </w:r>
      <w:r>
        <w:rPr>
          <w:rFonts w:eastAsia="Times New Roman"/>
          <w:color w:val="000000"/>
          <w:sz w:val="20"/>
          <w:szCs w:val="20"/>
        </w:rPr>
        <w:t xml:space="preserve"> transfer of risks. Our captive reinsurance company assumes business from affiliates only and is closed to new business. Our captive reinsurance company is a wholly-owned subsidiary located in the United States. In addition to state insurance regulation, o</w:t>
      </w:r>
      <w:r>
        <w:rPr>
          <w:rFonts w:eastAsia="Times New Roman"/>
          <w:color w:val="000000"/>
          <w:sz w:val="20"/>
          <w:szCs w:val="20"/>
        </w:rPr>
        <w:t>ur captive is subject to internal policies governing its activities. We continue to analyze the use of our existing captive reinsurance structure, as well as additional third-party reinsurance arrangements.</w:t>
      </w:r>
    </w:p>
    <w:p w:rsidR="00000000" w:rsidRDefault="005C524C">
      <w:pPr>
        <w:divId w:val="1631747950"/>
        <w:rPr>
          <w:rFonts w:eastAsia="Times New Roman"/>
        </w:rPr>
      </w:pPr>
      <w:r>
        <w:rPr>
          <w:rFonts w:eastAsia="Times New Roman"/>
          <w:b/>
          <w:bCs/>
          <w:color w:val="000000"/>
          <w:sz w:val="20"/>
          <w:szCs w:val="20"/>
        </w:rPr>
        <w:t>Borrowings</w:t>
      </w:r>
    </w:p>
    <w:p w:rsidR="00000000" w:rsidRDefault="005C524C">
      <w:pPr>
        <w:ind w:firstLine="360"/>
        <w:divId w:val="1229026752"/>
        <w:rPr>
          <w:rFonts w:eastAsia="Times New Roman"/>
        </w:rPr>
      </w:pPr>
      <w:r>
        <w:rPr>
          <w:rFonts w:eastAsia="Times New Roman"/>
          <w:color w:val="000000"/>
          <w:sz w:val="20"/>
          <w:szCs w:val="20"/>
        </w:rPr>
        <w:t>Our financial strategy going forward w</w:t>
      </w:r>
      <w:r>
        <w:rPr>
          <w:rFonts w:eastAsia="Times New Roman"/>
          <w:color w:val="000000"/>
          <w:sz w:val="20"/>
          <w:szCs w:val="20"/>
        </w:rPr>
        <w:t xml:space="preserve">ill remain subject to market conditions and other factors. For example, we may from time to time enter into additional bank or other financing arrangements, including public or private debt, structured facilities and contingent capital arrangements, under </w:t>
      </w:r>
      <w:r>
        <w:rPr>
          <w:rFonts w:eastAsia="Times New Roman"/>
          <w:color w:val="000000"/>
          <w:sz w:val="20"/>
          <w:szCs w:val="20"/>
        </w:rPr>
        <w:t xml:space="preserve">which we could incur additional indebtedness. </w:t>
      </w:r>
    </w:p>
    <w:p w:rsidR="00000000" w:rsidRDefault="005C524C">
      <w:pPr>
        <w:ind w:firstLine="360"/>
        <w:divId w:val="1686132544"/>
        <w:rPr>
          <w:rFonts w:eastAsia="Times New Roman"/>
        </w:rPr>
      </w:pPr>
      <w:r>
        <w:rPr>
          <w:rFonts w:eastAsia="Times New Roman"/>
          <w:color w:val="000000"/>
          <w:sz w:val="20"/>
          <w:szCs w:val="20"/>
        </w:rPr>
        <w:t>The following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0"/>
        <w:gridCol w:w="898"/>
        <w:gridCol w:w="36"/>
        <w:gridCol w:w="36"/>
        <w:gridCol w:w="36"/>
        <w:gridCol w:w="36"/>
        <w:gridCol w:w="121"/>
        <w:gridCol w:w="863"/>
        <w:gridCol w:w="36"/>
      </w:tblGrid>
      <w:tr w:rsidR="00000000">
        <w:trPr>
          <w:divId w:val="751123317"/>
        </w:trPr>
        <w:tc>
          <w:tcPr>
            <w:tcW w:w="50" w:type="pct"/>
            <w:vAlign w:val="center"/>
            <w:hideMark/>
          </w:tcPr>
          <w:p w:rsidR="00000000" w:rsidRDefault="005C524C">
            <w:pPr>
              <w:ind w:firstLine="360"/>
              <w:rPr>
                <w:rFonts w:eastAsia="Times New Roman"/>
              </w:rPr>
            </w:pPr>
          </w:p>
        </w:tc>
        <w:tc>
          <w:tcPr>
            <w:tcW w:w="366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56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December 31,</w:t>
            </w:r>
          </w:p>
        </w:tc>
      </w:tr>
      <w:tr w:rsidR="00000000">
        <w:trPr>
          <w:divId w:val="751123317"/>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16"/>
                <w:szCs w:val="16"/>
              </w:rPr>
              <w:t>2021</w:t>
            </w:r>
          </w:p>
        </w:tc>
      </w:tr>
      <w:tr w:rsidR="00000000">
        <w:trPr>
          <w:divId w:val="751123317"/>
        </w:trPr>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(in millions)</w:t>
            </w:r>
          </w:p>
        </w:tc>
      </w:tr>
      <w:tr w:rsidR="00000000">
        <w:trPr>
          <w:divId w:val="751123317"/>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c>
          <w:tcPr>
            <w:tcW w:w="0" w:type="auto"/>
            <w:gridSpan w:val="3"/>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shd w:val="clear" w:color="auto" w:fill="CCEEFF"/>
            <w:tcMar>
              <w:top w:w="30" w:type="dxa"/>
              <w:left w:w="155" w:type="dxa"/>
              <w:bottom w:w="30" w:type="dxa"/>
              <w:right w:w="20" w:type="dxa"/>
            </w:tcMar>
            <w:vAlign w:val="center"/>
            <w:hideMark/>
          </w:tcPr>
          <w:p w:rsidR="00000000" w:rsidRDefault="005C524C">
            <w:pPr>
              <w:spacing w:after="100"/>
              <w:rPr>
                <w:rFonts w:eastAsia="Times New Roman"/>
              </w:rPr>
            </w:pPr>
            <w:r>
              <w:rPr>
                <w:rFonts w:eastAsia="Times New Roman"/>
                <w:color w:val="000000"/>
                <w:sz w:val="20"/>
                <w:szCs w:val="20"/>
              </w:rPr>
              <w:t>CLO Warehousing Debt</w:t>
            </w: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Height w:val="280"/>
        </w:trPr>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75112331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1605573527"/>
              <w:rPr>
                <w:rFonts w:eastAsia="Times New Roman"/>
              </w:rPr>
            </w:pPr>
            <w:r>
              <w:rPr>
                <w:rFonts w:eastAsia="Times New Roman"/>
                <w:color w:val="000000"/>
                <w:sz w:val="20"/>
                <w:szCs w:val="20"/>
              </w:rPr>
              <w:t>Senior Notes (5.0%, due 2048)</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10441035"/>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1,490 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divId w:val="2002391077"/>
              <w:rPr>
                <w:rFonts w:eastAsia="Times New Roman"/>
              </w:rPr>
            </w:pPr>
            <w:r>
              <w:rPr>
                <w:rFonts w:eastAsia="Times New Roman"/>
                <w:color w:val="000000"/>
                <w:sz w:val="20"/>
                <w:szCs w:val="20"/>
              </w:rPr>
              <w:t>Senior Notes (3.9%, due 2023)</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divId w:val="1482382697"/>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3,840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3,839 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751123317"/>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4,085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3,931 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divId w:val="204608398"/>
        <w:rPr>
          <w:rFonts w:eastAsia="Times New Roman"/>
        </w:rPr>
      </w:pPr>
    </w:p>
    <w:p w:rsidR="00000000" w:rsidRDefault="005C524C">
      <w:pPr>
        <w:divId w:val="1182745588"/>
        <w:rPr>
          <w:rFonts w:eastAsia="Times New Roman"/>
        </w:rPr>
      </w:pPr>
      <w:r>
        <w:rPr>
          <w:rFonts w:eastAsia="Times New Roman"/>
          <w:i/>
          <w:iCs/>
          <w:color w:val="000000"/>
          <w:sz w:val="20"/>
          <w:szCs w:val="20"/>
        </w:rPr>
        <w:t>Notes and Debentures</w:t>
      </w:r>
    </w:p>
    <w:p w:rsidR="00000000" w:rsidRDefault="005C524C">
      <w:pPr>
        <w:ind w:firstLine="360"/>
        <w:divId w:val="385645283"/>
        <w:rPr>
          <w:rFonts w:eastAsia="Times New Roman"/>
        </w:rPr>
      </w:pPr>
      <w:r>
        <w:rPr>
          <w:rFonts w:eastAsia="Times New Roman"/>
          <w:color w:val="000000"/>
          <w:sz w:val="20"/>
          <w:szCs w:val="20"/>
        </w:rPr>
        <w:t xml:space="preserve">The Senior Notes and Senior Debentures contain customary affirmative and negative covenants, including a limitation on certain liens and a limit on the Company’s ability to consolidate, merge or sell or otherwise dispose of all or substantially all of its </w:t>
      </w:r>
      <w:r>
        <w:rPr>
          <w:rFonts w:eastAsia="Times New Roman"/>
          <w:color w:val="000000"/>
          <w:sz w:val="20"/>
          <w:szCs w:val="20"/>
        </w:rPr>
        <w:t>assets. The Senior Notes and Senior Debentures also include customary events of default (with customary grace periods, as applicable), including provisions under which, upon the occurrence of an event of default, all outstanding Senior Notes and Senior Deb</w:t>
      </w:r>
      <w:r>
        <w:rPr>
          <w:rFonts w:eastAsia="Times New Roman"/>
          <w:color w:val="000000"/>
          <w:sz w:val="20"/>
          <w:szCs w:val="20"/>
        </w:rPr>
        <w:t>entures may be accelerated. As of June 30, 2022, the Company is in compliance with all debt covenants.</w:t>
      </w:r>
    </w:p>
    <w:p w:rsidR="00000000" w:rsidRDefault="005C524C">
      <w:pPr>
        <w:divId w:val="371226322"/>
        <w:rPr>
          <w:rFonts w:eastAsia="Times New Roman"/>
        </w:rPr>
      </w:pPr>
      <w:r>
        <w:rPr>
          <w:rFonts w:eastAsia="Times New Roman"/>
          <w:b/>
          <w:bCs/>
          <w:color w:val="000000"/>
          <w:sz w:val="20"/>
          <w:szCs w:val="20"/>
        </w:rPr>
        <w:t>Ratings</w:t>
      </w:r>
    </w:p>
    <w:p w:rsidR="00000000" w:rsidRDefault="005C524C">
      <w:pPr>
        <w:ind w:firstLine="360"/>
        <w:divId w:val="248734808"/>
        <w:rPr>
          <w:rFonts w:eastAsia="Times New Roman"/>
        </w:rPr>
      </w:pPr>
      <w:r>
        <w:rPr>
          <w:rFonts w:eastAsia="Times New Roman"/>
          <w:color w:val="000000"/>
          <w:sz w:val="20"/>
          <w:szCs w:val="20"/>
        </w:rPr>
        <w:t xml:space="preserve">Financial strength ratings (which are sometimes referred to as “claims-paying” </w:t>
      </w:r>
      <w:r>
        <w:rPr>
          <w:rFonts w:eastAsia="Times New Roman"/>
          <w:color w:val="000000"/>
          <w:sz w:val="20"/>
          <w:szCs w:val="20"/>
        </w:rPr>
        <w:t xml:space="preserve">ratings) and credit ratings are important factors affecting public confidence in an insurer and its competitive position in marketing products. Our credit ratings are also important for our ability to raise capital through the issuance of debt and for the </w:t>
      </w:r>
      <w:r>
        <w:rPr>
          <w:rFonts w:eastAsia="Times New Roman"/>
          <w:color w:val="000000"/>
          <w:sz w:val="20"/>
          <w:szCs w:val="20"/>
        </w:rPr>
        <w:t>cost of such financing.</w:t>
      </w:r>
    </w:p>
    <w:p w:rsidR="00000000" w:rsidRDefault="005C524C">
      <w:pPr>
        <w:ind w:firstLine="360"/>
        <w:divId w:val="518618440"/>
        <w:rPr>
          <w:rFonts w:eastAsia="Times New Roman"/>
        </w:rPr>
      </w:pPr>
      <w:r>
        <w:rPr>
          <w:rFonts w:eastAsia="Times New Roman"/>
          <w:color w:val="000000"/>
          <w:sz w:val="20"/>
          <w:szCs w:val="20"/>
        </w:rPr>
        <w:t>Financial strength ratings represent the opinions of rating agencies regarding the financial ability of an insurance company to meet its obligations under an insurance policy. Credit ratings represent the opinions of rating agencies</w:t>
      </w:r>
      <w:r>
        <w:rPr>
          <w:rFonts w:eastAsia="Times New Roman"/>
          <w:color w:val="000000"/>
          <w:sz w:val="20"/>
          <w:szCs w:val="20"/>
        </w:rPr>
        <w:t xml:space="preserve"> regarding an entity’s ability to repay its indebtedness. The following table summarizes the ratings for Holdings and certain of its subsidiaries. AM Best, S&amp;P and Moody’s have a stable outlook.</w:t>
      </w:r>
    </w:p>
    <w:p w:rsidR="00000000" w:rsidRDefault="005C524C">
      <w:pPr>
        <w:jc w:val="center"/>
        <w:divId w:val="1810440678"/>
        <w:rPr>
          <w:rFonts w:eastAsia="Times New Roman"/>
        </w:rPr>
      </w:pPr>
      <w:r>
        <w:rPr>
          <w:rFonts w:eastAsia="Times New Roman"/>
          <w:color w:val="000000"/>
          <w:sz w:val="20"/>
          <w:szCs w:val="20"/>
        </w:rPr>
        <w:t>107</w:t>
      </w:r>
    </w:p>
    <w:p w:rsidR="00000000" w:rsidRDefault="005C524C">
      <w:pPr>
        <w:rPr>
          <w:rFonts w:eastAsia="Times New Roman"/>
        </w:rPr>
      </w:pPr>
      <w:r>
        <w:rPr>
          <w:rFonts w:eastAsia="Times New Roman"/>
        </w:rPr>
        <w:pict>
          <v:rect id="_x0000_i1133" style="width:0;height:1.5pt" o:hralign="center" o:hrstd="t" o:hr="t" fillcolor="#a0a0a0" stroked="f"/>
        </w:pict>
      </w:r>
    </w:p>
    <w:p w:rsidR="00000000" w:rsidRDefault="005C524C">
      <w:pPr>
        <w:divId w:val="1513568431"/>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554508859"/>
        </w:trPr>
        <w:tc>
          <w:tcPr>
            <w:tcW w:w="50" w:type="pct"/>
            <w:vAlign w:val="center"/>
            <w:hideMark/>
          </w:tcPr>
          <w:p w:rsidR="00000000" w:rsidRDefault="005C524C">
            <w:pPr>
              <w:rPr>
                <w:rFonts w:eastAsia="Times New Roman"/>
              </w:rPr>
            </w:pPr>
          </w:p>
        </w:tc>
        <w:tc>
          <w:tcPr>
            <w:tcW w:w="273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24"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7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66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554508859"/>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Moody’s</w:t>
            </w:r>
          </w:p>
        </w:tc>
      </w:tr>
      <w:tr w:rsidR="00000000">
        <w:trPr>
          <w:divId w:val="55450885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Jan '22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Jun '22</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Jul '22</w:t>
            </w:r>
          </w:p>
        </w:tc>
      </w:tr>
      <w:tr w:rsidR="00000000">
        <w:trPr>
          <w:divId w:val="554508859"/>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554508859"/>
        </w:trPr>
        <w:tc>
          <w:tcPr>
            <w:tcW w:w="0" w:type="auto"/>
            <w:gridSpan w:val="3"/>
            <w:shd w:val="clear" w:color="auto" w:fill="CCEEFF"/>
            <w:tcMar>
              <w:top w:w="30" w:type="dxa"/>
              <w:left w:w="140" w:type="dxa"/>
              <w:bottom w:w="30" w:type="dxa"/>
              <w:right w:w="20" w:type="dxa"/>
            </w:tcMar>
            <w:vAlign w:val="bottom"/>
            <w:hideMark/>
          </w:tcPr>
          <w:p w:rsidR="00000000" w:rsidRDefault="005C524C">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A1</w:t>
            </w:r>
          </w:p>
        </w:tc>
      </w:tr>
      <w:tr w:rsidR="00000000">
        <w:trPr>
          <w:divId w:val="55450885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A1</w:t>
            </w:r>
          </w:p>
        </w:tc>
      </w:tr>
      <w:tr w:rsidR="00000000">
        <w:trPr>
          <w:divId w:val="55450885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55450885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Baa1</w:t>
            </w:r>
          </w:p>
        </w:tc>
      </w:tr>
      <w:tr w:rsidR="00000000">
        <w:trPr>
          <w:divId w:val="554508859"/>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Sep '21</w:t>
            </w: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Jul '22</w:t>
            </w:r>
          </w:p>
        </w:tc>
      </w:tr>
      <w:tr w:rsidR="00000000">
        <w:trPr>
          <w:divId w:val="554508859"/>
        </w:trPr>
        <w:tc>
          <w:tcPr>
            <w:tcW w:w="0" w:type="auto"/>
            <w:gridSpan w:val="3"/>
            <w:shd w:val="clear" w:color="auto" w:fill="FFFFFF"/>
            <w:tcMar>
              <w:top w:w="30" w:type="dxa"/>
              <w:left w:w="140" w:type="dxa"/>
              <w:bottom w:w="30" w:type="dxa"/>
              <w:right w:w="20" w:type="dxa"/>
            </w:tcMar>
            <w:vAlign w:val="bottom"/>
            <w:hideMark/>
          </w:tcPr>
          <w:p w:rsidR="00000000" w:rsidRDefault="005C524C">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color w:val="000000"/>
                <w:sz w:val="20"/>
                <w:szCs w:val="20"/>
              </w:rPr>
              <w:t>A2</w:t>
            </w:r>
          </w:p>
        </w:tc>
      </w:tr>
    </w:tbl>
    <w:p w:rsidR="00000000" w:rsidRDefault="005C524C">
      <w:pPr>
        <w:divId w:val="999894316"/>
        <w:rPr>
          <w:rFonts w:eastAsia="Times New Roman"/>
        </w:rPr>
      </w:pPr>
    </w:p>
    <w:p w:rsidR="00000000" w:rsidRDefault="005C524C">
      <w:pPr>
        <w:divId w:val="1983731162"/>
        <w:rPr>
          <w:rFonts w:eastAsia="Times New Roman"/>
        </w:rPr>
      </w:pPr>
      <w:r>
        <w:rPr>
          <w:rFonts w:eastAsia="Times New Roman"/>
          <w:b/>
          <w:bCs/>
          <w:color w:val="000000"/>
          <w:sz w:val="20"/>
          <w:szCs w:val="20"/>
        </w:rPr>
        <w:t>Material Cash Requirement</w:t>
      </w:r>
    </w:p>
    <w:p w:rsidR="00000000" w:rsidRDefault="005C524C">
      <w:pPr>
        <w:ind w:firstLine="360"/>
        <w:divId w:val="1056391459"/>
        <w:rPr>
          <w:rFonts w:eastAsia="Times New Roman"/>
        </w:rPr>
      </w:pPr>
      <w:r>
        <w:rPr>
          <w:rFonts w:eastAsia="Times New Roman"/>
          <w:color w:val="000000"/>
          <w:sz w:val="20"/>
          <w:szCs w:val="20"/>
        </w:rPr>
        <w:t>Our material cash requirements include policyholder obligations, long-term debt, commercial paper, employee benefits, operating leases and various funding commitments. See “Material Cash Requirement” in “Management’s Discussion and Analysis of Financial Co</w:t>
      </w:r>
      <w:r>
        <w:rPr>
          <w:rFonts w:eastAsia="Times New Roman"/>
          <w:color w:val="000000"/>
          <w:sz w:val="20"/>
          <w:szCs w:val="20"/>
        </w:rPr>
        <w:t>ndition and Results of Operations” in the Annual Report on Form 10-K for the year ended December 31, 2021 for additional information.</w:t>
      </w:r>
    </w:p>
    <w:p w:rsidR="00000000" w:rsidRDefault="005C524C">
      <w:pPr>
        <w:divId w:val="2052723466"/>
        <w:rPr>
          <w:rFonts w:eastAsia="Times New Roman"/>
        </w:rPr>
      </w:pPr>
      <w:r>
        <w:rPr>
          <w:rFonts w:eastAsia="Times New Roman"/>
          <w:b/>
          <w:bCs/>
          <w:color w:val="000000"/>
          <w:sz w:val="20"/>
          <w:szCs w:val="20"/>
        </w:rPr>
        <w:t>Summary of Critical Accounting Estimates</w:t>
      </w:r>
    </w:p>
    <w:p w:rsidR="00000000" w:rsidRDefault="005C524C">
      <w:pPr>
        <w:ind w:firstLine="360"/>
        <w:divId w:val="54860091"/>
        <w:rPr>
          <w:rFonts w:eastAsia="Times New Roman"/>
        </w:rPr>
      </w:pPr>
      <w:r>
        <w:rPr>
          <w:rFonts w:eastAsia="Times New Roman"/>
          <w:color w:val="000000"/>
          <w:sz w:val="20"/>
          <w:szCs w:val="20"/>
        </w:rPr>
        <w:t>The preparation of financial statements in conformity with U.S. GAAP requires man</w:t>
      </w:r>
      <w:r>
        <w:rPr>
          <w:rFonts w:eastAsia="Times New Roman"/>
          <w:color w:val="000000"/>
          <w:sz w:val="20"/>
          <w:szCs w:val="20"/>
        </w:rPr>
        <w:t>agement to adopt accounting policies and make estimates and assumptions that affect amounts reported in our consolidated financial statements included elsewhere herein. For a discussion of our significant accounting policies, see Note 2 to the Company’s co</w:t>
      </w:r>
      <w:r>
        <w:rPr>
          <w:rFonts w:eastAsia="Times New Roman"/>
          <w:color w:val="000000"/>
          <w:sz w:val="20"/>
          <w:szCs w:val="20"/>
        </w:rPr>
        <w:t>nsolidated financial statements included in our 2021 Form 10-K. The most critical estimates include those used in determining:</w:t>
      </w:r>
    </w:p>
    <w:p w:rsidR="00000000" w:rsidRDefault="005C524C">
      <w:pPr>
        <w:ind w:hanging="360"/>
        <w:jc w:val="both"/>
        <w:divId w:val="2037346625"/>
        <w:rPr>
          <w:rFonts w:eastAsia="Times New Roman"/>
        </w:rPr>
      </w:pPr>
      <w:r>
        <w:rPr>
          <w:rFonts w:eastAsia="Times New Roman"/>
          <w:color w:val="000000"/>
          <w:sz w:val="20"/>
          <w:szCs w:val="20"/>
        </w:rPr>
        <w:t>•liabilities for future policy benefits;</w:t>
      </w:r>
    </w:p>
    <w:p w:rsidR="00000000" w:rsidRDefault="005C524C">
      <w:pPr>
        <w:ind w:hanging="360"/>
        <w:jc w:val="both"/>
        <w:divId w:val="2045909781"/>
        <w:rPr>
          <w:rFonts w:eastAsia="Times New Roman"/>
        </w:rPr>
      </w:pPr>
      <w:r>
        <w:rPr>
          <w:rFonts w:eastAsia="Times New Roman"/>
          <w:color w:val="000000"/>
          <w:sz w:val="20"/>
          <w:szCs w:val="20"/>
        </w:rPr>
        <w:t>•accounting for reinsurance;</w:t>
      </w:r>
    </w:p>
    <w:p w:rsidR="00000000" w:rsidRDefault="005C524C">
      <w:pPr>
        <w:ind w:hanging="360"/>
        <w:jc w:val="both"/>
        <w:divId w:val="292562521"/>
        <w:rPr>
          <w:rFonts w:eastAsia="Times New Roman"/>
        </w:rPr>
      </w:pPr>
      <w:r>
        <w:rPr>
          <w:rFonts w:eastAsia="Times New Roman"/>
          <w:color w:val="000000"/>
          <w:sz w:val="20"/>
          <w:szCs w:val="20"/>
        </w:rPr>
        <w:t>•capitalization and amortization of DAC;</w:t>
      </w:r>
    </w:p>
    <w:p w:rsidR="00000000" w:rsidRDefault="005C524C">
      <w:pPr>
        <w:ind w:hanging="360"/>
        <w:jc w:val="both"/>
        <w:divId w:val="1026521727"/>
        <w:rPr>
          <w:rFonts w:eastAsia="Times New Roman"/>
        </w:rPr>
      </w:pPr>
      <w:r>
        <w:rPr>
          <w:rFonts w:eastAsia="Times New Roman"/>
          <w:color w:val="000000"/>
          <w:sz w:val="20"/>
          <w:szCs w:val="20"/>
        </w:rPr>
        <w:t>•estimated fair va</w:t>
      </w:r>
      <w:r>
        <w:rPr>
          <w:rFonts w:eastAsia="Times New Roman"/>
          <w:color w:val="000000"/>
          <w:sz w:val="20"/>
          <w:szCs w:val="20"/>
        </w:rPr>
        <w:t>lues of investments in the absence of quoted market values and investment impairments;</w:t>
      </w:r>
    </w:p>
    <w:p w:rsidR="00000000" w:rsidRDefault="005C524C">
      <w:pPr>
        <w:ind w:hanging="360"/>
        <w:jc w:val="both"/>
        <w:divId w:val="2060585990"/>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derivatives requiring bifurcation;</w:t>
      </w:r>
    </w:p>
    <w:p w:rsidR="00000000" w:rsidRDefault="005C524C">
      <w:pPr>
        <w:ind w:hanging="360"/>
        <w:jc w:val="both"/>
        <w:divId w:val="1234314790"/>
        <w:rPr>
          <w:rFonts w:eastAsia="Times New Roman"/>
        </w:rPr>
      </w:pPr>
      <w:r>
        <w:rPr>
          <w:rFonts w:eastAsia="Times New Roman"/>
          <w:color w:val="000000"/>
          <w:sz w:val="20"/>
          <w:szCs w:val="20"/>
        </w:rPr>
        <w:t>•goodwill and related impairment;</w:t>
      </w:r>
    </w:p>
    <w:p w:rsidR="00000000" w:rsidRDefault="005C524C">
      <w:pPr>
        <w:ind w:hanging="360"/>
        <w:jc w:val="both"/>
        <w:divId w:val="51582487"/>
        <w:rPr>
          <w:rFonts w:eastAsia="Times New Roman"/>
        </w:rPr>
      </w:pPr>
      <w:r>
        <w:rPr>
          <w:rFonts w:eastAsia="Times New Roman"/>
          <w:color w:val="000000"/>
          <w:sz w:val="20"/>
          <w:szCs w:val="20"/>
        </w:rPr>
        <w:t>•measurement of income taxes and the valuation of deferred tax assets; and</w:t>
      </w:r>
    </w:p>
    <w:p w:rsidR="00000000" w:rsidRDefault="005C524C">
      <w:pPr>
        <w:ind w:hanging="360"/>
        <w:divId w:val="1837720297"/>
        <w:rPr>
          <w:rFonts w:eastAsia="Times New Roman"/>
        </w:rPr>
      </w:pPr>
      <w:r>
        <w:rPr>
          <w:rFonts w:eastAsia="Times New Roman"/>
          <w:color w:val="000000"/>
          <w:sz w:val="20"/>
          <w:szCs w:val="20"/>
        </w:rPr>
        <w:t>•liab</w:t>
      </w:r>
      <w:r>
        <w:rPr>
          <w:rFonts w:eastAsia="Times New Roman"/>
          <w:color w:val="000000"/>
          <w:sz w:val="20"/>
          <w:szCs w:val="20"/>
        </w:rPr>
        <w:t>ilities for litigation and regulatory matters.</w:t>
      </w:r>
    </w:p>
    <w:p w:rsidR="00000000" w:rsidRDefault="005C524C">
      <w:pPr>
        <w:ind w:firstLine="360"/>
        <w:divId w:val="937326362"/>
        <w:rPr>
          <w:rFonts w:eastAsia="Times New Roman"/>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w:t>
      </w:r>
      <w:r>
        <w:rPr>
          <w:rFonts w:eastAsia="Times New Roman"/>
          <w:color w:val="000000"/>
          <w:sz w:val="20"/>
          <w:szCs w:val="20"/>
        </w:rPr>
        <w:t>nts are common in the insurance and financial services industries while others are specific to our business and operations. Actual results could differ from these estimates.</w:t>
      </w:r>
    </w:p>
    <w:p w:rsidR="00000000" w:rsidRDefault="005C524C">
      <w:pPr>
        <w:divId w:val="1400980680"/>
        <w:rPr>
          <w:rFonts w:eastAsia="Times New Roman"/>
        </w:rPr>
      </w:pPr>
      <w:r>
        <w:rPr>
          <w:rFonts w:eastAsia="Times New Roman"/>
          <w:b/>
          <w:bCs/>
          <w:color w:val="000000"/>
          <w:sz w:val="20"/>
          <w:szCs w:val="20"/>
        </w:rPr>
        <w:t xml:space="preserve">Item 3.      </w:t>
      </w:r>
      <w:r>
        <w:rPr>
          <w:rFonts w:eastAsia="Times New Roman"/>
          <w:b/>
          <w:bCs/>
          <w:color w:val="000000"/>
          <w:sz w:val="20"/>
          <w:szCs w:val="20"/>
        </w:rPr>
        <w:t xml:space="preserve">Quantitative and Qualitative Disclosures About Market Risk </w:t>
      </w:r>
    </w:p>
    <w:p w:rsidR="00000000" w:rsidRDefault="005C524C">
      <w:pPr>
        <w:ind w:firstLine="360"/>
        <w:divId w:val="1256012626"/>
        <w:rPr>
          <w:rFonts w:eastAsia="Times New Roman"/>
        </w:rPr>
      </w:pPr>
      <w:r>
        <w:rPr>
          <w:rFonts w:eastAsia="Times New Roman"/>
          <w:color w:val="000000"/>
          <w:sz w:val="20"/>
          <w:szCs w:val="20"/>
        </w:rPr>
        <w:t>There have been no material changes to the quantitative and qualitative disclosures about market risk described in the Annual Report on Form 10-K for the year ended December 31, 2021 in "Quantitat</w:t>
      </w:r>
      <w:r>
        <w:rPr>
          <w:rFonts w:eastAsia="Times New Roman"/>
          <w:color w:val="000000"/>
          <w:sz w:val="20"/>
          <w:szCs w:val="20"/>
        </w:rPr>
        <w:t>ive and Qualitative Disclosures About Market Risk".</w:t>
      </w:r>
    </w:p>
    <w:p w:rsidR="00000000" w:rsidRDefault="005C524C">
      <w:pPr>
        <w:jc w:val="center"/>
        <w:divId w:val="1531801736"/>
        <w:rPr>
          <w:rFonts w:eastAsia="Times New Roman"/>
        </w:rPr>
      </w:pPr>
      <w:r>
        <w:rPr>
          <w:rFonts w:eastAsia="Times New Roman"/>
          <w:color w:val="000000"/>
          <w:sz w:val="20"/>
          <w:szCs w:val="20"/>
        </w:rPr>
        <w:t>108</w:t>
      </w:r>
    </w:p>
    <w:p w:rsidR="00000000" w:rsidRDefault="005C524C">
      <w:pPr>
        <w:rPr>
          <w:rFonts w:eastAsia="Times New Roman"/>
        </w:rPr>
      </w:pPr>
      <w:r>
        <w:rPr>
          <w:rFonts w:eastAsia="Times New Roman"/>
        </w:rPr>
        <w:pict>
          <v:rect id="_x0000_i1134" style="width:0;height:1.5pt" o:hralign="center" o:hrstd="t" o:hr="t" fillcolor="#a0a0a0" stroked="f"/>
        </w:pict>
      </w:r>
    </w:p>
    <w:p w:rsidR="00000000" w:rsidRDefault="005C524C">
      <w:pPr>
        <w:divId w:val="198839487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107307897"/>
        <w:rPr>
          <w:rFonts w:eastAsia="Times New Roman"/>
        </w:rPr>
      </w:pPr>
      <w:r>
        <w:rPr>
          <w:rFonts w:eastAsia="Times New Roman"/>
          <w:b/>
          <w:bCs/>
          <w:color w:val="000000"/>
          <w:sz w:val="20"/>
          <w:szCs w:val="20"/>
        </w:rPr>
        <w:t xml:space="preserve">Item 4.     Controls and Procedures </w:t>
      </w:r>
    </w:p>
    <w:p w:rsidR="00000000" w:rsidRDefault="005C524C">
      <w:pPr>
        <w:ind w:firstLine="360"/>
        <w:divId w:val="355153515"/>
        <w:rPr>
          <w:rFonts w:eastAsia="Times New Roman"/>
        </w:rPr>
      </w:pPr>
      <w:r>
        <w:rPr>
          <w:rFonts w:eastAsia="Times New Roman"/>
          <w:color w:val="000000"/>
          <w:sz w:val="20"/>
          <w:szCs w:val="20"/>
        </w:rPr>
        <w:t>Management, with the participation of the Chief Ex</w:t>
      </w:r>
      <w:r>
        <w:rPr>
          <w:rFonts w:eastAsia="Times New Roman"/>
          <w:color w:val="000000"/>
          <w:sz w:val="20"/>
          <w:szCs w:val="20"/>
        </w:rPr>
        <w:t>ecutive Officer and Chief Financial Officer, has evaluated the effectiveness of the design and operation of the Company’s disclosure controls and procedures, as defined in Rule 13a-15(e) of the Exchange Act. Based on such evaluation, the Chief Executive Of</w:t>
      </w:r>
      <w:r>
        <w:rPr>
          <w:rFonts w:eastAsia="Times New Roman"/>
          <w:color w:val="000000"/>
          <w:sz w:val="20"/>
          <w:szCs w:val="20"/>
        </w:rPr>
        <w:t xml:space="preserve">ficer and Chief Financial Officer have concluded that, as of June 30, 2022, the Company’s disclosure controls and procedures were effective. </w:t>
      </w:r>
    </w:p>
    <w:p w:rsidR="00000000" w:rsidRDefault="005C524C">
      <w:pPr>
        <w:ind w:firstLine="360"/>
        <w:divId w:val="741299564"/>
        <w:rPr>
          <w:rFonts w:eastAsia="Times New Roman"/>
        </w:rPr>
      </w:pPr>
      <w:r>
        <w:rPr>
          <w:rFonts w:eastAsia="Times New Roman"/>
          <w:color w:val="000000"/>
          <w:sz w:val="20"/>
          <w:szCs w:val="20"/>
        </w:rPr>
        <w:t>During the first quarter 2022, we implemented a new accounting and financial reporting system, including the gener</w:t>
      </w:r>
      <w:r>
        <w:rPr>
          <w:rFonts w:eastAsia="Times New Roman"/>
          <w:color w:val="000000"/>
          <w:sz w:val="20"/>
          <w:szCs w:val="20"/>
        </w:rPr>
        <w:t>al ledger. We have modified our existing controls infrastructure, as well as added other processes and internal controls, to adapt to our new general ledger. There are no other changes in our internal control over financial reporting (as defined in Rule 13</w:t>
      </w:r>
      <w:r>
        <w:rPr>
          <w:rFonts w:eastAsia="Times New Roman"/>
          <w:color w:val="000000"/>
          <w:sz w:val="20"/>
          <w:szCs w:val="20"/>
        </w:rPr>
        <w:t>a-15(f) and Rule 15d-15(f) under the Exchange Act) that occurred during the six months ended June 30, 2022, that have materially affected, or are reasonably likely to materially affect, our internal control over financial reporting.</w:t>
      </w:r>
    </w:p>
    <w:p w:rsidR="00000000" w:rsidRDefault="005C524C">
      <w:pPr>
        <w:ind w:firstLine="360"/>
        <w:divId w:val="947471595"/>
        <w:rPr>
          <w:rFonts w:eastAsia="Times New Roman"/>
        </w:rPr>
      </w:pPr>
    </w:p>
    <w:p w:rsidR="00000000" w:rsidRDefault="005C524C">
      <w:pPr>
        <w:jc w:val="center"/>
        <w:divId w:val="186336588"/>
        <w:rPr>
          <w:rFonts w:eastAsia="Times New Roman"/>
        </w:rPr>
      </w:pPr>
      <w:r>
        <w:rPr>
          <w:rFonts w:eastAsia="Times New Roman"/>
          <w:color w:val="000000"/>
          <w:sz w:val="20"/>
          <w:szCs w:val="20"/>
        </w:rPr>
        <w:t>109</w:t>
      </w:r>
    </w:p>
    <w:p w:rsidR="00000000" w:rsidRDefault="005C524C">
      <w:pPr>
        <w:rPr>
          <w:rFonts w:eastAsia="Times New Roman"/>
        </w:rPr>
      </w:pPr>
      <w:r>
        <w:rPr>
          <w:rFonts w:eastAsia="Times New Roman"/>
        </w:rPr>
        <w:pict>
          <v:rect id="_x0000_i1135" style="width:0;height:1.5pt" o:hralign="center" o:hrstd="t" o:hr="t" fillcolor="#a0a0a0" stroked="f"/>
        </w:pict>
      </w:r>
    </w:p>
    <w:p w:rsidR="00000000" w:rsidRDefault="005C524C">
      <w:pPr>
        <w:divId w:val="1604147994"/>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913472287"/>
        <w:rPr>
          <w:rFonts w:eastAsia="Times New Roman"/>
        </w:rPr>
      </w:pPr>
      <w:r>
        <w:rPr>
          <w:rFonts w:eastAsia="Times New Roman"/>
          <w:b/>
          <w:bCs/>
          <w:color w:val="000000"/>
          <w:sz w:val="20"/>
          <w:szCs w:val="20"/>
        </w:rPr>
        <w:t>PART II. OTHER INFORMATION</w:t>
      </w:r>
    </w:p>
    <w:p w:rsidR="00000000" w:rsidRDefault="005C524C">
      <w:pPr>
        <w:divId w:val="33389718"/>
        <w:rPr>
          <w:rFonts w:eastAsia="Times New Roman"/>
        </w:rPr>
      </w:pPr>
      <w:r>
        <w:rPr>
          <w:rFonts w:eastAsia="Times New Roman"/>
          <w:b/>
          <w:bCs/>
          <w:color w:val="000000"/>
          <w:sz w:val="20"/>
          <w:szCs w:val="20"/>
        </w:rPr>
        <w:t xml:space="preserve">Item 1.     Legal Proceedings </w:t>
      </w:r>
    </w:p>
    <w:p w:rsidR="00000000" w:rsidRDefault="005C524C">
      <w:pPr>
        <w:ind w:firstLine="360"/>
        <w:divId w:val="921110426"/>
        <w:rPr>
          <w:rFonts w:eastAsia="Times New Roman"/>
        </w:rPr>
      </w:pPr>
      <w:r>
        <w:rPr>
          <w:rFonts w:eastAsia="Times New Roman"/>
          <w:color w:val="000000"/>
          <w:sz w:val="20"/>
          <w:szCs w:val="20"/>
        </w:rPr>
        <w:t>For information regarding certain legal proceedings pending against us, see Note 12 of the Notes to t</w:t>
      </w:r>
      <w:r>
        <w:rPr>
          <w:rFonts w:eastAsia="Times New Roman"/>
          <w:color w:val="000000"/>
          <w:sz w:val="20"/>
          <w:szCs w:val="20"/>
        </w:rPr>
        <w:t>hese Consolidated Financial Statements (unaudited) in this Form 10-Q. Also see “Risk Factors—Legal and Regulatory Risks—Legal and regulatory actions” included in our Annual Report on Form 10-K for the year ended December 31, 2021.</w:t>
      </w:r>
    </w:p>
    <w:p w:rsidR="00000000" w:rsidRDefault="005C524C">
      <w:pPr>
        <w:divId w:val="585312737"/>
        <w:rPr>
          <w:rFonts w:eastAsia="Times New Roman"/>
        </w:rPr>
      </w:pPr>
      <w:r>
        <w:rPr>
          <w:rFonts w:eastAsia="Times New Roman"/>
          <w:b/>
          <w:bCs/>
          <w:color w:val="000000"/>
          <w:sz w:val="20"/>
          <w:szCs w:val="20"/>
        </w:rPr>
        <w:t xml:space="preserve">Item 1A. Risk Factors </w:t>
      </w:r>
    </w:p>
    <w:p w:rsidR="00000000" w:rsidRDefault="005C524C">
      <w:pPr>
        <w:ind w:firstLine="360"/>
        <w:divId w:val="1129199452"/>
        <w:rPr>
          <w:rFonts w:eastAsia="Times New Roman"/>
        </w:rPr>
      </w:pPr>
      <w:r>
        <w:rPr>
          <w:rFonts w:eastAsia="Times New Roman"/>
          <w:color w:val="000000"/>
          <w:sz w:val="20"/>
          <w:szCs w:val="20"/>
        </w:rPr>
        <w:t>Yo</w:t>
      </w:r>
      <w:r>
        <w:rPr>
          <w:rFonts w:eastAsia="Times New Roman"/>
          <w:color w:val="000000"/>
          <w:sz w:val="20"/>
          <w:szCs w:val="20"/>
        </w:rPr>
        <w:t>u should carefully consider the risks described in the “Risk Factors” section included in our Annual Report on Form 10-K for the year ended December 31, 2021. Risks to which we are subject also include, but are not limited to, the factors mentioned under “</w:t>
      </w:r>
      <w:r>
        <w:rPr>
          <w:rFonts w:eastAsia="Times New Roman"/>
          <w:color w:val="000000"/>
          <w:sz w:val="20"/>
          <w:szCs w:val="20"/>
        </w:rPr>
        <w:t>Note Regarding Forward-Looking Statements and Information” above and the risks of our businesses described elsewhere in this Quarterly Report on Form 10-Q.</w:t>
      </w:r>
    </w:p>
    <w:p w:rsidR="00000000" w:rsidRDefault="005C524C">
      <w:pPr>
        <w:divId w:val="1640380753"/>
        <w:rPr>
          <w:rFonts w:eastAsia="Times New Roman"/>
        </w:rPr>
      </w:pPr>
      <w:r>
        <w:rPr>
          <w:rFonts w:eastAsia="Times New Roman"/>
          <w:b/>
          <w:bCs/>
          <w:color w:val="000000"/>
          <w:sz w:val="20"/>
          <w:szCs w:val="20"/>
        </w:rPr>
        <w:t xml:space="preserve">Item 2.     Unregistered Sales of Equity Securities and Use of Proceeds </w:t>
      </w:r>
    </w:p>
    <w:p w:rsidR="00000000" w:rsidRDefault="005C524C">
      <w:pPr>
        <w:ind w:firstLine="360"/>
        <w:divId w:val="1922522136"/>
        <w:rPr>
          <w:rFonts w:eastAsia="Times New Roman"/>
        </w:rPr>
      </w:pPr>
      <w:r>
        <w:rPr>
          <w:rFonts w:eastAsia="Times New Roman"/>
          <w:color w:val="000000"/>
          <w:sz w:val="20"/>
          <w:szCs w:val="20"/>
        </w:rPr>
        <w:t>The following table provide</w:t>
      </w:r>
      <w:r>
        <w:rPr>
          <w:rFonts w:eastAsia="Times New Roman"/>
          <w:color w:val="000000"/>
          <w:sz w:val="20"/>
          <w:szCs w:val="20"/>
        </w:rPr>
        <w:t>s information about purchases by Holdings during the three months ended June 30, 2022,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48"/>
        <w:gridCol w:w="1393"/>
        <w:gridCol w:w="36"/>
        <w:gridCol w:w="36"/>
        <w:gridCol w:w="36"/>
        <w:gridCol w:w="36"/>
        <w:gridCol w:w="120"/>
        <w:gridCol w:w="1365"/>
        <w:gridCol w:w="36"/>
        <w:gridCol w:w="36"/>
        <w:gridCol w:w="36"/>
        <w:gridCol w:w="36"/>
        <w:gridCol w:w="48"/>
        <w:gridCol w:w="1365"/>
        <w:gridCol w:w="36"/>
        <w:gridCol w:w="36"/>
        <w:gridCol w:w="36"/>
        <w:gridCol w:w="36"/>
        <w:gridCol w:w="120"/>
        <w:gridCol w:w="1367"/>
        <w:gridCol w:w="36"/>
      </w:tblGrid>
      <w:tr w:rsidR="00000000">
        <w:trPr>
          <w:divId w:val="319701403"/>
        </w:trPr>
        <w:tc>
          <w:tcPr>
            <w:tcW w:w="50" w:type="pct"/>
            <w:vAlign w:val="center"/>
            <w:hideMark/>
          </w:tcPr>
          <w:p w:rsidR="00000000" w:rsidRDefault="005C524C">
            <w:pPr>
              <w:ind w:firstLine="360"/>
              <w:rPr>
                <w:rFonts w:eastAsia="Times New Roman"/>
              </w:rPr>
            </w:pPr>
          </w:p>
        </w:tc>
        <w:tc>
          <w:tcPr>
            <w:tcW w:w="1169"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2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861"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319701403"/>
        </w:trPr>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 xml:space="preserve">Approximate Dollar Value of Shares that May Yet Be Purchased Under the Plans or Programs </w:t>
            </w:r>
          </w:p>
        </w:tc>
      </w:tr>
      <w:tr w:rsidR="00000000">
        <w:trPr>
          <w:divId w:val="31970140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4/1/22 through 4/30/22</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3,277,893 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30.51 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3,277,893 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854,529,426 </w:t>
            </w:r>
          </w:p>
        </w:tc>
        <w:tc>
          <w:tcPr>
            <w:tcW w:w="0" w:type="auto"/>
            <w:tcBorders>
              <w:top w:val="single" w:sz="8" w:space="0" w:color="000000"/>
            </w:tcBorders>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1970140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5/1/22 through 5/31/22</w:t>
            </w: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4,335,260 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27.68 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4,335,260 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704,529,426 </w:t>
            </w:r>
          </w:p>
        </w:tc>
        <w:tc>
          <w:tcPr>
            <w:tcW w:w="0" w:type="auto"/>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19701403"/>
        </w:trPr>
        <w:tc>
          <w:tcPr>
            <w:tcW w:w="0" w:type="auto"/>
            <w:gridSpan w:val="3"/>
            <w:shd w:val="clear" w:color="auto" w:fill="FFFF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6/1/22 through 6/30/22</w:t>
            </w: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704,529,426 </w:t>
            </w:r>
          </w:p>
        </w:tc>
        <w:tc>
          <w:tcPr>
            <w:tcW w:w="0" w:type="auto"/>
            <w:shd w:val="clear" w:color="auto" w:fill="FFFFFF"/>
            <w:tcMar>
              <w:top w:w="30" w:type="dxa"/>
              <w:left w:w="0" w:type="dxa"/>
              <w:bottom w:w="30" w:type="dxa"/>
              <w:right w:w="20" w:type="dxa"/>
            </w:tcMar>
            <w:vAlign w:val="bottom"/>
            <w:hideMark/>
          </w:tcPr>
          <w:p w:rsidR="00000000" w:rsidRDefault="005C524C">
            <w:pPr>
              <w:spacing w:after="100"/>
              <w:jc w:val="right"/>
              <w:rPr>
                <w:rFonts w:eastAsia="Times New Roman"/>
              </w:rPr>
            </w:pPr>
          </w:p>
        </w:tc>
      </w:tr>
      <w:tr w:rsidR="00000000">
        <w:trPr>
          <w:divId w:val="319701403"/>
        </w:trPr>
        <w:tc>
          <w:tcPr>
            <w:tcW w:w="0" w:type="auto"/>
            <w:gridSpan w:val="3"/>
            <w:shd w:val="clear" w:color="auto" w:fill="CCEEFF"/>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7,613,153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color w:val="000000"/>
                <w:sz w:val="20"/>
                <w:szCs w:val="20"/>
              </w:rPr>
              <w:t>28.90 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7,613,153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C524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C524C">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C524C">
            <w:pPr>
              <w:spacing w:after="100"/>
              <w:jc w:val="right"/>
              <w:rPr>
                <w:rFonts w:eastAsia="Times New Roman"/>
              </w:rPr>
            </w:pPr>
            <w:r>
              <w:rPr>
                <w:rFonts w:eastAsia="Times New Roman"/>
                <w:b/>
                <w:bCs/>
                <w:color w:val="000000"/>
                <w:sz w:val="20"/>
                <w:szCs w:val="20"/>
              </w:rPr>
              <w:t>704,529,426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C524C">
            <w:pPr>
              <w:spacing w:after="100"/>
              <w:jc w:val="right"/>
              <w:rPr>
                <w:rFonts w:eastAsia="Times New Roman"/>
              </w:rPr>
            </w:pPr>
          </w:p>
        </w:tc>
      </w:tr>
    </w:tbl>
    <w:p w:rsidR="00000000" w:rsidRDefault="005C524C">
      <w:pPr>
        <w:ind w:hanging="360"/>
        <w:divId w:val="2108503064"/>
        <w:rPr>
          <w:rFonts w:eastAsia="Times New Roman"/>
        </w:rPr>
      </w:pPr>
    </w:p>
    <w:p w:rsidR="00000000" w:rsidRDefault="005C524C">
      <w:pPr>
        <w:divId w:val="563682466"/>
        <w:rPr>
          <w:rFonts w:eastAsia="Times New Roman"/>
        </w:rPr>
      </w:pPr>
      <w:r>
        <w:rPr>
          <w:rFonts w:eastAsia="Times New Roman"/>
          <w:color w:val="000000"/>
          <w:sz w:val="20"/>
          <w:szCs w:val="20"/>
        </w:rPr>
        <w:t>See Note 10 to the Notes to Consolidated Financial Statements for ASR transaction detail during the three months ended June 30, 2022.</w:t>
      </w:r>
    </w:p>
    <w:p w:rsidR="00000000" w:rsidRDefault="005C524C">
      <w:pPr>
        <w:divId w:val="2042120370"/>
        <w:rPr>
          <w:rFonts w:eastAsia="Times New Roman"/>
        </w:rPr>
      </w:pPr>
      <w:r>
        <w:rPr>
          <w:rFonts w:eastAsia="Times New Roman"/>
          <w:b/>
          <w:bCs/>
          <w:color w:val="000000"/>
          <w:sz w:val="20"/>
          <w:szCs w:val="20"/>
        </w:rPr>
        <w:t xml:space="preserve">Item 3.     Defaults Upon Senior Securities </w:t>
      </w:r>
    </w:p>
    <w:p w:rsidR="00000000" w:rsidRDefault="005C524C">
      <w:pPr>
        <w:ind w:firstLine="360"/>
        <w:divId w:val="2118714967"/>
        <w:rPr>
          <w:rFonts w:eastAsia="Times New Roman"/>
        </w:rPr>
      </w:pPr>
      <w:r>
        <w:rPr>
          <w:rFonts w:eastAsia="Times New Roman"/>
          <w:color w:val="000000"/>
          <w:sz w:val="20"/>
          <w:szCs w:val="20"/>
        </w:rPr>
        <w:t>None.</w:t>
      </w:r>
    </w:p>
    <w:p w:rsidR="00000000" w:rsidRDefault="005C524C">
      <w:pPr>
        <w:divId w:val="920914659"/>
        <w:rPr>
          <w:rFonts w:eastAsia="Times New Roman"/>
        </w:rPr>
      </w:pPr>
      <w:r>
        <w:rPr>
          <w:rFonts w:eastAsia="Times New Roman"/>
          <w:b/>
          <w:bCs/>
          <w:color w:val="000000"/>
          <w:sz w:val="20"/>
          <w:szCs w:val="20"/>
        </w:rPr>
        <w:t xml:space="preserve">Item 4.     Mine Safety Disclosures </w:t>
      </w:r>
    </w:p>
    <w:p w:rsidR="00000000" w:rsidRDefault="005C524C">
      <w:pPr>
        <w:ind w:firstLine="360"/>
        <w:divId w:val="927009219"/>
        <w:rPr>
          <w:rFonts w:eastAsia="Times New Roman"/>
        </w:rPr>
      </w:pPr>
      <w:r>
        <w:rPr>
          <w:rFonts w:eastAsia="Times New Roman"/>
          <w:color w:val="000000"/>
          <w:sz w:val="20"/>
          <w:szCs w:val="20"/>
        </w:rPr>
        <w:t>Not applicable.</w:t>
      </w:r>
    </w:p>
    <w:p w:rsidR="00000000" w:rsidRDefault="005C524C">
      <w:pPr>
        <w:divId w:val="172189566"/>
        <w:rPr>
          <w:rFonts w:eastAsia="Times New Roman"/>
        </w:rPr>
      </w:pPr>
      <w:r>
        <w:rPr>
          <w:rFonts w:eastAsia="Times New Roman"/>
          <w:b/>
          <w:bCs/>
          <w:color w:val="000000"/>
          <w:sz w:val="20"/>
          <w:szCs w:val="20"/>
        </w:rPr>
        <w:t>Item 5.      Other</w:t>
      </w:r>
      <w:r>
        <w:rPr>
          <w:rFonts w:eastAsia="Times New Roman"/>
          <w:b/>
          <w:bCs/>
          <w:color w:val="000000"/>
          <w:sz w:val="20"/>
          <w:szCs w:val="20"/>
        </w:rPr>
        <w:t xml:space="preserve"> Information </w:t>
      </w:r>
    </w:p>
    <w:p w:rsidR="00000000" w:rsidRDefault="005C524C">
      <w:pPr>
        <w:ind w:firstLine="360"/>
        <w:divId w:val="1755392212"/>
        <w:rPr>
          <w:rFonts w:eastAsia="Times New Roman"/>
        </w:rPr>
      </w:pPr>
      <w:r>
        <w:rPr>
          <w:rFonts w:eastAsia="Times New Roman"/>
          <w:color w:val="000000"/>
          <w:sz w:val="20"/>
          <w:szCs w:val="20"/>
        </w:rPr>
        <w:t>None.</w:t>
      </w:r>
    </w:p>
    <w:p w:rsidR="00000000" w:rsidRDefault="005C524C">
      <w:pPr>
        <w:jc w:val="center"/>
        <w:divId w:val="1829634894"/>
        <w:rPr>
          <w:rFonts w:eastAsia="Times New Roman"/>
        </w:rPr>
      </w:pPr>
      <w:r>
        <w:rPr>
          <w:rFonts w:eastAsia="Times New Roman"/>
          <w:color w:val="000000"/>
          <w:sz w:val="20"/>
          <w:szCs w:val="20"/>
        </w:rPr>
        <w:t>110</w:t>
      </w:r>
    </w:p>
    <w:p w:rsidR="00000000" w:rsidRDefault="005C524C">
      <w:pPr>
        <w:rPr>
          <w:rFonts w:eastAsia="Times New Roman"/>
        </w:rPr>
      </w:pPr>
      <w:r>
        <w:rPr>
          <w:rFonts w:eastAsia="Times New Roman"/>
        </w:rPr>
        <w:pict>
          <v:rect id="_x0000_i1136" style="width:0;height:1.5pt" o:hralign="center" o:hrstd="t" o:hr="t" fillcolor="#a0a0a0" stroked="f"/>
        </w:pict>
      </w:r>
    </w:p>
    <w:p w:rsidR="00000000" w:rsidRDefault="005C524C">
      <w:pPr>
        <w:divId w:val="1135373586"/>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divId w:val="148442730"/>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9"/>
        <w:gridCol w:w="7189"/>
        <w:gridCol w:w="38"/>
        <w:gridCol w:w="36"/>
      </w:tblGrid>
      <w:tr w:rsidR="00000000">
        <w:trPr>
          <w:divId w:val="253243507"/>
        </w:trPr>
        <w:tc>
          <w:tcPr>
            <w:tcW w:w="50" w:type="pct"/>
            <w:vAlign w:val="center"/>
            <w:hideMark/>
          </w:tcPr>
          <w:p w:rsidR="00000000" w:rsidRDefault="005C524C">
            <w:pPr>
              <w:rPr>
                <w:rFonts w:eastAsia="Times New Roman"/>
              </w:rPr>
            </w:pPr>
          </w:p>
        </w:tc>
        <w:tc>
          <w:tcPr>
            <w:tcW w:w="412"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70"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439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0" w:type="auto"/>
            <w:vAlign w:val="center"/>
            <w:hideMark/>
          </w:tcPr>
          <w:p w:rsidR="00000000" w:rsidRDefault="005C524C">
            <w:pPr>
              <w:spacing w:after="100"/>
              <w:rPr>
                <w:rFonts w:eastAsia="Times New Roman"/>
                <w:sz w:val="20"/>
                <w:szCs w:val="20"/>
              </w:rPr>
            </w:pPr>
          </w:p>
        </w:tc>
      </w:tr>
      <w:tr w:rsidR="00000000">
        <w:trPr>
          <w:divId w:val="253243507"/>
        </w:trPr>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jc w:val="center"/>
              <w:rPr>
                <w:rFonts w:eastAsia="Times New Roman"/>
              </w:rPr>
            </w:pPr>
            <w:r>
              <w:rPr>
                <w:rFonts w:eastAsia="Times New Roman"/>
                <w:b/>
                <w:bCs/>
                <w:color w:val="000000"/>
                <w:sz w:val="16"/>
                <w:szCs w:val="16"/>
              </w:rPr>
              <w:t>Description and Method of Filing</w:t>
            </w:r>
          </w:p>
        </w:tc>
        <w:tc>
          <w:tcPr>
            <w:tcW w:w="0" w:type="auto"/>
            <w:vAlign w:val="center"/>
            <w:hideMark/>
          </w:tcPr>
          <w:p w:rsidR="00000000" w:rsidRDefault="005C524C">
            <w:pPr>
              <w:spacing w:after="100"/>
              <w:jc w:val="center"/>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14236500"/>
              <w:rPr>
                <w:rFonts w:eastAsia="Times New Roman"/>
              </w:rPr>
            </w:pPr>
            <w:hyperlink r:id="rId6" w:history="1">
              <w:r>
                <w:rPr>
                  <w:rStyle w:val="a3"/>
                  <w:rFonts w:eastAsia="Times New Roman"/>
                  <w:sz w:val="20"/>
                  <w:szCs w:val="20"/>
                </w:rPr>
                <w:t>3.1</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Second Amended and Restated Certificate of Incorporation of Equitable Holdings, Inc., effective May 19, 2022 (</w:t>
            </w:r>
            <w:r>
              <w:rPr>
                <w:rFonts w:eastAsia="Times New Roman"/>
                <w:color w:val="000000"/>
                <w:sz w:val="20"/>
                <w:szCs w:val="20"/>
                <w:shd w:val="clear" w:color="auto" w:fill="FFFFFF"/>
              </w:rPr>
              <w:t>incorporated by reference to Exhibit 3.1 to our Form 8-K filed on May 20, 2022)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640110672"/>
              <w:rPr>
                <w:rFonts w:eastAsia="Times New Roman"/>
              </w:rPr>
            </w:pPr>
            <w:hyperlink r:id="rId7" w:history="1">
              <w:r>
                <w:rPr>
                  <w:rStyle w:val="a3"/>
                  <w:rFonts w:eastAsia="Times New Roman"/>
                  <w:sz w:val="20"/>
                  <w:szCs w:val="20"/>
                </w:rPr>
                <w:t>3.2</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shd w:val="clear" w:color="auto" w:fill="FFFFFF"/>
              </w:rPr>
              <w:t xml:space="preserve">Equitable Holdings, Inc. Fifth Amended and Restated By-laws, effective May 19, 2022 </w:t>
            </w:r>
            <w:r>
              <w:rPr>
                <w:rFonts w:eastAsia="Times New Roman"/>
                <w:color w:val="000000"/>
                <w:sz w:val="20"/>
                <w:szCs w:val="20"/>
              </w:rPr>
              <w:t>(</w:t>
            </w:r>
            <w:r>
              <w:rPr>
                <w:rFonts w:eastAsia="Times New Roman"/>
                <w:color w:val="000000"/>
                <w:sz w:val="20"/>
                <w:szCs w:val="20"/>
                <w:shd w:val="clear" w:color="auto" w:fill="FFFFFF"/>
              </w:rPr>
              <w:t>incorporated by reference to Exhibit 3.2 to our Form 8-K filed on May 20, 2022)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547650759"/>
              <w:rPr>
                <w:rFonts w:eastAsia="Times New Roman"/>
              </w:rPr>
            </w:pPr>
            <w:hyperlink r:id="rId8" w:history="1">
              <w:r>
                <w:rPr>
                  <w:rStyle w:val="a3"/>
                  <w:rFonts w:eastAsia="Times New Roman"/>
                  <w:sz w:val="20"/>
                  <w:szCs w:val="20"/>
                </w:rPr>
                <w:t>10.1</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Third Amendment to Reimbursement Agreement by and among Equitable Holdings, Inc. and Commerzbank AG, New York Branch (</w:t>
            </w:r>
            <w:r>
              <w:rPr>
                <w:rFonts w:eastAsia="Times New Roman"/>
                <w:color w:val="000000"/>
                <w:sz w:val="20"/>
                <w:szCs w:val="20"/>
                <w:shd w:val="clear" w:color="auto" w:fill="FFFFFF"/>
              </w:rPr>
              <w:t>incorporated by reference to Exhibit 10.1 to our Form 8-K filed on June 10, 2022)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204097134"/>
              <w:rPr>
                <w:rFonts w:eastAsia="Times New Roman"/>
              </w:rPr>
            </w:pPr>
            <w:hyperlink r:id="rId9"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378169773"/>
              <w:rPr>
                <w:rFonts w:eastAsia="Times New Roman"/>
              </w:rPr>
            </w:pPr>
            <w:hyperlink r:id="rId10"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302 of the Sarbanes-Oxley Act of 2002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846596592"/>
              <w:rPr>
                <w:rFonts w:eastAsia="Times New Roman"/>
              </w:rPr>
            </w:pPr>
            <w:hyperlink r:id="rId11"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divId w:val="935793218"/>
              <w:rPr>
                <w:rFonts w:eastAsia="Times New Roman"/>
              </w:rPr>
            </w:pPr>
            <w:hyperlink r:id="rId12"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906 of the Sarbanes-Oxley Act of 2002</w:t>
            </w:r>
          </w:p>
        </w:tc>
        <w:tc>
          <w:tcPr>
            <w:tcW w:w="0" w:type="auto"/>
            <w:vAlign w:val="center"/>
            <w:hideMark/>
          </w:tcPr>
          <w:p w:rsidR="00000000" w:rsidRDefault="005C524C">
            <w:pPr>
              <w:spacing w:after="100"/>
              <w:jc w:val="both"/>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w:t>
            </w:r>
            <w:r>
              <w:rPr>
                <w:rFonts w:eastAsia="Times New Roman"/>
                <w:color w:val="000000"/>
                <w:sz w:val="20"/>
                <w:szCs w:val="20"/>
              </w:rPr>
              <w:t>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Inline XBRL Taxonomy Extension Schema Document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Inline XBRL Taxonomy Extension Label Linkbase Document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Inline XBRL Taxonomy Extension Definition Linkbase Document</w:t>
            </w:r>
          </w:p>
        </w:tc>
        <w:tc>
          <w:tcPr>
            <w:tcW w:w="0" w:type="auto"/>
            <w:vAlign w:val="center"/>
            <w:hideMark/>
          </w:tcPr>
          <w:p w:rsidR="00000000" w:rsidRDefault="005C524C">
            <w:pPr>
              <w:spacing w:after="100"/>
              <w:rPr>
                <w:rFonts w:eastAsia="Times New Roman"/>
              </w:rPr>
            </w:pPr>
          </w:p>
        </w:tc>
      </w:tr>
      <w:tr w:rsidR="00000000">
        <w:trPr>
          <w:divId w:val="253243507"/>
        </w:trPr>
        <w:tc>
          <w:tcPr>
            <w:tcW w:w="0" w:type="auto"/>
            <w:gridSpan w:val="3"/>
            <w:tcMar>
              <w:top w:w="30" w:type="dxa"/>
              <w:left w:w="20" w:type="dxa"/>
              <w:bottom w:w="30" w:type="dxa"/>
              <w:right w:w="20" w:type="dxa"/>
            </w:tcMar>
            <w:hideMark/>
          </w:tcPr>
          <w:p w:rsidR="00000000" w:rsidRDefault="005C524C">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C524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5C524C">
            <w:pPr>
              <w:spacing w:after="100"/>
              <w:rPr>
                <w:rFonts w:eastAsia="Times New Roman"/>
              </w:rPr>
            </w:pPr>
          </w:p>
        </w:tc>
      </w:tr>
    </w:tbl>
    <w:p w:rsidR="00000000" w:rsidRDefault="005C524C">
      <w:pPr>
        <w:ind w:hanging="360"/>
        <w:divId w:val="824859749"/>
        <w:rPr>
          <w:rFonts w:eastAsia="Times New Roman"/>
        </w:rPr>
      </w:pPr>
      <w:r>
        <w:rPr>
          <w:rFonts w:eastAsia="Times New Roman"/>
          <w:color w:val="000000"/>
          <w:sz w:val="18"/>
          <w:szCs w:val="18"/>
        </w:rPr>
        <w:t>______________</w:t>
      </w:r>
    </w:p>
    <w:p w:rsidR="00000000" w:rsidRDefault="005C524C">
      <w:pPr>
        <w:ind w:hanging="360"/>
        <w:divId w:val="867186576"/>
        <w:rPr>
          <w:rFonts w:eastAsia="Times New Roman"/>
        </w:rPr>
      </w:pPr>
      <w:r>
        <w:rPr>
          <w:rFonts w:eastAsia="Times New Roman"/>
          <w:color w:val="000000"/>
          <w:sz w:val="18"/>
          <w:szCs w:val="18"/>
        </w:rPr>
        <w:t>#    Filed herewith.</w:t>
      </w:r>
    </w:p>
    <w:p w:rsidR="00000000" w:rsidRDefault="005C524C">
      <w:pPr>
        <w:jc w:val="center"/>
        <w:divId w:val="513425360"/>
        <w:rPr>
          <w:rFonts w:eastAsia="Times New Roman"/>
        </w:rPr>
      </w:pPr>
      <w:r>
        <w:rPr>
          <w:rFonts w:eastAsia="Times New Roman"/>
          <w:b/>
          <w:bCs/>
          <w:color w:val="000000"/>
          <w:sz w:val="20"/>
          <w:szCs w:val="20"/>
        </w:rPr>
        <w:t>GLOSSARY</w:t>
      </w:r>
    </w:p>
    <w:p w:rsidR="00000000" w:rsidRDefault="005C524C">
      <w:pPr>
        <w:divId w:val="880483653"/>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1443761501"/>
          <w:jc w:val="center"/>
        </w:trPr>
        <w:tc>
          <w:tcPr>
            <w:tcW w:w="50" w:type="pct"/>
            <w:vAlign w:val="center"/>
            <w:hideMark/>
          </w:tcPr>
          <w:p w:rsidR="00000000" w:rsidRDefault="005C524C">
            <w:pP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5C524C">
            <w:pPr>
              <w:spacing w:after="100"/>
              <w:divId w:val="1932599"/>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5C524C">
            <w:pPr>
              <w:spacing w:after="100"/>
              <w:divId w:val="1594701394"/>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443761501"/>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443761501"/>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617446773"/>
        <w:rPr>
          <w:rFonts w:eastAsia="Times New Roman"/>
        </w:rPr>
      </w:pPr>
      <w:r>
        <w:rPr>
          <w:rFonts w:eastAsia="Times New Roman"/>
          <w:color w:val="000000"/>
          <w:sz w:val="20"/>
          <w:szCs w:val="20"/>
        </w:rPr>
        <w:t>111</w:t>
      </w:r>
    </w:p>
    <w:p w:rsidR="00000000" w:rsidRDefault="005C524C">
      <w:pPr>
        <w:rPr>
          <w:rFonts w:eastAsia="Times New Roman"/>
        </w:rPr>
      </w:pPr>
      <w:r>
        <w:rPr>
          <w:rFonts w:eastAsia="Times New Roman"/>
        </w:rPr>
        <w:pict>
          <v:rect id="_x0000_i1137" style="width:0;height:1.5pt" o:hralign="center" o:hrstd="t" o:hr="t" fillcolor="#a0a0a0" stroked="f"/>
        </w:pict>
      </w:r>
    </w:p>
    <w:p w:rsidR="00000000" w:rsidRDefault="005C524C">
      <w:pPr>
        <w:divId w:val="448594747"/>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divId w:val="1826433229"/>
          <w:jc w:val="center"/>
        </w:trPr>
        <w:tc>
          <w:tcPr>
            <w:tcW w:w="50" w:type="pct"/>
            <w:vAlign w:val="center"/>
            <w:hideMark/>
          </w:tcPr>
          <w:p w:rsidR="00000000" w:rsidRDefault="005C524C">
            <w:pP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1826433229"/>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Represent amounts that are credited to a policyholder’s account balance that are higher than the expected crediting rates on similar contracts without such an inducement and that are an incentive to purchase a contract and also meet the accounting criteria</w:t>
            </w:r>
            <w:r>
              <w:rPr>
                <w:rFonts w:eastAsia="Times New Roman"/>
                <w:color w:val="000000"/>
                <w:sz w:val="20"/>
                <w:szCs w:val="20"/>
              </w:rPr>
              <w:t xml:space="preserve"> to be deferred as an asset that is amortized over the life of the contract.</w:t>
            </w:r>
          </w:p>
        </w:tc>
      </w:tr>
      <w:tr w:rsidR="00000000">
        <w:trPr>
          <w:divId w:val="1826433229"/>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826433229"/>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w:t>
            </w:r>
            <w:r>
              <w:rPr>
                <w:rFonts w:eastAsia="Times New Roman"/>
                <w:color w:val="000000"/>
                <w:sz w:val="20"/>
                <w:szCs w:val="20"/>
              </w:rPr>
              <w:t>n which it has an ownership stake.</w:t>
            </w:r>
          </w:p>
        </w:tc>
      </w:tr>
      <w:tr w:rsidR="00000000">
        <w:trPr>
          <w:divId w:val="1826433229"/>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826433229"/>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1826433229"/>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1826433229"/>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Gross Premiums</w:t>
            </w: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5C524C">
            <w:pPr>
              <w:jc w:val="cente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Equals the aggregate value of Policyholders’ account balances and Future policy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Insurance policies purchased by insurers to limit the total loss they would experience from a</w:t>
            </w:r>
            <w:r>
              <w:rPr>
                <w:rFonts w:eastAsia="Times New Roman"/>
                <w:color w:val="000000"/>
                <w:sz w:val="20"/>
                <w:szCs w:val="20"/>
              </w:rPr>
              <w:t>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Primarily consists of capital and surplus, and t</w:t>
            </w:r>
            <w:r>
              <w:rPr>
                <w:rFonts w:eastAsia="Times New Roman"/>
                <w:color w:val="000000"/>
                <w:sz w:val="20"/>
                <w:szCs w:val="20"/>
              </w:rPr>
              <w: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tax-deferred retirement savings 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Refers to individuals</w:t>
            </w:r>
            <w:r>
              <w:rPr>
                <w:rFonts w:eastAsia="Times New Roman"/>
                <w:color w:val="000000"/>
                <w:sz w:val="20"/>
                <w:szCs w:val="20"/>
              </w:rPr>
              <w:t xml:space="preserve">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The person who receives annuity payments or the person whose life expectancy determines the amount of variable annuity payments upon annuitization of an annuity to 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The process of converting an annuity investment into a series of periodic income payments, generally for life.</w:t>
            </w:r>
          </w:p>
        </w:tc>
      </w:tr>
    </w:tbl>
    <w:p w:rsidR="00000000" w:rsidRDefault="005C524C">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jc w:val="center"/>
        </w:trPr>
        <w:tc>
          <w:tcPr>
            <w:tcW w:w="50" w:type="pct"/>
            <w:vAlign w:val="center"/>
            <w:hideMark/>
          </w:tcPr>
          <w:p w:rsidR="00000000" w:rsidRDefault="005C524C">
            <w:pPr>
              <w:jc w:val="cente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The amount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method of calculating the reduction o</w:t>
            </w:r>
            <w:r>
              <w:rPr>
                <w:rFonts w:eastAsia="Times New Roman"/>
                <w:color w:val="000000"/>
                <w:sz w:val="20"/>
                <w:szCs w:val="20"/>
              </w:rPr>
              <w:t>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1440684790"/>
        <w:rPr>
          <w:rFonts w:eastAsia="Times New Roman"/>
        </w:rPr>
      </w:pPr>
      <w:r>
        <w:rPr>
          <w:rFonts w:eastAsia="Times New Roman"/>
          <w:color w:val="000000"/>
          <w:sz w:val="20"/>
          <w:szCs w:val="20"/>
        </w:rPr>
        <w:t>112</w:t>
      </w:r>
    </w:p>
    <w:p w:rsidR="00000000" w:rsidRDefault="005C524C">
      <w:pPr>
        <w:rPr>
          <w:rFonts w:eastAsia="Times New Roman"/>
        </w:rPr>
      </w:pPr>
      <w:r>
        <w:rPr>
          <w:rFonts w:eastAsia="Times New Roman"/>
        </w:rPr>
        <w:pict>
          <v:rect id="_x0000_i1138" style="width:0;height:1.5pt" o:hralign="center" o:hrstd="t" o:hr="t" fillcolor="#a0a0a0" stroked="f"/>
        </w:pict>
      </w:r>
    </w:p>
    <w:p w:rsidR="00000000" w:rsidRDefault="005C524C">
      <w:pPr>
        <w:divId w:val="648948744"/>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7"/>
        <w:gridCol w:w="69"/>
        <w:gridCol w:w="5197"/>
        <w:gridCol w:w="38"/>
      </w:tblGrid>
      <w:tr w:rsidR="00000000">
        <w:trPr>
          <w:jc w:val="center"/>
        </w:trPr>
        <w:tc>
          <w:tcPr>
            <w:tcW w:w="50" w:type="pct"/>
            <w:vAlign w:val="center"/>
            <w:hideMark/>
          </w:tcPr>
          <w:p w:rsidR="00000000" w:rsidRDefault="005C524C">
            <w:pP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general reference to all forms of variable annuity guaranteed benefits, including gu</w:t>
            </w:r>
            <w:r>
              <w:rPr>
                <w:rFonts w:eastAsia="Times New Roman"/>
                <w:color w:val="000000"/>
                <w:sz w:val="20"/>
                <w:szCs w:val="20"/>
              </w:rPr>
              <w:t>aranteed minimum living benefits, or GMLBs (such as GMIBs, GMWBs and GMABs), and guaranteed minimum death benefits, or GMDBs (inclusive of return of premium death benefit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rsidR="00000000" w:rsidRDefault="005C524C">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C524C">
            <w:pPr>
              <w:jc w:val="cente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minimum income benefits (“GMIB”)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w:t>
            </w:r>
            <w:r>
              <w:rPr>
                <w:rFonts w:eastAsia="Times New Roman"/>
                <w:color w:val="000000"/>
                <w:sz w:val="20"/>
                <w:szCs w:val="20"/>
              </w:rPr>
              <w:t>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 xml:space="preserve">Guaranteed minimum living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w:t>
            </w:r>
            <w:r>
              <w:rPr>
                <w:rFonts w:eastAsia="Times New Roman"/>
                <w:color w:val="000000"/>
                <w:sz w:val="20"/>
                <w:szCs w:val="20"/>
              </w:rPr>
              <w:t>ting policy investment returns.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Optional benefits (available at an additional cost) that guarantee 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fee charged by insurance companies</w:t>
            </w:r>
            <w:r>
              <w:rPr>
                <w:rFonts w:eastAsia="Times New Roman"/>
                <w:color w:val="000000"/>
                <w:sz w:val="20"/>
                <w:szCs w:val="20"/>
              </w:rPr>
              <w:t xml:space="preserve"> to compensate for the risk they take by issuing life insurance and variable annuity contracts.</w:t>
            </w:r>
          </w:p>
        </w:tc>
      </w:tr>
    </w:tbl>
    <w:p w:rsidR="00000000" w:rsidRDefault="005C524C">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C524C">
            <w:pPr>
              <w:jc w:val="cente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5C524C">
            <w:pPr>
              <w:spacing w:after="100"/>
              <w:divId w:val="1748379255"/>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rsidR="00000000" w:rsidRDefault="005C524C">
            <w:pPr>
              <w:spacing w:after="100"/>
              <w:divId w:val="1105199536"/>
              <w:rPr>
                <w:rFonts w:eastAsia="Times New Roman"/>
              </w:rPr>
            </w:pPr>
            <w:r>
              <w:rPr>
                <w:rFonts w:eastAsia="Times New Roman"/>
                <w:color w:val="000000"/>
                <w:sz w:val="12"/>
                <w:szCs w:val="12"/>
              </w:rPr>
              <w:t> </w:t>
            </w:r>
          </w:p>
          <w:p w:rsidR="00000000" w:rsidRDefault="005C524C">
            <w:pPr>
              <w:spacing w:after="100"/>
              <w:divId w:val="939414293"/>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w:t>
            </w:r>
            <w:r>
              <w:rPr>
                <w:rFonts w:eastAsia="Times New Roman"/>
                <w:color w:val="000000"/>
                <w:sz w:val="20"/>
                <w:szCs w:val="20"/>
              </w:rPr>
              <w:t>rest is credited to the policyholder’s account at interest rates we determine which are influenced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bl>
    <w:p w:rsidR="00000000" w:rsidRDefault="005C524C">
      <w:pPr>
        <w:jc w:val="center"/>
        <w:divId w:val="75247821"/>
        <w:rPr>
          <w:rFonts w:eastAsia="Times New Roman"/>
        </w:rPr>
      </w:pPr>
      <w:r>
        <w:rPr>
          <w:rFonts w:eastAsia="Times New Roman"/>
          <w:color w:val="000000"/>
          <w:sz w:val="20"/>
          <w:szCs w:val="20"/>
        </w:rPr>
        <w:t>113</w:t>
      </w:r>
    </w:p>
    <w:p w:rsidR="00000000" w:rsidRDefault="005C524C">
      <w:pPr>
        <w:rPr>
          <w:rFonts w:eastAsia="Times New Roman"/>
        </w:rPr>
      </w:pPr>
      <w:r>
        <w:rPr>
          <w:rFonts w:eastAsia="Times New Roman"/>
        </w:rPr>
        <w:pict>
          <v:rect id="_x0000_i1139" style="width:0;height:1.5pt" o:hralign="center" o:hrstd="t" o:hr="t" fillcolor="#a0a0a0" stroked="f"/>
        </w:pict>
      </w:r>
    </w:p>
    <w:p w:rsidR="00000000" w:rsidRDefault="005C524C">
      <w:pPr>
        <w:divId w:val="2038236958"/>
        <w:rPr>
          <w:rFonts w:eastAsia="Times New Roman"/>
        </w:rPr>
      </w:pPr>
      <w:hyperlink w:anchor="i2588464f77ae40b48abb7647b419da5e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7"/>
        <w:gridCol w:w="69"/>
        <w:gridCol w:w="5197"/>
        <w:gridCol w:w="36"/>
      </w:tblGrid>
      <w:tr w:rsidR="00000000">
        <w:trPr>
          <w:jc w:val="center"/>
        </w:trPr>
        <w:tc>
          <w:tcPr>
            <w:tcW w:w="50" w:type="pct"/>
            <w:vAlign w:val="center"/>
            <w:hideMark/>
          </w:tcPr>
          <w:p w:rsidR="00000000" w:rsidRDefault="005C524C">
            <w:pP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This death benefit pays the greater of the account value at the time of a claim following the owner’s death or the total contributions to the contract (subject to adjustment for withdrawals). The charge for this benefit is usually included in the M&amp;E fee t</w:t>
            </w:r>
            <w:r>
              <w:rPr>
                <w:rFonts w:eastAsia="Times New Roman"/>
                <w:color w:val="000000"/>
                <w:sz w:val="20"/>
                <w:szCs w:val="20"/>
              </w:rPr>
              <w:t>hat is deducted daily from the net assets in each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An optional feature or benefit that a policyholder can purchase at an additional c</w:t>
            </w:r>
            <w:r>
              <w:rPr>
                <w:rFonts w:eastAsia="Times New Roman"/>
                <w:color w:val="000000"/>
                <w:sz w:val="20"/>
                <w:szCs w:val="20"/>
              </w:rPr>
              <w:t>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5C524C">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C524C">
            <w:pPr>
              <w:jc w:val="center"/>
              <w:rPr>
                <w:rFonts w:eastAsia="Times New Roman"/>
              </w:rPr>
            </w:pPr>
          </w:p>
        </w:tc>
        <w:tc>
          <w:tcPr>
            <w:tcW w:w="1753"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3136"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related to specific costs, which may change over time. To the extent that the policyholder chooses to pay more than the charges</w:t>
            </w:r>
            <w:r>
              <w:rPr>
                <w:rFonts w:eastAsia="Times New Roman"/>
                <w:color w:val="000000"/>
                <w:sz w:val="20"/>
                <w:szCs w:val="20"/>
              </w:rPr>
              <w:t xml:space="preserve"> required in any given year to keep the policy in-force, the excess premium will be placed into the AV of the policy and credited with a stated interest rate on a monthly basis.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type of annuity that offers guaranteed periodic</w:t>
            </w:r>
            <w:r>
              <w:rPr>
                <w:rFonts w:eastAsia="Times New Roman"/>
                <w:color w:val="000000"/>
                <w:sz w:val="20"/>
                <w:szCs w:val="20"/>
              </w:rPr>
              <w:t xml:space="preserve"> payments for a defined period of time or for life and gives purchasers the ability to invest in various markets though the underlying investment options, which may result in potentially higher, but variable,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w:t>
            </w:r>
            <w:r>
              <w:rPr>
                <w:rFonts w:eastAsia="Times New Roman"/>
                <w:color w:val="000000"/>
                <w:sz w:val="20"/>
                <w:szCs w:val="20"/>
              </w:rPr>
              <w:t>er bears the entire risk and returns of the investment results.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5C524C">
      <w:pPr>
        <w:jc w:val="center"/>
        <w:rPr>
          <w:rFonts w:eastAsia="Times New Roman"/>
        </w:rPr>
      </w:pPr>
    </w:p>
    <w:p w:rsidR="00000000" w:rsidRDefault="005C524C">
      <w:pPr>
        <w:jc w:val="center"/>
        <w:divId w:val="901600242"/>
        <w:rPr>
          <w:rFonts w:eastAsia="Times New Roman"/>
        </w:rPr>
      </w:pPr>
      <w:r>
        <w:rPr>
          <w:rFonts w:eastAsia="Times New Roman"/>
          <w:color w:val="000000"/>
          <w:sz w:val="20"/>
          <w:szCs w:val="20"/>
        </w:rPr>
        <w:t>114</w:t>
      </w:r>
    </w:p>
    <w:p w:rsidR="00000000" w:rsidRDefault="005C524C">
      <w:pPr>
        <w:rPr>
          <w:rFonts w:eastAsia="Times New Roman"/>
        </w:rPr>
      </w:pPr>
      <w:r>
        <w:rPr>
          <w:rFonts w:eastAsia="Times New Roman"/>
        </w:rPr>
        <w:pict>
          <v:rect id="_x0000_i1140" style="width:0;height:1.5pt" o:hralign="center" o:hrstd="t" o:hr="t" fillcolor="#a0a0a0" stroked="f"/>
        </w:pict>
      </w:r>
    </w:p>
    <w:p w:rsidR="00000000" w:rsidRDefault="005C524C">
      <w:pPr>
        <w:divId w:val="643390291"/>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jc w:val="center"/>
        <w:divId w:val="2119374332"/>
        <w:rPr>
          <w:rFonts w:eastAsia="Times New Roman"/>
        </w:rPr>
      </w:pPr>
      <w:r>
        <w:rPr>
          <w:rFonts w:eastAsia="Times New Roman"/>
          <w:b/>
          <w:bCs/>
          <w:color w:val="000000"/>
          <w:sz w:val="20"/>
          <w:szCs w:val="20"/>
        </w:rPr>
        <w:t>ACRONYMS</w:t>
      </w:r>
    </w:p>
    <w:p w:rsidR="00000000" w:rsidRDefault="005C524C">
      <w:pPr>
        <w:ind w:hanging="360"/>
        <w:jc w:val="both"/>
        <w:textAlignment w:val="top"/>
        <w:divId w:val="1968780662"/>
        <w:rPr>
          <w:rFonts w:eastAsia="Times New Roman"/>
        </w:rPr>
      </w:pPr>
      <w:r>
        <w:rPr>
          <w:rFonts w:eastAsia="Times New Roman"/>
          <w:color w:val="000000"/>
          <w:sz w:val="20"/>
          <w:szCs w:val="20"/>
        </w:rPr>
        <w:t>•“AB” or “AllianceBernstein” means AB Holding and ABLP</w:t>
      </w:r>
    </w:p>
    <w:p w:rsidR="00000000" w:rsidRDefault="005C524C">
      <w:pPr>
        <w:ind w:hanging="360"/>
        <w:jc w:val="both"/>
        <w:textAlignment w:val="top"/>
        <w:divId w:val="251820042"/>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5C524C">
      <w:pPr>
        <w:ind w:hanging="360"/>
        <w:jc w:val="both"/>
        <w:textAlignment w:val="top"/>
        <w:divId w:val="965693719"/>
        <w:rPr>
          <w:rFonts w:eastAsia="Times New Roman"/>
        </w:rPr>
      </w:pPr>
      <w:r>
        <w:rPr>
          <w:rFonts w:eastAsia="Times New Roman"/>
          <w:color w:val="000000"/>
          <w:sz w:val="20"/>
          <w:szCs w:val="20"/>
        </w:rPr>
        <w:t>•“AB Holding Units” means units representing assignments of beneficial ownership of limited partnership interests in AB Holding</w:t>
      </w:r>
    </w:p>
    <w:p w:rsidR="00000000" w:rsidRDefault="005C524C">
      <w:pPr>
        <w:ind w:hanging="360"/>
        <w:jc w:val="both"/>
        <w:textAlignment w:val="top"/>
        <w:divId w:val="1894345092"/>
        <w:rPr>
          <w:rFonts w:eastAsia="Times New Roman"/>
        </w:rPr>
      </w:pPr>
      <w:r>
        <w:rPr>
          <w:rFonts w:eastAsia="Times New Roman"/>
          <w:color w:val="000000"/>
          <w:sz w:val="20"/>
          <w:szCs w:val="20"/>
        </w:rPr>
        <w:t>•“AB Units” means units of limited partnership interests in</w:t>
      </w:r>
      <w:r>
        <w:rPr>
          <w:rFonts w:eastAsia="Times New Roman"/>
          <w:color w:val="000000"/>
          <w:sz w:val="20"/>
          <w:szCs w:val="20"/>
        </w:rPr>
        <w:t xml:space="preserve"> ABLP</w:t>
      </w:r>
    </w:p>
    <w:p w:rsidR="00000000" w:rsidRDefault="005C524C">
      <w:pPr>
        <w:ind w:hanging="360"/>
        <w:jc w:val="both"/>
        <w:textAlignment w:val="top"/>
        <w:divId w:val="167137150"/>
        <w:rPr>
          <w:rFonts w:eastAsia="Times New Roman"/>
        </w:rPr>
      </w:pPr>
      <w:r>
        <w:rPr>
          <w:rFonts w:eastAsia="Times New Roman"/>
          <w:color w:val="000000"/>
          <w:sz w:val="20"/>
          <w:szCs w:val="20"/>
        </w:rPr>
        <w:t>•“ABLP” means AllianceBernstein L.P., a Delaware limited partnership and the operating partnership for the AB business</w:t>
      </w:r>
    </w:p>
    <w:p w:rsidR="00000000" w:rsidRDefault="005C524C">
      <w:pPr>
        <w:textAlignment w:val="top"/>
        <w:divId w:val="1173059849"/>
        <w:rPr>
          <w:rFonts w:eastAsia="Times New Roman"/>
        </w:rPr>
      </w:pPr>
      <w:r>
        <w:rPr>
          <w:rFonts w:eastAsia="Times New Roman"/>
          <w:color w:val="000000"/>
          <w:sz w:val="20"/>
          <w:szCs w:val="20"/>
        </w:rPr>
        <w:t>•“AFS” means available-for-sale</w:t>
      </w:r>
    </w:p>
    <w:p w:rsidR="00000000" w:rsidRDefault="005C524C">
      <w:pPr>
        <w:ind w:hanging="360"/>
        <w:textAlignment w:val="top"/>
        <w:divId w:val="44837750"/>
        <w:rPr>
          <w:rFonts w:eastAsia="Times New Roman"/>
        </w:rPr>
      </w:pPr>
      <w:r>
        <w:rPr>
          <w:rFonts w:eastAsia="Times New Roman"/>
          <w:color w:val="000000"/>
          <w:sz w:val="20"/>
          <w:szCs w:val="20"/>
        </w:rPr>
        <w:t>•“AOCI” means accumulated other comprehensive income</w:t>
      </w:r>
    </w:p>
    <w:p w:rsidR="00000000" w:rsidRDefault="005C524C">
      <w:pPr>
        <w:ind w:hanging="360"/>
        <w:textAlignment w:val="top"/>
        <w:divId w:val="1880580149"/>
        <w:rPr>
          <w:rFonts w:eastAsia="Times New Roman"/>
        </w:rPr>
      </w:pPr>
      <w:r>
        <w:rPr>
          <w:rFonts w:eastAsia="Times New Roman"/>
          <w:color w:val="000000"/>
          <w:sz w:val="20"/>
          <w:szCs w:val="20"/>
        </w:rPr>
        <w:t>•“ASC” means Accounting Standards Codification</w:t>
      </w:r>
    </w:p>
    <w:p w:rsidR="00000000" w:rsidRDefault="005C524C">
      <w:pPr>
        <w:ind w:hanging="360"/>
        <w:textAlignment w:val="top"/>
        <w:divId w:val="2032367059"/>
        <w:rPr>
          <w:rFonts w:eastAsia="Times New Roman"/>
        </w:rPr>
      </w:pPr>
      <w:r>
        <w:rPr>
          <w:rFonts w:eastAsia="Times New Roman"/>
          <w:color w:val="000000"/>
          <w:sz w:val="20"/>
          <w:szCs w:val="20"/>
        </w:rPr>
        <w:t>•“ASR” means accelerated share repurchase</w:t>
      </w:r>
    </w:p>
    <w:p w:rsidR="00000000" w:rsidRDefault="005C524C">
      <w:pPr>
        <w:ind w:firstLine="360"/>
        <w:textAlignment w:val="top"/>
        <w:divId w:val="959726674"/>
        <w:rPr>
          <w:rFonts w:eastAsia="Times New Roman"/>
        </w:rPr>
      </w:pPr>
      <w:r>
        <w:rPr>
          <w:rFonts w:eastAsia="Times New Roman"/>
          <w:color w:val="000000"/>
          <w:sz w:val="20"/>
          <w:szCs w:val="20"/>
        </w:rPr>
        <w:t>•“ASU” means Accounting Standards Update</w:t>
      </w:r>
    </w:p>
    <w:p w:rsidR="00000000" w:rsidRDefault="005C524C">
      <w:pPr>
        <w:ind w:hanging="360"/>
        <w:jc w:val="both"/>
        <w:textAlignment w:val="top"/>
        <w:divId w:val="438380727"/>
        <w:rPr>
          <w:rFonts w:eastAsia="Times New Roman"/>
        </w:rPr>
      </w:pPr>
      <w:r>
        <w:rPr>
          <w:rFonts w:eastAsia="Times New Roman"/>
          <w:color w:val="000000"/>
          <w:sz w:val="20"/>
          <w:szCs w:val="20"/>
        </w:rPr>
        <w:t xml:space="preserve">•“AUM” means assets under management </w:t>
      </w:r>
    </w:p>
    <w:p w:rsidR="00000000" w:rsidRDefault="005C524C">
      <w:pPr>
        <w:ind w:hanging="360"/>
        <w:jc w:val="both"/>
        <w:textAlignment w:val="top"/>
        <w:divId w:val="121844705"/>
        <w:rPr>
          <w:rFonts w:eastAsia="Times New Roman"/>
        </w:rPr>
      </w:pPr>
      <w:r>
        <w:rPr>
          <w:rFonts w:eastAsia="Times New Roman"/>
          <w:color w:val="000000"/>
          <w:sz w:val="20"/>
          <w:szCs w:val="20"/>
        </w:rPr>
        <w:t>•“AUA” means assets under administration</w:t>
      </w:r>
    </w:p>
    <w:p w:rsidR="00000000" w:rsidRDefault="005C524C">
      <w:pPr>
        <w:textAlignment w:val="top"/>
        <w:divId w:val="1353844239"/>
        <w:rPr>
          <w:rFonts w:eastAsia="Times New Roman"/>
        </w:rPr>
      </w:pPr>
      <w:r>
        <w:rPr>
          <w:rFonts w:eastAsia="Times New Roman"/>
          <w:color w:val="000000"/>
          <w:sz w:val="20"/>
          <w:szCs w:val="20"/>
        </w:rPr>
        <w:t>•“AV” means Account Value</w:t>
      </w:r>
    </w:p>
    <w:p w:rsidR="00000000" w:rsidRDefault="005C524C">
      <w:pPr>
        <w:ind w:hanging="360"/>
        <w:jc w:val="both"/>
        <w:textAlignment w:val="top"/>
        <w:divId w:val="2141990112"/>
        <w:rPr>
          <w:rFonts w:eastAsia="Times New Roman"/>
        </w:rPr>
      </w:pPr>
      <w:r>
        <w:rPr>
          <w:rFonts w:eastAsia="Times New Roman"/>
          <w:color w:val="000000"/>
          <w:sz w:val="20"/>
          <w:szCs w:val="20"/>
        </w:rPr>
        <w:t>•“AXA” means AXA S.A., a société anonyme organized under the laws o</w:t>
      </w:r>
      <w:r>
        <w:rPr>
          <w:rFonts w:eastAsia="Times New Roman"/>
          <w:color w:val="000000"/>
          <w:sz w:val="20"/>
          <w:szCs w:val="20"/>
        </w:rPr>
        <w:t>f France, and formerly our controlling stockholder</w:t>
      </w:r>
    </w:p>
    <w:p w:rsidR="00000000" w:rsidRDefault="005C524C">
      <w:pPr>
        <w:ind w:hanging="360"/>
        <w:textAlignment w:val="top"/>
        <w:divId w:val="306513396"/>
        <w:rPr>
          <w:rFonts w:eastAsia="Times New Roman"/>
        </w:rPr>
      </w:pPr>
      <w:r>
        <w:rPr>
          <w:rFonts w:eastAsia="Times New Roman"/>
          <w:color w:val="000000"/>
          <w:sz w:val="20"/>
          <w:szCs w:val="20"/>
        </w:rPr>
        <w:t xml:space="preserve">•“BPs” means basis points </w:t>
      </w:r>
    </w:p>
    <w:p w:rsidR="00000000" w:rsidRDefault="005C524C">
      <w:pPr>
        <w:ind w:hanging="360"/>
        <w:textAlignment w:val="top"/>
        <w:divId w:val="1780297675"/>
        <w:rPr>
          <w:rFonts w:eastAsia="Times New Roman"/>
        </w:rPr>
      </w:pPr>
      <w:r>
        <w:rPr>
          <w:rFonts w:eastAsia="Times New Roman"/>
          <w:color w:val="000000"/>
          <w:sz w:val="20"/>
          <w:szCs w:val="20"/>
        </w:rPr>
        <w:t>•“CDS” means credit default swaps</w:t>
      </w:r>
    </w:p>
    <w:p w:rsidR="00000000" w:rsidRDefault="005C524C">
      <w:pPr>
        <w:ind w:hanging="360"/>
        <w:textAlignment w:val="top"/>
        <w:divId w:val="482888477"/>
        <w:rPr>
          <w:rFonts w:eastAsia="Times New Roman"/>
        </w:rPr>
      </w:pPr>
      <w:r>
        <w:rPr>
          <w:rFonts w:eastAsia="Times New Roman"/>
          <w:color w:val="000000"/>
          <w:sz w:val="20"/>
          <w:szCs w:val="20"/>
        </w:rPr>
        <w:t>•“CLO” means collateralized loan obligation</w:t>
      </w:r>
    </w:p>
    <w:p w:rsidR="00000000" w:rsidRDefault="005C524C">
      <w:pPr>
        <w:ind w:hanging="360"/>
        <w:textAlignment w:val="top"/>
        <w:divId w:val="1131358816"/>
        <w:rPr>
          <w:rFonts w:eastAsia="Times New Roman"/>
        </w:rPr>
      </w:pPr>
      <w:r>
        <w:rPr>
          <w:rFonts w:eastAsia="Times New Roman"/>
          <w:color w:val="000000"/>
          <w:sz w:val="20"/>
          <w:szCs w:val="20"/>
        </w:rPr>
        <w:t>•“COI” means cost of insurance</w:t>
      </w:r>
    </w:p>
    <w:p w:rsidR="00000000" w:rsidRDefault="005C524C">
      <w:pPr>
        <w:textAlignment w:val="top"/>
        <w:divId w:val="1172375262"/>
        <w:rPr>
          <w:rFonts w:eastAsia="Times New Roman"/>
        </w:rPr>
      </w:pPr>
      <w:r>
        <w:rPr>
          <w:rFonts w:eastAsia="Times New Roman"/>
          <w:color w:val="000000"/>
          <w:sz w:val="20"/>
          <w:szCs w:val="20"/>
        </w:rPr>
        <w:t xml:space="preserve">•“COLI” means corporate owned life insurance </w:t>
      </w:r>
    </w:p>
    <w:p w:rsidR="00000000" w:rsidRDefault="005C524C">
      <w:pPr>
        <w:ind w:hanging="360"/>
        <w:textAlignment w:val="top"/>
        <w:divId w:val="1809518981"/>
        <w:rPr>
          <w:rFonts w:eastAsia="Times New Roman"/>
        </w:rPr>
      </w:pPr>
      <w:r>
        <w:rPr>
          <w:rFonts w:eastAsia="Times New Roman"/>
          <w:color w:val="000000"/>
          <w:sz w:val="20"/>
          <w:szCs w:val="20"/>
        </w:rPr>
        <w:t>•“Company” means Equita</w:t>
      </w:r>
      <w:r>
        <w:rPr>
          <w:rFonts w:eastAsia="Times New Roman"/>
          <w:color w:val="000000"/>
          <w:sz w:val="20"/>
          <w:szCs w:val="20"/>
        </w:rPr>
        <w:t>ble Holdings, Inc. with its consolidated subsidiaries</w:t>
      </w:r>
    </w:p>
    <w:p w:rsidR="00000000" w:rsidRDefault="005C524C">
      <w:pPr>
        <w:ind w:hanging="360"/>
        <w:jc w:val="both"/>
        <w:textAlignment w:val="top"/>
        <w:divId w:val="745419155"/>
        <w:rPr>
          <w:rFonts w:eastAsia="Times New Roman"/>
        </w:rPr>
      </w:pPr>
      <w:r>
        <w:rPr>
          <w:rFonts w:eastAsia="Times New Roman"/>
          <w:color w:val="000000"/>
          <w:sz w:val="20"/>
          <w:szCs w:val="20"/>
        </w:rPr>
        <w:t>•“CS Life” means Corporate Solutions Life Reinsurance Company, a Delaware corporation and a wholly-owned direct subsidiary of Holdings</w:t>
      </w:r>
    </w:p>
    <w:p w:rsidR="00000000" w:rsidRDefault="005C524C">
      <w:pPr>
        <w:ind w:hanging="360"/>
        <w:jc w:val="both"/>
        <w:textAlignment w:val="top"/>
        <w:divId w:val="1979147058"/>
        <w:rPr>
          <w:rFonts w:eastAsia="Times New Roman"/>
        </w:rPr>
      </w:pPr>
      <w:r>
        <w:rPr>
          <w:rFonts w:eastAsia="Times New Roman"/>
          <w:color w:val="000000"/>
          <w:sz w:val="20"/>
          <w:szCs w:val="20"/>
        </w:rPr>
        <w:t xml:space="preserve">•“CS Life RE” means CS Life RE Company, an Arizona corporation and </w:t>
      </w:r>
      <w:r>
        <w:rPr>
          <w:rFonts w:eastAsia="Times New Roman"/>
          <w:color w:val="000000"/>
          <w:sz w:val="20"/>
          <w:szCs w:val="20"/>
        </w:rPr>
        <w:t>a wholly-owned indirect subsidiary of Holdings</w:t>
      </w:r>
    </w:p>
    <w:p w:rsidR="00000000" w:rsidRDefault="005C524C">
      <w:pPr>
        <w:ind w:firstLine="360"/>
        <w:textAlignment w:val="top"/>
        <w:divId w:val="333608704"/>
        <w:rPr>
          <w:rFonts w:eastAsia="Times New Roman"/>
        </w:rPr>
      </w:pPr>
      <w:r>
        <w:rPr>
          <w:rFonts w:eastAsia="Times New Roman"/>
          <w:color w:val="000000"/>
          <w:sz w:val="20"/>
          <w:szCs w:val="20"/>
        </w:rPr>
        <w:t>•“CSA” means credit support annex</w:t>
      </w:r>
    </w:p>
    <w:p w:rsidR="00000000" w:rsidRDefault="005C524C">
      <w:pPr>
        <w:ind w:hanging="360"/>
        <w:textAlignment w:val="top"/>
        <w:divId w:val="1685135614"/>
        <w:rPr>
          <w:rFonts w:eastAsia="Times New Roman"/>
        </w:rPr>
      </w:pPr>
      <w:r>
        <w:rPr>
          <w:rFonts w:eastAsia="Times New Roman"/>
          <w:color w:val="000000"/>
          <w:sz w:val="20"/>
          <w:szCs w:val="20"/>
        </w:rPr>
        <w:t>•“CTE” means conditional tail expectation</w:t>
      </w:r>
    </w:p>
    <w:p w:rsidR="00000000" w:rsidRDefault="005C524C">
      <w:pPr>
        <w:textAlignment w:val="top"/>
        <w:divId w:val="804853614"/>
        <w:rPr>
          <w:rFonts w:eastAsia="Times New Roman"/>
        </w:rPr>
      </w:pPr>
      <w:r>
        <w:rPr>
          <w:rFonts w:eastAsia="Times New Roman"/>
          <w:color w:val="000000"/>
          <w:sz w:val="20"/>
          <w:szCs w:val="20"/>
        </w:rPr>
        <w:t>•“DAC” means deferred policy acquisition costs</w:t>
      </w:r>
    </w:p>
    <w:p w:rsidR="00000000" w:rsidRDefault="005C524C">
      <w:pPr>
        <w:textAlignment w:val="top"/>
        <w:divId w:val="1453136243"/>
        <w:rPr>
          <w:rFonts w:eastAsia="Times New Roman"/>
        </w:rPr>
      </w:pPr>
      <w:r>
        <w:rPr>
          <w:rFonts w:eastAsia="Times New Roman"/>
          <w:color w:val="000000"/>
          <w:sz w:val="20"/>
          <w:szCs w:val="20"/>
        </w:rPr>
        <w:t xml:space="preserve">•“DI” means disability income </w:t>
      </w:r>
    </w:p>
    <w:p w:rsidR="00000000" w:rsidRDefault="005C524C">
      <w:pPr>
        <w:ind w:firstLine="360"/>
        <w:textAlignment w:val="top"/>
        <w:divId w:val="1350983766"/>
        <w:rPr>
          <w:rFonts w:eastAsia="Times New Roman"/>
        </w:rPr>
      </w:pPr>
      <w:r>
        <w:rPr>
          <w:rFonts w:eastAsia="Times New Roman"/>
          <w:color w:val="000000"/>
          <w:sz w:val="20"/>
          <w:szCs w:val="20"/>
        </w:rPr>
        <w:t xml:space="preserve">•“DOL” </w:t>
      </w:r>
      <w:r>
        <w:rPr>
          <w:rFonts w:eastAsia="Times New Roman"/>
          <w:color w:val="000000"/>
          <w:sz w:val="20"/>
          <w:szCs w:val="20"/>
        </w:rPr>
        <w:t>means U.S. Department of Labor</w:t>
      </w:r>
    </w:p>
    <w:p w:rsidR="00000000" w:rsidRDefault="005C524C">
      <w:pPr>
        <w:ind w:hanging="360"/>
        <w:jc w:val="both"/>
        <w:textAlignment w:val="top"/>
        <w:divId w:val="2050492907"/>
        <w:rPr>
          <w:rFonts w:eastAsia="Times New Roman"/>
        </w:rPr>
      </w:pPr>
      <w:r>
        <w:rPr>
          <w:rFonts w:eastAsia="Times New Roman"/>
          <w:color w:val="000000"/>
          <w:sz w:val="20"/>
          <w:szCs w:val="20"/>
        </w:rPr>
        <w:t>•“DSC” means debt service coverage</w:t>
      </w:r>
    </w:p>
    <w:p w:rsidR="00000000" w:rsidRDefault="005C524C">
      <w:pPr>
        <w:ind w:hanging="360"/>
        <w:textAlignment w:val="top"/>
        <w:divId w:val="106127053"/>
        <w:rPr>
          <w:rFonts w:eastAsia="Times New Roman"/>
        </w:rPr>
      </w:pPr>
      <w:r>
        <w:rPr>
          <w:rFonts w:eastAsia="Times New Roman"/>
          <w:color w:val="000000"/>
          <w:sz w:val="20"/>
          <w:szCs w:val="20"/>
        </w:rPr>
        <w:t>•“DSI” means deferred sales inducement</w:t>
      </w:r>
    </w:p>
    <w:p w:rsidR="00000000" w:rsidRDefault="005C524C">
      <w:pPr>
        <w:ind w:hanging="360"/>
        <w:textAlignment w:val="top"/>
        <w:divId w:val="1944066869"/>
        <w:rPr>
          <w:rFonts w:eastAsia="Times New Roman"/>
        </w:rPr>
      </w:pPr>
      <w:r>
        <w:rPr>
          <w:rFonts w:eastAsia="Times New Roman"/>
          <w:color w:val="000000"/>
          <w:sz w:val="20"/>
          <w:szCs w:val="20"/>
        </w:rPr>
        <w:t>•“EAFE” means European, Australasia, and Far East</w:t>
      </w:r>
    </w:p>
    <w:p w:rsidR="00000000" w:rsidRDefault="005C524C">
      <w:pPr>
        <w:ind w:hanging="360"/>
        <w:textAlignment w:val="top"/>
        <w:divId w:val="1282303901"/>
        <w:rPr>
          <w:rFonts w:eastAsia="Times New Roman"/>
        </w:rPr>
      </w:pPr>
      <w:r>
        <w:rPr>
          <w:rFonts w:eastAsia="Times New Roman"/>
          <w:color w:val="000000"/>
          <w:sz w:val="20"/>
          <w:szCs w:val="20"/>
        </w:rPr>
        <w:t>•“EB” means Employee Benefits</w:t>
      </w:r>
    </w:p>
    <w:p w:rsidR="00000000" w:rsidRDefault="005C524C">
      <w:pPr>
        <w:ind w:hanging="360"/>
        <w:jc w:val="both"/>
        <w:textAlignment w:val="top"/>
        <w:divId w:val="2059236101"/>
        <w:rPr>
          <w:rFonts w:eastAsia="Times New Roman"/>
        </w:rPr>
      </w:pPr>
      <w:r>
        <w:rPr>
          <w:rFonts w:eastAsia="Times New Roman"/>
          <w:color w:val="000000"/>
          <w:sz w:val="20"/>
          <w:szCs w:val="20"/>
        </w:rPr>
        <w:t xml:space="preserve">•“EFS” </w:t>
      </w:r>
      <w:r>
        <w:rPr>
          <w:rFonts w:eastAsia="Times New Roman"/>
          <w:color w:val="000000"/>
          <w:sz w:val="20"/>
          <w:szCs w:val="20"/>
        </w:rPr>
        <w:t>means Equitable Financial Services, LLC, a Delaware corporation and a wholly-owned direct subsidiary of Holdings</w:t>
      </w:r>
    </w:p>
    <w:p w:rsidR="00000000" w:rsidRDefault="005C524C">
      <w:pPr>
        <w:textAlignment w:val="top"/>
        <w:divId w:val="929855468"/>
        <w:rPr>
          <w:rFonts w:eastAsia="Times New Roman"/>
        </w:rPr>
      </w:pPr>
      <w:r>
        <w:rPr>
          <w:rFonts w:eastAsia="Times New Roman"/>
          <w:color w:val="000000"/>
          <w:sz w:val="20"/>
          <w:szCs w:val="20"/>
        </w:rPr>
        <w:t>•“EPS” means earnings per share</w:t>
      </w:r>
    </w:p>
    <w:p w:rsidR="00000000" w:rsidRDefault="005C524C">
      <w:pPr>
        <w:ind w:hanging="360"/>
        <w:jc w:val="both"/>
        <w:textAlignment w:val="top"/>
        <w:divId w:val="1378970019"/>
        <w:rPr>
          <w:rFonts w:eastAsia="Times New Roman"/>
        </w:rPr>
      </w:pPr>
      <w:r>
        <w:rPr>
          <w:rFonts w:eastAsia="Times New Roman"/>
          <w:color w:val="000000"/>
          <w:sz w:val="20"/>
          <w:szCs w:val="20"/>
        </w:rPr>
        <w:t>•“EIMG” means Equitable Investment Management Group, LLC, a Delaware limited liability company and a wholly-own</w:t>
      </w:r>
      <w:r>
        <w:rPr>
          <w:rFonts w:eastAsia="Times New Roman"/>
          <w:color w:val="000000"/>
          <w:sz w:val="20"/>
          <w:szCs w:val="20"/>
        </w:rPr>
        <w:t>ed indirect subsidiary of Holdings.</w:t>
      </w:r>
    </w:p>
    <w:p w:rsidR="00000000" w:rsidRDefault="005C524C">
      <w:pPr>
        <w:ind w:hanging="360"/>
        <w:jc w:val="both"/>
        <w:textAlignment w:val="top"/>
        <w:divId w:val="808321242"/>
        <w:rPr>
          <w:rFonts w:eastAsia="Times New Roman"/>
        </w:rPr>
      </w:pPr>
      <w:r>
        <w:rPr>
          <w:rFonts w:eastAsia="Times New Roman"/>
          <w:color w:val="000000"/>
          <w:sz w:val="20"/>
          <w:szCs w:val="20"/>
        </w:rPr>
        <w:t xml:space="preserve">•“EIM” means Equitable Investment Management, LLC, a Delaware limited liability company and wholly-owned indirect subsidiary of Holdings. </w:t>
      </w:r>
    </w:p>
    <w:p w:rsidR="00000000" w:rsidRDefault="005C524C">
      <w:pPr>
        <w:ind w:hanging="360"/>
        <w:jc w:val="both"/>
        <w:textAlignment w:val="top"/>
        <w:divId w:val="777257672"/>
        <w:rPr>
          <w:rFonts w:eastAsia="Times New Roman"/>
        </w:rPr>
      </w:pPr>
      <w:r>
        <w:rPr>
          <w:rFonts w:eastAsia="Times New Roman"/>
          <w:color w:val="000000"/>
          <w:sz w:val="20"/>
          <w:szCs w:val="20"/>
        </w:rPr>
        <w:t>•“Equitable Advisors” means Equitable Advisors, LLC, a Delaware limited liability</w:t>
      </w:r>
      <w:r>
        <w:rPr>
          <w:rFonts w:eastAsia="Times New Roman"/>
          <w:color w:val="000000"/>
          <w:sz w:val="20"/>
          <w:szCs w:val="20"/>
        </w:rPr>
        <w:t xml:space="preserve"> company, our retail broker/dealer for our retirement and protection businesses and a wholly-owned indirect subsidiary of Holdings</w:t>
      </w:r>
    </w:p>
    <w:p w:rsidR="00000000" w:rsidRDefault="005C524C">
      <w:pPr>
        <w:ind w:hanging="360"/>
        <w:jc w:val="both"/>
        <w:textAlignment w:val="top"/>
        <w:divId w:val="1002977924"/>
        <w:rPr>
          <w:rFonts w:eastAsia="Times New Roman"/>
        </w:rPr>
      </w:pPr>
      <w:r>
        <w:rPr>
          <w:rFonts w:eastAsia="Times New Roman"/>
          <w:color w:val="000000"/>
          <w:sz w:val="20"/>
          <w:szCs w:val="20"/>
        </w:rPr>
        <w:t>•“Equitable America” means Equitable Financial Life Insurance Company of America (f/k/a MONY Life Insurance Company of Americ</w:t>
      </w:r>
      <w:r>
        <w:rPr>
          <w:rFonts w:eastAsia="Times New Roman"/>
          <w:color w:val="000000"/>
          <w:sz w:val="20"/>
          <w:szCs w:val="20"/>
        </w:rPr>
        <w:t>a), an Arizona corporation and a wholly-owned indirect subsidiary of Holdings</w:t>
      </w:r>
    </w:p>
    <w:p w:rsidR="00000000" w:rsidRDefault="005C524C">
      <w:pPr>
        <w:ind w:hanging="360"/>
        <w:jc w:val="both"/>
        <w:textAlignment w:val="top"/>
        <w:divId w:val="1726172753"/>
        <w:rPr>
          <w:rFonts w:eastAsia="Times New Roman"/>
        </w:rPr>
      </w:pPr>
      <w:r>
        <w:rPr>
          <w:rFonts w:eastAsia="Times New Roman"/>
          <w:color w:val="000000"/>
          <w:sz w:val="20"/>
          <w:szCs w:val="20"/>
        </w:rPr>
        <w:t>•“Equitable Financial” means Equitable Financial Life Insurance Company, a New York corporation, a life insurance company and a wholly-owned subsidiary of EFS</w:t>
      </w:r>
    </w:p>
    <w:p w:rsidR="00000000" w:rsidRDefault="005C524C">
      <w:pPr>
        <w:ind w:hanging="360"/>
        <w:jc w:val="both"/>
        <w:textAlignment w:val="top"/>
        <w:divId w:val="510336115"/>
        <w:rPr>
          <w:rFonts w:eastAsia="Times New Roman"/>
        </w:rPr>
      </w:pPr>
      <w:r>
        <w:rPr>
          <w:rFonts w:eastAsia="Times New Roman"/>
          <w:color w:val="000000"/>
          <w:sz w:val="20"/>
          <w:szCs w:val="20"/>
        </w:rPr>
        <w:t>•“EQ AZ Life Re” me</w:t>
      </w:r>
      <w:r>
        <w:rPr>
          <w:rFonts w:eastAsia="Times New Roman"/>
          <w:color w:val="000000"/>
          <w:sz w:val="20"/>
          <w:szCs w:val="20"/>
        </w:rPr>
        <w:t>ans EQ AZ Life Re Company, an Arizona corporation and a wholly-owned indirect subsidiary of Holdings.</w:t>
      </w:r>
    </w:p>
    <w:p w:rsidR="00000000" w:rsidRDefault="005C524C">
      <w:pPr>
        <w:ind w:hanging="360"/>
        <w:textAlignment w:val="top"/>
        <w:divId w:val="1709800068"/>
        <w:rPr>
          <w:rFonts w:eastAsia="Times New Roman"/>
        </w:rPr>
      </w:pPr>
      <w:r>
        <w:rPr>
          <w:rFonts w:eastAsia="Times New Roman"/>
          <w:color w:val="000000"/>
          <w:sz w:val="20"/>
          <w:szCs w:val="20"/>
        </w:rPr>
        <w:t>•“ERISA” means Employee Retirement Income Security Act of 1974</w:t>
      </w:r>
    </w:p>
    <w:p w:rsidR="00000000" w:rsidRDefault="005C524C">
      <w:pPr>
        <w:ind w:hanging="360"/>
        <w:jc w:val="both"/>
        <w:textAlignment w:val="top"/>
        <w:divId w:val="876313000"/>
        <w:rPr>
          <w:rFonts w:eastAsia="Times New Roman"/>
        </w:rPr>
      </w:pPr>
      <w:r>
        <w:rPr>
          <w:rFonts w:eastAsia="Times New Roman"/>
          <w:color w:val="000000"/>
          <w:sz w:val="20"/>
          <w:szCs w:val="20"/>
        </w:rPr>
        <w:t>•“ESG” means environmental, social and governance</w:t>
      </w:r>
    </w:p>
    <w:p w:rsidR="00000000" w:rsidRDefault="005C524C">
      <w:pPr>
        <w:ind w:firstLine="360"/>
        <w:textAlignment w:val="top"/>
        <w:divId w:val="1284120795"/>
        <w:rPr>
          <w:rFonts w:eastAsia="Times New Roman"/>
        </w:rPr>
      </w:pPr>
      <w:r>
        <w:rPr>
          <w:rFonts w:eastAsia="Times New Roman"/>
          <w:color w:val="000000"/>
          <w:sz w:val="20"/>
          <w:szCs w:val="20"/>
        </w:rPr>
        <w:t>•“ETF” means exchange traded funds</w:t>
      </w:r>
    </w:p>
    <w:p w:rsidR="00000000" w:rsidRDefault="005C524C">
      <w:pPr>
        <w:ind w:firstLine="360"/>
        <w:jc w:val="both"/>
        <w:textAlignment w:val="top"/>
        <w:divId w:val="1902252664"/>
        <w:rPr>
          <w:rFonts w:eastAsia="Times New Roman"/>
        </w:rPr>
      </w:pPr>
      <w:r>
        <w:rPr>
          <w:rFonts w:eastAsia="Times New Roman"/>
          <w:color w:val="000000"/>
          <w:sz w:val="20"/>
          <w:szCs w:val="20"/>
        </w:rPr>
        <w:t>•“ETR”</w:t>
      </w:r>
      <w:r>
        <w:rPr>
          <w:rFonts w:eastAsia="Times New Roman"/>
          <w:color w:val="000000"/>
          <w:sz w:val="20"/>
          <w:szCs w:val="20"/>
        </w:rPr>
        <w:t xml:space="preserve"> means effective tax rate</w:t>
      </w:r>
    </w:p>
    <w:p w:rsidR="00000000" w:rsidRDefault="005C524C">
      <w:pPr>
        <w:ind w:hanging="360"/>
        <w:textAlignment w:val="top"/>
        <w:divId w:val="405493064"/>
        <w:rPr>
          <w:rFonts w:eastAsia="Times New Roman"/>
        </w:rPr>
      </w:pPr>
      <w:r>
        <w:rPr>
          <w:rFonts w:eastAsia="Times New Roman"/>
          <w:color w:val="000000"/>
          <w:sz w:val="20"/>
          <w:szCs w:val="20"/>
        </w:rPr>
        <w:t>•“Exchange Act” means Securities Exchange Act of 1934, as amended</w:t>
      </w:r>
    </w:p>
    <w:p w:rsidR="00000000" w:rsidRDefault="005C524C">
      <w:pPr>
        <w:ind w:hanging="360"/>
        <w:textAlignment w:val="top"/>
        <w:divId w:val="1515925343"/>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5C524C">
      <w:pPr>
        <w:ind w:hanging="360"/>
        <w:textAlignment w:val="top"/>
        <w:divId w:val="1841044930"/>
        <w:rPr>
          <w:rFonts w:eastAsia="Times New Roman"/>
        </w:rPr>
      </w:pPr>
      <w:r>
        <w:rPr>
          <w:rFonts w:eastAsia="Times New Roman"/>
          <w:color w:val="000000"/>
          <w:sz w:val="20"/>
          <w:szCs w:val="20"/>
        </w:rPr>
        <w:t>•“FASB” means Financial Accounting Standards Board</w:t>
      </w:r>
    </w:p>
    <w:p w:rsidR="00000000" w:rsidRDefault="005C524C">
      <w:pPr>
        <w:ind w:firstLine="360"/>
        <w:textAlignment w:val="top"/>
        <w:divId w:val="973867763"/>
        <w:rPr>
          <w:rFonts w:eastAsia="Times New Roman"/>
        </w:rPr>
      </w:pPr>
      <w:r>
        <w:rPr>
          <w:rFonts w:eastAsia="Times New Roman"/>
          <w:color w:val="000000"/>
          <w:sz w:val="20"/>
          <w:szCs w:val="20"/>
        </w:rPr>
        <w:t>•“FHLB” means Federal Home Loan Bank</w:t>
      </w:r>
    </w:p>
    <w:p w:rsidR="00000000" w:rsidRDefault="005C524C">
      <w:pPr>
        <w:ind w:hanging="360"/>
        <w:jc w:val="both"/>
        <w:textAlignment w:val="top"/>
        <w:divId w:val="146285846"/>
        <w:rPr>
          <w:rFonts w:eastAsia="Times New Roman"/>
        </w:rPr>
      </w:pPr>
      <w:r>
        <w:rPr>
          <w:rFonts w:eastAsia="Times New Roman"/>
          <w:color w:val="000000"/>
          <w:sz w:val="20"/>
          <w:szCs w:val="20"/>
        </w:rPr>
        <w:t xml:space="preserve">•“FYP” </w:t>
      </w:r>
      <w:r>
        <w:rPr>
          <w:rFonts w:eastAsia="Times New Roman"/>
          <w:color w:val="000000"/>
          <w:sz w:val="20"/>
          <w:szCs w:val="20"/>
        </w:rPr>
        <w:t>means first year premium and deposits</w:t>
      </w:r>
    </w:p>
    <w:p w:rsidR="00000000" w:rsidRDefault="005C524C">
      <w:pPr>
        <w:ind w:hanging="360"/>
        <w:jc w:val="both"/>
        <w:textAlignment w:val="top"/>
        <w:divId w:val="1527713328"/>
        <w:rPr>
          <w:rFonts w:eastAsia="Times New Roman"/>
        </w:rPr>
      </w:pPr>
      <w:r>
        <w:rPr>
          <w:rFonts w:eastAsia="Times New Roman"/>
          <w:color w:val="000000"/>
          <w:sz w:val="20"/>
          <w:szCs w:val="20"/>
        </w:rPr>
        <w:t>•“General Partner” means AllianceBernstein Corporation, a Delaware corporation and the general partner of AB Holding and ABLP</w:t>
      </w:r>
    </w:p>
    <w:p w:rsidR="00000000" w:rsidRDefault="005C524C">
      <w:pPr>
        <w:textAlignment w:val="top"/>
        <w:divId w:val="1326595216"/>
        <w:rPr>
          <w:rFonts w:eastAsia="Times New Roman"/>
        </w:rPr>
      </w:pPr>
      <w:r>
        <w:rPr>
          <w:rFonts w:eastAsia="Times New Roman"/>
          <w:color w:val="000000"/>
          <w:sz w:val="20"/>
          <w:szCs w:val="20"/>
        </w:rPr>
        <w:t>•“GUL” means guaranteed universal life</w:t>
      </w:r>
    </w:p>
    <w:p w:rsidR="00000000" w:rsidRDefault="005C524C">
      <w:pPr>
        <w:textAlignment w:val="top"/>
        <w:divId w:val="1804080324"/>
        <w:rPr>
          <w:rFonts w:eastAsia="Times New Roman"/>
        </w:rPr>
      </w:pPr>
      <w:r>
        <w:rPr>
          <w:rFonts w:eastAsia="Times New Roman"/>
          <w:color w:val="000000"/>
          <w:sz w:val="20"/>
          <w:szCs w:val="20"/>
        </w:rPr>
        <w:t>•“HFS” means held-for-sale</w:t>
      </w:r>
    </w:p>
    <w:p w:rsidR="00000000" w:rsidRDefault="005C524C">
      <w:pPr>
        <w:textAlignment w:val="top"/>
        <w:divId w:val="1040277813"/>
        <w:rPr>
          <w:rFonts w:eastAsia="Times New Roman"/>
        </w:rPr>
      </w:pPr>
      <w:r>
        <w:rPr>
          <w:rFonts w:eastAsia="Times New Roman"/>
          <w:color w:val="000000"/>
          <w:sz w:val="20"/>
          <w:szCs w:val="20"/>
        </w:rPr>
        <w:t>•“Holdings” means Equitabl</w:t>
      </w:r>
      <w:r>
        <w:rPr>
          <w:rFonts w:eastAsia="Times New Roman"/>
          <w:color w:val="000000"/>
          <w:sz w:val="20"/>
          <w:szCs w:val="20"/>
        </w:rPr>
        <w:t xml:space="preserve">e Holdings, Inc. </w:t>
      </w:r>
    </w:p>
    <w:p w:rsidR="00000000" w:rsidRDefault="005C524C">
      <w:pPr>
        <w:textAlignment w:val="top"/>
        <w:divId w:val="1175874924"/>
        <w:rPr>
          <w:rFonts w:eastAsia="Times New Roman"/>
        </w:rPr>
      </w:pPr>
      <w:r>
        <w:rPr>
          <w:rFonts w:eastAsia="Times New Roman"/>
          <w:color w:val="000000"/>
          <w:sz w:val="20"/>
          <w:szCs w:val="20"/>
        </w:rPr>
        <w:t>•“HTM” means held-to-maturity</w:t>
      </w:r>
    </w:p>
    <w:p w:rsidR="00000000" w:rsidRDefault="005C524C">
      <w:pPr>
        <w:textAlignment w:val="top"/>
        <w:divId w:val="1978561794"/>
        <w:rPr>
          <w:rFonts w:eastAsia="Times New Roman"/>
        </w:rPr>
      </w:pPr>
      <w:r>
        <w:rPr>
          <w:rFonts w:eastAsia="Times New Roman"/>
          <w:color w:val="000000"/>
          <w:sz w:val="20"/>
          <w:szCs w:val="20"/>
        </w:rPr>
        <w:t>•“IPO” means initial public offering</w:t>
      </w:r>
    </w:p>
    <w:p w:rsidR="00000000" w:rsidRDefault="005C524C">
      <w:pPr>
        <w:jc w:val="center"/>
        <w:divId w:val="1598367216"/>
        <w:rPr>
          <w:rFonts w:eastAsia="Times New Roman"/>
        </w:rPr>
      </w:pPr>
      <w:r>
        <w:rPr>
          <w:rFonts w:eastAsia="Times New Roman"/>
          <w:color w:val="000000"/>
          <w:sz w:val="20"/>
          <w:szCs w:val="20"/>
        </w:rPr>
        <w:t>115</w:t>
      </w:r>
    </w:p>
    <w:p w:rsidR="00000000" w:rsidRDefault="005C524C">
      <w:pPr>
        <w:rPr>
          <w:rFonts w:eastAsia="Times New Roman"/>
        </w:rPr>
      </w:pPr>
      <w:r>
        <w:rPr>
          <w:rFonts w:eastAsia="Times New Roman"/>
        </w:rPr>
        <w:pict>
          <v:rect id="_x0000_i1141" style="width:0;height:1.5pt" o:hralign="center" o:hrstd="t" o:hr="t" fillcolor="#a0a0a0" stroked="f"/>
        </w:pict>
      </w:r>
    </w:p>
    <w:p w:rsidR="00000000" w:rsidRDefault="005C524C">
      <w:pPr>
        <w:divId w:val="1796484760"/>
        <w:rPr>
          <w:rFonts w:eastAsia="Times New Roman"/>
        </w:rPr>
      </w:pPr>
      <w:hyperlink w:anchor="i2588464f77ae40b48abb7647b419da5e_10" w:history="1">
        <w:r>
          <w:rPr>
            <w:rStyle w:val="a3"/>
            <w:rFonts w:eastAsia="Times New Roman"/>
            <w:b/>
            <w:bCs/>
            <w:sz w:val="20"/>
            <w:szCs w:val="20"/>
          </w:rPr>
          <w:t>Table of Contents</w:t>
        </w:r>
      </w:hyperlink>
    </w:p>
    <w:p w:rsidR="00000000" w:rsidRDefault="005C524C">
      <w:pPr>
        <w:ind w:hanging="360"/>
        <w:textAlignment w:val="top"/>
        <w:divId w:val="876507970"/>
        <w:rPr>
          <w:rFonts w:eastAsia="Times New Roman"/>
        </w:rPr>
      </w:pPr>
      <w:r>
        <w:rPr>
          <w:rFonts w:eastAsia="Times New Roman"/>
          <w:color w:val="000000"/>
          <w:sz w:val="20"/>
          <w:szCs w:val="20"/>
        </w:rPr>
        <w:t>•“ISDA Master Agreement” means International Swaps an</w:t>
      </w:r>
      <w:r>
        <w:rPr>
          <w:rFonts w:eastAsia="Times New Roman"/>
          <w:color w:val="000000"/>
          <w:sz w:val="20"/>
          <w:szCs w:val="20"/>
        </w:rPr>
        <w:t xml:space="preserve">d Derivatives Association Master Agreement </w:t>
      </w:r>
    </w:p>
    <w:p w:rsidR="00000000" w:rsidRDefault="005C524C">
      <w:pPr>
        <w:ind w:firstLine="90"/>
        <w:textAlignment w:val="top"/>
        <w:divId w:val="1415467920"/>
        <w:rPr>
          <w:rFonts w:eastAsia="Times New Roman"/>
        </w:rPr>
      </w:pPr>
      <w:r>
        <w:rPr>
          <w:rFonts w:eastAsia="Times New Roman"/>
          <w:color w:val="000000"/>
          <w:sz w:val="20"/>
          <w:szCs w:val="20"/>
        </w:rPr>
        <w:t>•“IUL” means indexed universal life</w:t>
      </w:r>
    </w:p>
    <w:p w:rsidR="00000000" w:rsidRDefault="005C524C">
      <w:pPr>
        <w:ind w:firstLine="90"/>
        <w:textAlignment w:val="top"/>
        <w:divId w:val="1726181126"/>
        <w:rPr>
          <w:rFonts w:eastAsia="Times New Roman"/>
        </w:rPr>
      </w:pPr>
      <w:r>
        <w:rPr>
          <w:rFonts w:eastAsia="Times New Roman"/>
          <w:color w:val="000000"/>
          <w:sz w:val="20"/>
          <w:szCs w:val="20"/>
        </w:rPr>
        <w:t xml:space="preserve">•“IUS” means Investments Under Surveillance </w:t>
      </w:r>
    </w:p>
    <w:p w:rsidR="00000000" w:rsidRDefault="005C524C">
      <w:pPr>
        <w:ind w:firstLine="90"/>
        <w:textAlignment w:val="top"/>
        <w:divId w:val="1625766303"/>
        <w:rPr>
          <w:rFonts w:eastAsia="Times New Roman"/>
        </w:rPr>
      </w:pPr>
      <w:r>
        <w:rPr>
          <w:rFonts w:eastAsia="Times New Roman"/>
          <w:color w:val="000000"/>
          <w:sz w:val="20"/>
          <w:szCs w:val="20"/>
        </w:rPr>
        <w:t>•“LIBOR” means London Interbank Offered Rate</w:t>
      </w:r>
    </w:p>
    <w:p w:rsidR="00000000" w:rsidRDefault="005C524C">
      <w:pPr>
        <w:ind w:firstLine="90"/>
        <w:jc w:val="both"/>
        <w:textAlignment w:val="top"/>
        <w:divId w:val="851798792"/>
        <w:rPr>
          <w:rFonts w:eastAsia="Times New Roman"/>
        </w:rPr>
      </w:pPr>
      <w:r>
        <w:rPr>
          <w:rFonts w:eastAsia="Times New Roman"/>
          <w:color w:val="000000"/>
          <w:sz w:val="20"/>
          <w:szCs w:val="20"/>
        </w:rPr>
        <w:t>•“LTV” means loan-to-value</w:t>
      </w:r>
    </w:p>
    <w:p w:rsidR="00000000" w:rsidRDefault="005C524C">
      <w:pPr>
        <w:ind w:hanging="360"/>
        <w:textAlignment w:val="top"/>
        <w:divId w:val="1039623687"/>
        <w:rPr>
          <w:rFonts w:eastAsia="Times New Roman"/>
        </w:rPr>
      </w:pPr>
      <w:r>
        <w:rPr>
          <w:rFonts w:eastAsia="Times New Roman"/>
          <w:color w:val="000000"/>
          <w:sz w:val="20"/>
          <w:szCs w:val="20"/>
        </w:rPr>
        <w:t>•“MD&amp;A” means Management’</w:t>
      </w:r>
      <w:r>
        <w:rPr>
          <w:rFonts w:eastAsia="Times New Roman"/>
          <w:color w:val="000000"/>
          <w:sz w:val="20"/>
          <w:szCs w:val="20"/>
        </w:rPr>
        <w:t>s Discussion and Analysis of Financial Condition and Results of Operations</w:t>
      </w:r>
    </w:p>
    <w:p w:rsidR="00000000" w:rsidRDefault="005C524C">
      <w:pPr>
        <w:textAlignment w:val="top"/>
        <w:divId w:val="991447168"/>
        <w:rPr>
          <w:rFonts w:eastAsia="Times New Roman"/>
        </w:rPr>
      </w:pPr>
      <w:r>
        <w:rPr>
          <w:rFonts w:eastAsia="Times New Roman"/>
          <w:color w:val="000000"/>
          <w:sz w:val="20"/>
          <w:szCs w:val="20"/>
        </w:rPr>
        <w:t>•“MRBs” means market risk benefits</w:t>
      </w:r>
    </w:p>
    <w:p w:rsidR="00000000" w:rsidRDefault="005C524C">
      <w:pPr>
        <w:textAlignment w:val="top"/>
        <w:divId w:val="2123108661"/>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5C524C">
      <w:pPr>
        <w:textAlignment w:val="top"/>
        <w:divId w:val="448864208"/>
        <w:rPr>
          <w:rFonts w:eastAsia="Times New Roman"/>
        </w:rPr>
      </w:pPr>
      <w:r>
        <w:rPr>
          <w:rFonts w:eastAsia="Times New Roman"/>
          <w:color w:val="000000"/>
          <w:sz w:val="20"/>
          <w:szCs w:val="20"/>
        </w:rPr>
        <w:t>•“MTA” means Master Transaction Agreement</w:t>
      </w:r>
    </w:p>
    <w:p w:rsidR="00000000" w:rsidRDefault="005C524C">
      <w:pPr>
        <w:ind w:hanging="360"/>
        <w:textAlignment w:val="top"/>
        <w:divId w:val="86270480"/>
        <w:rPr>
          <w:rFonts w:eastAsia="Times New Roman"/>
        </w:rPr>
      </w:pPr>
      <w:r>
        <w:rPr>
          <w:rFonts w:eastAsia="Times New Roman"/>
          <w:color w:val="000000"/>
          <w:sz w:val="20"/>
          <w:szCs w:val="20"/>
        </w:rPr>
        <w:t>•“NAIC” means National Association of Insurance Commissioners</w:t>
      </w:r>
    </w:p>
    <w:p w:rsidR="00000000" w:rsidRDefault="005C524C">
      <w:pPr>
        <w:textAlignment w:val="top"/>
        <w:divId w:val="364184402"/>
        <w:rPr>
          <w:rFonts w:eastAsia="Times New Roman"/>
        </w:rPr>
      </w:pPr>
      <w:r>
        <w:rPr>
          <w:rFonts w:eastAsia="Times New Roman"/>
          <w:color w:val="000000"/>
          <w:sz w:val="20"/>
          <w:szCs w:val="20"/>
        </w:rPr>
        <w:t>•“NA</w:t>
      </w:r>
      <w:r>
        <w:rPr>
          <w:rFonts w:eastAsia="Times New Roman"/>
          <w:color w:val="000000"/>
          <w:sz w:val="20"/>
          <w:szCs w:val="20"/>
        </w:rPr>
        <w:t>R” means net amount at risk</w:t>
      </w:r>
    </w:p>
    <w:p w:rsidR="00000000" w:rsidRDefault="005C524C">
      <w:pPr>
        <w:textAlignment w:val="top"/>
        <w:divId w:val="1851675721"/>
        <w:rPr>
          <w:rFonts w:eastAsia="Times New Roman"/>
        </w:rPr>
      </w:pPr>
      <w:r>
        <w:rPr>
          <w:rFonts w:eastAsia="Times New Roman"/>
          <w:color w:val="000000"/>
          <w:sz w:val="20"/>
          <w:szCs w:val="20"/>
        </w:rPr>
        <w:t>•“NAV” means net asset value</w:t>
      </w:r>
    </w:p>
    <w:p w:rsidR="00000000" w:rsidRDefault="005C524C">
      <w:pPr>
        <w:textAlignment w:val="top"/>
        <w:divId w:val="127552799"/>
        <w:rPr>
          <w:rFonts w:eastAsia="Times New Roman"/>
        </w:rPr>
      </w:pPr>
      <w:r>
        <w:rPr>
          <w:rFonts w:eastAsia="Times New Roman"/>
          <w:color w:val="000000"/>
          <w:sz w:val="20"/>
          <w:szCs w:val="20"/>
        </w:rPr>
        <w:t>•“NLG” means no-lapse guarantee</w:t>
      </w:r>
    </w:p>
    <w:p w:rsidR="00000000" w:rsidRDefault="005C524C">
      <w:pPr>
        <w:ind w:hanging="360"/>
        <w:textAlignment w:val="top"/>
        <w:divId w:val="1143542206"/>
        <w:rPr>
          <w:rFonts w:eastAsia="Times New Roman"/>
        </w:rPr>
      </w:pPr>
      <w:r>
        <w:rPr>
          <w:rFonts w:eastAsia="Times New Roman"/>
          <w:color w:val="000000"/>
          <w:sz w:val="20"/>
          <w:szCs w:val="20"/>
        </w:rPr>
        <w:t>•“NYDFS” means New York State Department of Financial Services</w:t>
      </w:r>
    </w:p>
    <w:p w:rsidR="00000000" w:rsidRDefault="005C524C">
      <w:pPr>
        <w:ind w:firstLine="360"/>
        <w:textAlignment w:val="top"/>
        <w:divId w:val="727069516"/>
        <w:rPr>
          <w:rFonts w:eastAsia="Times New Roman"/>
        </w:rPr>
      </w:pPr>
      <w:r>
        <w:rPr>
          <w:rFonts w:eastAsia="Times New Roman"/>
          <w:color w:val="000000"/>
          <w:sz w:val="20"/>
          <w:szCs w:val="20"/>
        </w:rPr>
        <w:t>•“OCI” means other comprehensive income</w:t>
      </w:r>
    </w:p>
    <w:p w:rsidR="00000000" w:rsidRDefault="005C524C">
      <w:pPr>
        <w:ind w:firstLine="360"/>
        <w:textAlignment w:val="top"/>
        <w:divId w:val="2105220081"/>
        <w:rPr>
          <w:rFonts w:eastAsia="Times New Roman"/>
        </w:rPr>
      </w:pPr>
      <w:r>
        <w:rPr>
          <w:rFonts w:eastAsia="Times New Roman"/>
          <w:color w:val="000000"/>
          <w:sz w:val="20"/>
          <w:szCs w:val="20"/>
        </w:rPr>
        <w:t>•“OTC” means over-the-counter</w:t>
      </w:r>
    </w:p>
    <w:p w:rsidR="00000000" w:rsidRDefault="005C524C">
      <w:pPr>
        <w:ind w:firstLine="360"/>
        <w:textAlignment w:val="top"/>
        <w:divId w:val="2109621815"/>
        <w:rPr>
          <w:rFonts w:eastAsia="Times New Roman"/>
        </w:rPr>
      </w:pPr>
      <w:r>
        <w:rPr>
          <w:rFonts w:eastAsia="Times New Roman"/>
          <w:color w:val="000000"/>
          <w:sz w:val="20"/>
          <w:szCs w:val="20"/>
        </w:rPr>
        <w:t xml:space="preserve">•“PFBL” </w:t>
      </w:r>
      <w:r>
        <w:rPr>
          <w:rFonts w:eastAsia="Times New Roman"/>
          <w:color w:val="000000"/>
          <w:sz w:val="20"/>
          <w:szCs w:val="20"/>
        </w:rPr>
        <w:t>means profits followed by losses</w:t>
      </w:r>
    </w:p>
    <w:p w:rsidR="00000000" w:rsidRDefault="005C524C">
      <w:pPr>
        <w:textAlignment w:val="top"/>
        <w:divId w:val="1342507384"/>
        <w:rPr>
          <w:rFonts w:eastAsia="Times New Roman"/>
        </w:rPr>
      </w:pPr>
      <w:r>
        <w:rPr>
          <w:rFonts w:eastAsia="Times New Roman"/>
          <w:color w:val="000000"/>
          <w:sz w:val="20"/>
          <w:szCs w:val="20"/>
        </w:rPr>
        <w:t>•“REIT” means real estate investment trusts</w:t>
      </w:r>
    </w:p>
    <w:p w:rsidR="00000000" w:rsidRDefault="005C524C">
      <w:pPr>
        <w:ind w:hanging="360"/>
        <w:jc w:val="both"/>
        <w:textAlignment w:val="top"/>
        <w:divId w:val="1357851823"/>
        <w:rPr>
          <w:rFonts w:eastAsia="Times New Roman"/>
        </w:rPr>
      </w:pPr>
      <w:r>
        <w:rPr>
          <w:rFonts w:eastAsia="Times New Roman"/>
          <w:color w:val="000000"/>
          <w:sz w:val="20"/>
          <w:szCs w:val="20"/>
        </w:rPr>
        <w:t>•“SCB LLC” means Sanford C. Bernstein &amp; Co., LLC, a registered investment adviser and broker-dealer.</w:t>
      </w:r>
    </w:p>
    <w:p w:rsidR="00000000" w:rsidRDefault="005C524C">
      <w:pPr>
        <w:ind w:hanging="360"/>
        <w:textAlignment w:val="top"/>
        <w:divId w:val="1253585928"/>
        <w:rPr>
          <w:rFonts w:eastAsia="Times New Roman"/>
        </w:rPr>
      </w:pPr>
      <w:r>
        <w:rPr>
          <w:rFonts w:eastAsia="Times New Roman"/>
          <w:color w:val="000000"/>
          <w:sz w:val="20"/>
          <w:szCs w:val="20"/>
        </w:rPr>
        <w:t>•“SCS” means Structured Capital Strategies</w:t>
      </w:r>
    </w:p>
    <w:p w:rsidR="00000000" w:rsidRDefault="005C524C">
      <w:pPr>
        <w:ind w:hanging="360"/>
        <w:jc w:val="both"/>
        <w:textAlignment w:val="top"/>
        <w:divId w:val="961618542"/>
        <w:rPr>
          <w:rFonts w:eastAsia="Times New Roman"/>
        </w:rPr>
      </w:pPr>
      <w:r>
        <w:rPr>
          <w:rFonts w:eastAsia="Times New Roman"/>
          <w:color w:val="000000"/>
          <w:sz w:val="20"/>
          <w:szCs w:val="20"/>
        </w:rPr>
        <w:t>•“SEC” means U.S. Securities and Ex</w:t>
      </w:r>
      <w:r>
        <w:rPr>
          <w:rFonts w:eastAsia="Times New Roman"/>
          <w:color w:val="000000"/>
          <w:sz w:val="20"/>
          <w:szCs w:val="20"/>
        </w:rPr>
        <w:t>change Commission</w:t>
      </w:r>
    </w:p>
    <w:p w:rsidR="00000000" w:rsidRDefault="005C524C">
      <w:pPr>
        <w:ind w:hanging="360"/>
        <w:textAlignment w:val="top"/>
        <w:divId w:val="1880044398"/>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5C524C">
      <w:pPr>
        <w:ind w:hanging="360"/>
        <w:textAlignment w:val="top"/>
        <w:divId w:val="448353764"/>
        <w:rPr>
          <w:rFonts w:eastAsia="Times New Roman"/>
        </w:rPr>
      </w:pPr>
      <w:r>
        <w:rPr>
          <w:rFonts w:eastAsia="Times New Roman"/>
          <w:color w:val="000000"/>
          <w:sz w:val="20"/>
          <w:szCs w:val="20"/>
        </w:rPr>
        <w:t>•“Series B Preferred Stock” means Holdings’ Series B Fixed Rate Reset Noncumulative Perpetual Preferred Stock</w:t>
      </w:r>
    </w:p>
    <w:p w:rsidR="00000000" w:rsidRDefault="005C524C">
      <w:pPr>
        <w:ind w:hanging="360"/>
        <w:textAlignment w:val="top"/>
        <w:divId w:val="457649549"/>
        <w:rPr>
          <w:rFonts w:eastAsia="Times New Roman"/>
        </w:rPr>
      </w:pPr>
      <w:r>
        <w:rPr>
          <w:rFonts w:eastAsia="Times New Roman"/>
          <w:color w:val="000000"/>
          <w:sz w:val="20"/>
          <w:szCs w:val="20"/>
        </w:rPr>
        <w:t>•“Series C Preferred Sto</w:t>
      </w:r>
      <w:r>
        <w:rPr>
          <w:rFonts w:eastAsia="Times New Roman"/>
          <w:color w:val="000000"/>
          <w:sz w:val="20"/>
          <w:szCs w:val="20"/>
        </w:rPr>
        <w:t>ck” means Holdings’ Series C Fixed Rate Reset Noncumulative Perpetual Preferred Stock</w:t>
      </w:r>
    </w:p>
    <w:p w:rsidR="00000000" w:rsidRDefault="005C524C">
      <w:pPr>
        <w:ind w:hanging="360"/>
        <w:jc w:val="both"/>
        <w:textAlignment w:val="top"/>
        <w:divId w:val="126819254"/>
        <w:rPr>
          <w:rFonts w:eastAsia="Times New Roman"/>
        </w:rPr>
      </w:pPr>
      <w:r>
        <w:rPr>
          <w:rFonts w:eastAsia="Times New Roman"/>
          <w:color w:val="000000"/>
          <w:sz w:val="20"/>
          <w:szCs w:val="20"/>
        </w:rPr>
        <w:t>•“SIO” means structured investment option</w:t>
      </w:r>
    </w:p>
    <w:p w:rsidR="00000000" w:rsidRDefault="005C524C">
      <w:pPr>
        <w:ind w:hanging="360"/>
        <w:textAlignment w:val="top"/>
        <w:divId w:val="316150910"/>
        <w:rPr>
          <w:rFonts w:eastAsia="Times New Roman"/>
        </w:rPr>
      </w:pPr>
      <w:r>
        <w:rPr>
          <w:rFonts w:eastAsia="Times New Roman"/>
          <w:color w:val="000000"/>
          <w:sz w:val="20"/>
          <w:szCs w:val="20"/>
        </w:rPr>
        <w:t xml:space="preserve">•“SPE” means special purpose entity </w:t>
      </w:r>
    </w:p>
    <w:p w:rsidR="00000000" w:rsidRDefault="005C524C">
      <w:pPr>
        <w:ind w:firstLine="360"/>
        <w:textAlignment w:val="top"/>
        <w:divId w:val="859782916"/>
        <w:rPr>
          <w:rFonts w:eastAsia="Times New Roman"/>
        </w:rPr>
      </w:pPr>
      <w:r>
        <w:rPr>
          <w:rFonts w:eastAsia="Times New Roman"/>
          <w:color w:val="000000"/>
          <w:sz w:val="20"/>
          <w:szCs w:val="20"/>
        </w:rPr>
        <w:t>•“SVO” means Securities Valuation Office</w:t>
      </w:r>
    </w:p>
    <w:p w:rsidR="00000000" w:rsidRDefault="005C524C">
      <w:pPr>
        <w:textAlignment w:val="top"/>
        <w:divId w:val="194537149"/>
        <w:rPr>
          <w:rFonts w:eastAsia="Times New Roman"/>
        </w:rPr>
      </w:pPr>
      <w:r>
        <w:rPr>
          <w:rFonts w:eastAsia="Times New Roman"/>
          <w:color w:val="000000"/>
          <w:sz w:val="20"/>
          <w:szCs w:val="20"/>
        </w:rPr>
        <w:t>•“TDRs” means troubled debt restructurings</w:t>
      </w:r>
    </w:p>
    <w:p w:rsidR="00000000" w:rsidRDefault="005C524C">
      <w:pPr>
        <w:ind w:hanging="360"/>
        <w:textAlignment w:val="top"/>
        <w:divId w:val="41640456"/>
        <w:rPr>
          <w:rFonts w:eastAsia="Times New Roman"/>
        </w:rPr>
      </w:pPr>
      <w:r>
        <w:rPr>
          <w:rFonts w:eastAsia="Times New Roman"/>
          <w:color w:val="000000"/>
          <w:sz w:val="20"/>
          <w:szCs w:val="20"/>
        </w:rPr>
        <w:t>•“TIPS”</w:t>
      </w:r>
      <w:r>
        <w:rPr>
          <w:rFonts w:eastAsia="Times New Roman"/>
          <w:color w:val="000000"/>
          <w:sz w:val="20"/>
          <w:szCs w:val="20"/>
        </w:rPr>
        <w:t xml:space="preserve"> means treasury inflation-protected securities</w:t>
      </w:r>
    </w:p>
    <w:p w:rsidR="00000000" w:rsidRDefault="005C524C">
      <w:pPr>
        <w:ind w:hanging="360"/>
        <w:textAlignment w:val="top"/>
        <w:divId w:val="1808353501"/>
        <w:rPr>
          <w:rFonts w:eastAsia="Times New Roman"/>
        </w:rPr>
      </w:pPr>
      <w:r>
        <w:rPr>
          <w:rFonts w:eastAsia="Times New Roman"/>
          <w:color w:val="000000"/>
          <w:sz w:val="20"/>
          <w:szCs w:val="20"/>
        </w:rPr>
        <w:t>•“U.S. GAAP” means accounting principles generally accepted in the United States of America</w:t>
      </w:r>
    </w:p>
    <w:p w:rsidR="00000000" w:rsidRDefault="005C524C">
      <w:pPr>
        <w:ind w:hanging="360"/>
        <w:jc w:val="both"/>
        <w:textAlignment w:val="top"/>
        <w:divId w:val="1521701941"/>
        <w:rPr>
          <w:rFonts w:eastAsia="Times New Roman"/>
        </w:rPr>
      </w:pPr>
      <w:r>
        <w:rPr>
          <w:rFonts w:eastAsia="Times New Roman"/>
          <w:color w:val="000000"/>
          <w:sz w:val="20"/>
          <w:szCs w:val="20"/>
        </w:rPr>
        <w:t>•“UL” means universal life</w:t>
      </w:r>
    </w:p>
    <w:p w:rsidR="00000000" w:rsidRDefault="005C524C">
      <w:pPr>
        <w:ind w:hanging="360"/>
        <w:textAlignment w:val="top"/>
        <w:divId w:val="423845366"/>
        <w:rPr>
          <w:rFonts w:eastAsia="Times New Roman"/>
        </w:rPr>
      </w:pPr>
      <w:r>
        <w:rPr>
          <w:rFonts w:eastAsia="Times New Roman"/>
          <w:color w:val="000000"/>
          <w:sz w:val="20"/>
          <w:szCs w:val="20"/>
        </w:rPr>
        <w:t>•“ULSG” means universal life products with secondary guarantee</w:t>
      </w:r>
    </w:p>
    <w:p w:rsidR="00000000" w:rsidRDefault="005C524C">
      <w:pPr>
        <w:ind w:hanging="360"/>
        <w:textAlignment w:val="top"/>
        <w:divId w:val="205532263"/>
        <w:rPr>
          <w:rFonts w:eastAsia="Times New Roman"/>
        </w:rPr>
      </w:pPr>
      <w:r>
        <w:rPr>
          <w:rFonts w:eastAsia="Times New Roman"/>
          <w:color w:val="000000"/>
          <w:sz w:val="20"/>
          <w:szCs w:val="20"/>
        </w:rPr>
        <w:t>•“USFL” means U.S. Financia</w:t>
      </w:r>
      <w:r>
        <w:rPr>
          <w:rFonts w:eastAsia="Times New Roman"/>
          <w:color w:val="000000"/>
          <w:sz w:val="20"/>
          <w:szCs w:val="20"/>
        </w:rPr>
        <w:t>l Life Insurance Company</w:t>
      </w:r>
    </w:p>
    <w:p w:rsidR="00000000" w:rsidRDefault="005C524C">
      <w:pPr>
        <w:ind w:hanging="360"/>
        <w:textAlignment w:val="top"/>
        <w:divId w:val="1871143586"/>
        <w:rPr>
          <w:rFonts w:eastAsia="Times New Roman"/>
        </w:rPr>
      </w:pPr>
      <w:r>
        <w:rPr>
          <w:rFonts w:eastAsia="Times New Roman"/>
          <w:color w:val="000000"/>
          <w:sz w:val="20"/>
          <w:szCs w:val="20"/>
        </w:rPr>
        <w:t>•“Venerable” means Venerable Holdings, Inc.</w:t>
      </w:r>
    </w:p>
    <w:p w:rsidR="00000000" w:rsidRDefault="005C524C">
      <w:pPr>
        <w:ind w:hanging="360"/>
        <w:textAlignment w:val="top"/>
        <w:divId w:val="120880429"/>
        <w:rPr>
          <w:rFonts w:eastAsia="Times New Roman"/>
        </w:rPr>
      </w:pPr>
      <w:r>
        <w:rPr>
          <w:rFonts w:eastAsia="Times New Roman"/>
          <w:color w:val="000000"/>
          <w:sz w:val="20"/>
          <w:szCs w:val="20"/>
        </w:rPr>
        <w:t>•“VIAC” means Venerable Insurance and Annuity Company</w:t>
      </w:r>
    </w:p>
    <w:p w:rsidR="00000000" w:rsidRDefault="005C524C">
      <w:pPr>
        <w:textAlignment w:val="top"/>
        <w:divId w:val="1601717331"/>
        <w:rPr>
          <w:rFonts w:eastAsia="Times New Roman"/>
        </w:rPr>
      </w:pPr>
      <w:r>
        <w:rPr>
          <w:rFonts w:eastAsia="Times New Roman"/>
          <w:color w:val="000000"/>
          <w:sz w:val="20"/>
          <w:szCs w:val="20"/>
        </w:rPr>
        <w:t>•“VIE” means variable interest entity</w:t>
      </w:r>
    </w:p>
    <w:p w:rsidR="00000000" w:rsidRDefault="005C524C">
      <w:pPr>
        <w:textAlignment w:val="top"/>
        <w:divId w:val="793796354"/>
        <w:rPr>
          <w:rFonts w:eastAsia="Times New Roman"/>
        </w:rPr>
      </w:pPr>
      <w:r>
        <w:rPr>
          <w:rFonts w:eastAsia="Times New Roman"/>
          <w:color w:val="000000"/>
          <w:sz w:val="20"/>
          <w:szCs w:val="20"/>
        </w:rPr>
        <w:t>•“VISL” means variable interest-sensitive life</w:t>
      </w:r>
    </w:p>
    <w:p w:rsidR="00000000" w:rsidRDefault="005C524C">
      <w:pPr>
        <w:textAlignment w:val="top"/>
        <w:divId w:val="2114401903"/>
        <w:rPr>
          <w:rFonts w:eastAsia="Times New Roman"/>
        </w:rPr>
      </w:pPr>
      <w:r>
        <w:rPr>
          <w:rFonts w:eastAsia="Times New Roman"/>
          <w:color w:val="000000"/>
          <w:sz w:val="20"/>
          <w:szCs w:val="20"/>
        </w:rPr>
        <w:t>•“VOE” means voting interest entity</w:t>
      </w:r>
    </w:p>
    <w:p w:rsidR="00000000" w:rsidRDefault="005C524C">
      <w:pPr>
        <w:ind w:hanging="360"/>
        <w:textAlignment w:val="top"/>
        <w:divId w:val="1697581184"/>
        <w:rPr>
          <w:rFonts w:eastAsia="Times New Roman"/>
        </w:rPr>
      </w:pPr>
      <w:r>
        <w:rPr>
          <w:rFonts w:eastAsia="Times New Roman"/>
          <w:color w:val="000000"/>
          <w:sz w:val="20"/>
          <w:szCs w:val="20"/>
        </w:rPr>
        <w:t>•“VUL” means</w:t>
      </w:r>
      <w:r>
        <w:rPr>
          <w:rFonts w:eastAsia="Times New Roman"/>
          <w:color w:val="000000"/>
          <w:sz w:val="20"/>
          <w:szCs w:val="20"/>
        </w:rPr>
        <w:t xml:space="preserve"> variable universal life</w:t>
      </w:r>
    </w:p>
    <w:p w:rsidR="00000000" w:rsidRDefault="005C524C">
      <w:pPr>
        <w:jc w:val="center"/>
        <w:divId w:val="1555778401"/>
        <w:rPr>
          <w:rFonts w:eastAsia="Times New Roman"/>
        </w:rPr>
      </w:pPr>
      <w:r>
        <w:rPr>
          <w:rFonts w:eastAsia="Times New Roman"/>
          <w:color w:val="000000"/>
          <w:sz w:val="20"/>
          <w:szCs w:val="20"/>
        </w:rPr>
        <w:t>116</w:t>
      </w:r>
    </w:p>
    <w:p w:rsidR="00000000" w:rsidRDefault="005C524C">
      <w:pPr>
        <w:rPr>
          <w:rFonts w:eastAsia="Times New Roman"/>
        </w:rPr>
      </w:pPr>
      <w:r>
        <w:rPr>
          <w:rFonts w:eastAsia="Times New Roman"/>
        </w:rPr>
        <w:pict>
          <v:rect id="_x0000_i1142" style="width:0;height:1.5pt" o:hralign="center" o:hrstd="t" o:hr="t" fillcolor="#a0a0a0" stroked="f"/>
        </w:pict>
      </w:r>
    </w:p>
    <w:p w:rsidR="00000000" w:rsidRDefault="005C524C">
      <w:pPr>
        <w:jc w:val="center"/>
        <w:divId w:val="1773668702"/>
        <w:rPr>
          <w:rFonts w:eastAsia="Times New Roman"/>
        </w:rPr>
      </w:pPr>
      <w:r>
        <w:rPr>
          <w:rFonts w:eastAsia="Times New Roman"/>
          <w:b/>
          <w:bCs/>
          <w:color w:val="000000"/>
          <w:sz w:val="20"/>
          <w:szCs w:val="20"/>
        </w:rPr>
        <w:t>SIGNATURES</w:t>
      </w:r>
    </w:p>
    <w:p w:rsidR="00000000" w:rsidRDefault="005C524C">
      <w:pPr>
        <w:ind w:firstLine="360"/>
        <w:divId w:val="1895189909"/>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70320893"/>
        </w:trPr>
        <w:tc>
          <w:tcPr>
            <w:tcW w:w="50" w:type="pct"/>
            <w:vAlign w:val="center"/>
            <w:hideMark/>
          </w:tcPr>
          <w:p w:rsidR="00000000" w:rsidRDefault="005C524C">
            <w:pPr>
              <w:ind w:firstLine="360"/>
              <w:rPr>
                <w:rFonts w:eastAsia="Times New Roman"/>
              </w:rPr>
            </w:pPr>
          </w:p>
        </w:tc>
        <w:tc>
          <w:tcPr>
            <w:tcW w:w="158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157"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8"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c>
          <w:tcPr>
            <w:tcW w:w="50" w:type="pct"/>
            <w:vAlign w:val="center"/>
            <w:hideMark/>
          </w:tcPr>
          <w:p w:rsidR="00000000" w:rsidRDefault="005C524C">
            <w:pPr>
              <w:spacing w:after="100"/>
              <w:rPr>
                <w:rFonts w:eastAsia="Times New Roman"/>
                <w:sz w:val="20"/>
                <w:szCs w:val="20"/>
              </w:rPr>
            </w:pPr>
          </w:p>
        </w:tc>
        <w:tc>
          <w:tcPr>
            <w:tcW w:w="2755" w:type="pct"/>
            <w:vAlign w:val="center"/>
            <w:hideMark/>
          </w:tcPr>
          <w:p w:rsidR="00000000" w:rsidRDefault="005C524C">
            <w:pPr>
              <w:spacing w:after="100"/>
              <w:rPr>
                <w:rFonts w:eastAsia="Times New Roman"/>
                <w:sz w:val="20"/>
                <w:szCs w:val="20"/>
              </w:rPr>
            </w:pPr>
          </w:p>
        </w:tc>
        <w:tc>
          <w:tcPr>
            <w:tcW w:w="5" w:type="pct"/>
            <w:vAlign w:val="center"/>
            <w:hideMark/>
          </w:tcPr>
          <w:p w:rsidR="00000000" w:rsidRDefault="005C524C">
            <w:pPr>
              <w:spacing w:after="100"/>
              <w:rPr>
                <w:rFonts w:eastAsia="Times New Roman"/>
                <w:sz w:val="20"/>
                <w:szCs w:val="20"/>
              </w:rPr>
            </w:pPr>
          </w:p>
        </w:tc>
      </w:tr>
      <w:tr w:rsidR="00000000">
        <w:trPr>
          <w:divId w:val="70320893"/>
        </w:trPr>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Date: August 4, 2022</w:t>
            </w:r>
          </w:p>
        </w:tc>
        <w:tc>
          <w:tcPr>
            <w:tcW w:w="0" w:type="auto"/>
            <w:gridSpan w:val="9"/>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EQUITABLE HOLDINGS, INC.</w:t>
            </w:r>
          </w:p>
        </w:tc>
      </w:tr>
      <w:tr w:rsidR="00000000">
        <w:trPr>
          <w:divId w:val="70320893"/>
          <w:trHeight w:val="30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7032089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C524C">
            <w:pPr>
              <w:spacing w:after="100"/>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5C524C">
            <w:pPr>
              <w:spacing w:after="100"/>
              <w:jc w:val="both"/>
              <w:rPr>
                <w:rFonts w:eastAsia="Times New Roman"/>
              </w:rPr>
            </w:pPr>
            <w:r>
              <w:rPr>
                <w:rFonts w:eastAsia="Times New Roman"/>
                <w:color w:val="000000"/>
                <w:sz w:val="20"/>
                <w:szCs w:val="20"/>
              </w:rPr>
              <w:t>/s/ Robin M. Raju</w:t>
            </w:r>
          </w:p>
        </w:tc>
      </w:tr>
      <w:tr w:rsidR="00000000">
        <w:trPr>
          <w:divId w:val="70320893"/>
        </w:trPr>
        <w:tc>
          <w:tcPr>
            <w:tcW w:w="0" w:type="auto"/>
            <w:gridSpan w:val="3"/>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20"/>
                <w:szCs w:val="20"/>
              </w:rPr>
              <w:t>Robin M. Raju</w:t>
            </w:r>
          </w:p>
        </w:tc>
      </w:tr>
      <w:tr w:rsidR="00000000">
        <w:trPr>
          <w:divId w:val="70320893"/>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5C524C">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t>(Principal Financial Officer)</w:t>
            </w:r>
          </w:p>
        </w:tc>
      </w:tr>
      <w:tr w:rsidR="00000000">
        <w:trPr>
          <w:divId w:val="70320893"/>
          <w:trHeight w:val="300"/>
        </w:trPr>
        <w:tc>
          <w:tcPr>
            <w:tcW w:w="0" w:type="auto"/>
            <w:gridSpan w:val="3"/>
            <w:tcMar>
              <w:top w:w="0" w:type="dxa"/>
              <w:left w:w="20" w:type="dxa"/>
              <w:bottom w:w="0" w:type="dxa"/>
              <w:right w:w="20" w:type="dxa"/>
            </w:tcMar>
            <w:vAlign w:val="center"/>
            <w:hideMark/>
          </w:tcPr>
          <w:p w:rsidR="00000000" w:rsidRDefault="005C524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C524C">
            <w:pPr>
              <w:spacing w:after="100"/>
              <w:rPr>
                <w:rFonts w:eastAsia="Times New Roman"/>
                <w:sz w:val="20"/>
                <w:szCs w:val="20"/>
              </w:rPr>
            </w:pPr>
          </w:p>
        </w:tc>
      </w:tr>
      <w:tr w:rsidR="00000000">
        <w:trPr>
          <w:divId w:val="70320893"/>
        </w:trPr>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Date: August 4, 2022</w:t>
            </w: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5C524C">
            <w:pPr>
              <w:spacing w:after="100"/>
              <w:jc w:val="both"/>
              <w:rPr>
                <w:rFonts w:eastAsia="Times New Roman"/>
              </w:rPr>
            </w:pPr>
            <w:r>
              <w:rPr>
                <w:rFonts w:eastAsia="Times New Roman"/>
                <w:color w:val="000000"/>
                <w:sz w:val="20"/>
                <w:szCs w:val="20"/>
              </w:rPr>
              <w:t>/s/ William Eckert</w:t>
            </w:r>
          </w:p>
        </w:tc>
      </w:tr>
      <w:tr w:rsidR="00000000">
        <w:trPr>
          <w:divId w:val="70320893"/>
        </w:trPr>
        <w:tc>
          <w:tcPr>
            <w:tcW w:w="0" w:type="auto"/>
            <w:gridSpan w:val="3"/>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C524C">
            <w:pPr>
              <w:spacing w:after="100"/>
              <w:jc w:val="both"/>
              <w:rPr>
                <w:rFonts w:eastAsia="Times New Roman"/>
              </w:rPr>
            </w:pPr>
            <w:r>
              <w:rPr>
                <w:rFonts w:eastAsia="Times New Roman"/>
                <w:color w:val="000000"/>
                <w:sz w:val="20"/>
                <w:szCs w:val="20"/>
              </w:rPr>
              <w:t>William Eckert</w:t>
            </w:r>
          </w:p>
        </w:tc>
      </w:tr>
      <w:tr w:rsidR="00000000">
        <w:trPr>
          <w:divId w:val="70320893"/>
        </w:trPr>
        <w:tc>
          <w:tcPr>
            <w:tcW w:w="0" w:type="auto"/>
            <w:gridSpan w:val="3"/>
            <w:tcMar>
              <w:top w:w="0" w:type="dxa"/>
              <w:left w:w="20" w:type="dxa"/>
              <w:bottom w:w="0" w:type="dxa"/>
              <w:right w:w="20" w:type="dxa"/>
            </w:tcMar>
            <w:vAlign w:val="center"/>
            <w:hideMark/>
          </w:tcPr>
          <w:p w:rsidR="00000000" w:rsidRDefault="005C524C">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5C524C">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5C524C">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5C524C">
            <w:pPr>
              <w:spacing w:after="100"/>
              <w:jc w:val="both"/>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bl>
    <w:p w:rsidR="005C524C" w:rsidRDefault="005C524C">
      <w:pPr>
        <w:divId w:val="1047680214"/>
        <w:rPr>
          <w:rFonts w:eastAsia="Times New Roman"/>
        </w:rPr>
      </w:pPr>
    </w:p>
    <w:sectPr w:rsidR="005C52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524C"/>
    <w:rsid w:val="005C524C"/>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www.xbrl.org/2003/iso4217"/>
  <w:attachedSchema w:val="http://xbrl.sec.gov/dei/2022"/>
  <w:attachedSchema w:val="http://www.equitable.com/20220630"/>
  <w:attachedSchema w:val="http://www.xbrl.org/2003/instance"/>
  <w:attachedSchema w:val="http://www.xbrl.org/inlineXBRL/transformation/2020-02-12"/>
  <w:attachedSchema w:val="http://www.w3.org/1999/xlink"/>
  <w:attachedSchema w:val="http://www.xbrl.org/2013/inlineXBRL"/>
  <w:attachedSchema w:val="http://xbrl.sec.gov/stpr/2022"/>
  <w:attachedSchema w:val="http://www.sec.gov/inlineXBRL/transformation/2015-08-31"/>
  <w:attachedSchema w:val="http://xbrl.org/2006/xbrldi"/>
  <w:attachedSchema w:val="http://www.xbrl.org/2003/linkbase"/>
  <w:attachedSchema w:val="http://fasb.org/us-gaap/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25">
      <w:marLeft w:val="0"/>
      <w:marRight w:val="0"/>
      <w:marTop w:val="100"/>
      <w:marBottom w:val="0"/>
      <w:divBdr>
        <w:top w:val="none" w:sz="0" w:space="0" w:color="auto"/>
        <w:left w:val="none" w:sz="0" w:space="0" w:color="auto"/>
        <w:bottom w:val="none" w:sz="0" w:space="0" w:color="auto"/>
        <w:right w:val="none" w:sz="0" w:space="0" w:color="auto"/>
      </w:divBdr>
    </w:div>
    <w:div w:id="2249146">
      <w:marLeft w:val="0"/>
      <w:marRight w:val="0"/>
      <w:marTop w:val="0"/>
      <w:marBottom w:val="180"/>
      <w:divBdr>
        <w:top w:val="none" w:sz="0" w:space="0" w:color="auto"/>
        <w:left w:val="none" w:sz="0" w:space="0" w:color="auto"/>
        <w:bottom w:val="none" w:sz="0" w:space="0" w:color="auto"/>
        <w:right w:val="none" w:sz="0" w:space="0" w:color="auto"/>
      </w:divBdr>
    </w:div>
    <w:div w:id="2635379">
      <w:marLeft w:val="0"/>
      <w:marRight w:val="0"/>
      <w:marTop w:val="100"/>
      <w:marBottom w:val="0"/>
      <w:divBdr>
        <w:top w:val="none" w:sz="0" w:space="0" w:color="auto"/>
        <w:left w:val="none" w:sz="0" w:space="0" w:color="auto"/>
        <w:bottom w:val="none" w:sz="0" w:space="0" w:color="auto"/>
        <w:right w:val="none" w:sz="0" w:space="0" w:color="auto"/>
      </w:divBdr>
    </w:div>
    <w:div w:id="9336830">
      <w:marLeft w:val="0"/>
      <w:marRight w:val="0"/>
      <w:marTop w:val="0"/>
      <w:marBottom w:val="180"/>
      <w:divBdr>
        <w:top w:val="none" w:sz="0" w:space="0" w:color="auto"/>
        <w:left w:val="none" w:sz="0" w:space="0" w:color="auto"/>
        <w:bottom w:val="none" w:sz="0" w:space="0" w:color="auto"/>
        <w:right w:val="none" w:sz="0" w:space="0" w:color="auto"/>
      </w:divBdr>
    </w:div>
    <w:div w:id="10382720">
      <w:marLeft w:val="0"/>
      <w:marRight w:val="0"/>
      <w:marTop w:val="100"/>
      <w:marBottom w:val="240"/>
      <w:divBdr>
        <w:top w:val="none" w:sz="0" w:space="0" w:color="auto"/>
        <w:left w:val="none" w:sz="0" w:space="0" w:color="auto"/>
        <w:bottom w:val="none" w:sz="0" w:space="0" w:color="auto"/>
        <w:right w:val="none" w:sz="0" w:space="0" w:color="auto"/>
      </w:divBdr>
    </w:div>
    <w:div w:id="13308212">
      <w:marLeft w:val="0"/>
      <w:marRight w:val="0"/>
      <w:marTop w:val="0"/>
      <w:marBottom w:val="0"/>
      <w:divBdr>
        <w:top w:val="none" w:sz="0" w:space="0" w:color="auto"/>
        <w:left w:val="none" w:sz="0" w:space="0" w:color="auto"/>
        <w:bottom w:val="none" w:sz="0" w:space="0" w:color="auto"/>
        <w:right w:val="none" w:sz="0" w:space="0" w:color="auto"/>
      </w:divBdr>
    </w:div>
    <w:div w:id="13311107">
      <w:marLeft w:val="0"/>
      <w:marRight w:val="0"/>
      <w:marTop w:val="0"/>
      <w:marBottom w:val="0"/>
      <w:divBdr>
        <w:top w:val="none" w:sz="0" w:space="0" w:color="auto"/>
        <w:left w:val="none" w:sz="0" w:space="0" w:color="auto"/>
        <w:bottom w:val="none" w:sz="0" w:space="0" w:color="auto"/>
        <w:right w:val="none" w:sz="0" w:space="0" w:color="auto"/>
      </w:divBdr>
    </w:div>
    <w:div w:id="14622015">
      <w:marLeft w:val="0"/>
      <w:marRight w:val="0"/>
      <w:marTop w:val="0"/>
      <w:marBottom w:val="180"/>
      <w:divBdr>
        <w:top w:val="none" w:sz="0" w:space="0" w:color="auto"/>
        <w:left w:val="none" w:sz="0" w:space="0" w:color="auto"/>
        <w:bottom w:val="none" w:sz="0" w:space="0" w:color="auto"/>
        <w:right w:val="none" w:sz="0" w:space="0" w:color="auto"/>
      </w:divBdr>
    </w:div>
    <w:div w:id="15039497">
      <w:marLeft w:val="0"/>
      <w:marRight w:val="0"/>
      <w:marTop w:val="180"/>
      <w:marBottom w:val="180"/>
      <w:divBdr>
        <w:top w:val="none" w:sz="0" w:space="0" w:color="auto"/>
        <w:left w:val="none" w:sz="0" w:space="0" w:color="auto"/>
        <w:bottom w:val="none" w:sz="0" w:space="0" w:color="auto"/>
        <w:right w:val="none" w:sz="0" w:space="0" w:color="auto"/>
      </w:divBdr>
    </w:div>
    <w:div w:id="16736847">
      <w:marLeft w:val="0"/>
      <w:marRight w:val="0"/>
      <w:marTop w:val="120"/>
      <w:marBottom w:val="120"/>
      <w:divBdr>
        <w:top w:val="none" w:sz="0" w:space="0" w:color="auto"/>
        <w:left w:val="none" w:sz="0" w:space="0" w:color="auto"/>
        <w:bottom w:val="none" w:sz="0" w:space="0" w:color="auto"/>
        <w:right w:val="none" w:sz="0" w:space="0" w:color="auto"/>
      </w:divBdr>
    </w:div>
    <w:div w:id="17465171">
      <w:marLeft w:val="0"/>
      <w:marRight w:val="0"/>
      <w:marTop w:val="120"/>
      <w:marBottom w:val="180"/>
      <w:divBdr>
        <w:top w:val="none" w:sz="0" w:space="0" w:color="auto"/>
        <w:left w:val="none" w:sz="0" w:space="0" w:color="auto"/>
        <w:bottom w:val="none" w:sz="0" w:space="0" w:color="auto"/>
        <w:right w:val="none" w:sz="0" w:space="0" w:color="auto"/>
      </w:divBdr>
    </w:div>
    <w:div w:id="18090270">
      <w:marLeft w:val="0"/>
      <w:marRight w:val="0"/>
      <w:marTop w:val="0"/>
      <w:marBottom w:val="0"/>
      <w:divBdr>
        <w:top w:val="none" w:sz="0" w:space="0" w:color="auto"/>
        <w:left w:val="none" w:sz="0" w:space="0" w:color="auto"/>
        <w:bottom w:val="none" w:sz="0" w:space="0" w:color="auto"/>
        <w:right w:val="none" w:sz="0" w:space="0" w:color="auto"/>
      </w:divBdr>
    </w:div>
    <w:div w:id="20937314">
      <w:marLeft w:val="0"/>
      <w:marRight w:val="0"/>
      <w:marTop w:val="0"/>
      <w:marBottom w:val="60"/>
      <w:divBdr>
        <w:top w:val="none" w:sz="0" w:space="0" w:color="auto"/>
        <w:left w:val="none" w:sz="0" w:space="0" w:color="auto"/>
        <w:bottom w:val="none" w:sz="0" w:space="0" w:color="auto"/>
        <w:right w:val="none" w:sz="0" w:space="0" w:color="auto"/>
      </w:divBdr>
    </w:div>
    <w:div w:id="23293642">
      <w:marLeft w:val="0"/>
      <w:marRight w:val="0"/>
      <w:marTop w:val="0"/>
      <w:marBottom w:val="180"/>
      <w:divBdr>
        <w:top w:val="none" w:sz="0" w:space="0" w:color="auto"/>
        <w:left w:val="none" w:sz="0" w:space="0" w:color="auto"/>
        <w:bottom w:val="none" w:sz="0" w:space="0" w:color="auto"/>
        <w:right w:val="none" w:sz="0" w:space="0" w:color="auto"/>
      </w:divBdr>
    </w:div>
    <w:div w:id="24868479">
      <w:marLeft w:val="0"/>
      <w:marRight w:val="0"/>
      <w:marTop w:val="0"/>
      <w:marBottom w:val="0"/>
      <w:divBdr>
        <w:top w:val="none" w:sz="0" w:space="0" w:color="auto"/>
        <w:left w:val="none" w:sz="0" w:space="0" w:color="auto"/>
        <w:bottom w:val="none" w:sz="0" w:space="0" w:color="auto"/>
        <w:right w:val="none" w:sz="0" w:space="0" w:color="auto"/>
      </w:divBdr>
    </w:div>
    <w:div w:id="28193011">
      <w:marLeft w:val="0"/>
      <w:marRight w:val="0"/>
      <w:marTop w:val="0"/>
      <w:marBottom w:val="180"/>
      <w:divBdr>
        <w:top w:val="none" w:sz="0" w:space="0" w:color="auto"/>
        <w:left w:val="none" w:sz="0" w:space="0" w:color="auto"/>
        <w:bottom w:val="none" w:sz="0" w:space="0" w:color="auto"/>
        <w:right w:val="none" w:sz="0" w:space="0" w:color="auto"/>
      </w:divBdr>
    </w:div>
    <w:div w:id="28649571">
      <w:marLeft w:val="0"/>
      <w:marRight w:val="0"/>
      <w:marTop w:val="0"/>
      <w:marBottom w:val="0"/>
      <w:divBdr>
        <w:top w:val="none" w:sz="0" w:space="0" w:color="auto"/>
        <w:left w:val="none" w:sz="0" w:space="0" w:color="auto"/>
        <w:bottom w:val="none" w:sz="0" w:space="0" w:color="auto"/>
        <w:right w:val="none" w:sz="0" w:space="0" w:color="auto"/>
      </w:divBdr>
    </w:div>
    <w:div w:id="29772497">
      <w:marLeft w:val="0"/>
      <w:marRight w:val="0"/>
      <w:marTop w:val="120"/>
      <w:marBottom w:val="120"/>
      <w:divBdr>
        <w:top w:val="none" w:sz="0" w:space="0" w:color="auto"/>
        <w:left w:val="none" w:sz="0" w:space="0" w:color="auto"/>
        <w:bottom w:val="none" w:sz="0" w:space="0" w:color="auto"/>
        <w:right w:val="none" w:sz="0" w:space="0" w:color="auto"/>
      </w:divBdr>
    </w:div>
    <w:div w:id="31805293">
      <w:marLeft w:val="0"/>
      <w:marRight w:val="0"/>
      <w:marTop w:val="0"/>
      <w:marBottom w:val="0"/>
      <w:divBdr>
        <w:top w:val="none" w:sz="0" w:space="0" w:color="auto"/>
        <w:left w:val="none" w:sz="0" w:space="0" w:color="auto"/>
        <w:bottom w:val="none" w:sz="0" w:space="0" w:color="auto"/>
        <w:right w:val="none" w:sz="0" w:space="0" w:color="auto"/>
      </w:divBdr>
    </w:div>
    <w:div w:id="32196166">
      <w:marLeft w:val="0"/>
      <w:marRight w:val="0"/>
      <w:marTop w:val="0"/>
      <w:marBottom w:val="0"/>
      <w:divBdr>
        <w:top w:val="none" w:sz="0" w:space="0" w:color="auto"/>
        <w:left w:val="none" w:sz="0" w:space="0" w:color="auto"/>
        <w:bottom w:val="none" w:sz="0" w:space="0" w:color="auto"/>
        <w:right w:val="none" w:sz="0" w:space="0" w:color="auto"/>
      </w:divBdr>
      <w:divsChild>
        <w:div w:id="309677338">
          <w:marLeft w:val="0"/>
          <w:marRight w:val="0"/>
          <w:marTop w:val="0"/>
          <w:marBottom w:val="0"/>
          <w:divBdr>
            <w:top w:val="none" w:sz="0" w:space="0" w:color="auto"/>
            <w:left w:val="none" w:sz="0" w:space="0" w:color="auto"/>
            <w:bottom w:val="none" w:sz="0" w:space="0" w:color="auto"/>
            <w:right w:val="none" w:sz="0" w:space="0" w:color="auto"/>
          </w:divBdr>
        </w:div>
      </w:divsChild>
    </w:div>
    <w:div w:id="33389718">
      <w:marLeft w:val="0"/>
      <w:marRight w:val="0"/>
      <w:marTop w:val="120"/>
      <w:marBottom w:val="240"/>
      <w:divBdr>
        <w:top w:val="none" w:sz="0" w:space="0" w:color="auto"/>
        <w:left w:val="none" w:sz="0" w:space="0" w:color="auto"/>
        <w:bottom w:val="none" w:sz="0" w:space="0" w:color="auto"/>
        <w:right w:val="none" w:sz="0" w:space="0" w:color="auto"/>
      </w:divBdr>
    </w:div>
    <w:div w:id="34044417">
      <w:marLeft w:val="0"/>
      <w:marRight w:val="0"/>
      <w:marTop w:val="0"/>
      <w:marBottom w:val="0"/>
      <w:divBdr>
        <w:top w:val="none" w:sz="0" w:space="0" w:color="auto"/>
        <w:left w:val="none" w:sz="0" w:space="0" w:color="auto"/>
        <w:bottom w:val="none" w:sz="0" w:space="0" w:color="auto"/>
        <w:right w:val="none" w:sz="0" w:space="0" w:color="auto"/>
      </w:divBdr>
    </w:div>
    <w:div w:id="34357517">
      <w:marLeft w:val="0"/>
      <w:marRight w:val="0"/>
      <w:marTop w:val="0"/>
      <w:marBottom w:val="240"/>
      <w:divBdr>
        <w:top w:val="none" w:sz="0" w:space="0" w:color="auto"/>
        <w:left w:val="none" w:sz="0" w:space="0" w:color="auto"/>
        <w:bottom w:val="none" w:sz="0" w:space="0" w:color="auto"/>
        <w:right w:val="none" w:sz="0" w:space="0" w:color="auto"/>
      </w:divBdr>
    </w:div>
    <w:div w:id="35087470">
      <w:marLeft w:val="0"/>
      <w:marRight w:val="0"/>
      <w:marTop w:val="180"/>
      <w:marBottom w:val="180"/>
      <w:divBdr>
        <w:top w:val="none" w:sz="0" w:space="0" w:color="auto"/>
        <w:left w:val="none" w:sz="0" w:space="0" w:color="auto"/>
        <w:bottom w:val="none" w:sz="0" w:space="0" w:color="auto"/>
        <w:right w:val="none" w:sz="0" w:space="0" w:color="auto"/>
      </w:divBdr>
    </w:div>
    <w:div w:id="36011644">
      <w:marLeft w:val="0"/>
      <w:marRight w:val="0"/>
      <w:marTop w:val="120"/>
      <w:marBottom w:val="120"/>
      <w:divBdr>
        <w:top w:val="none" w:sz="0" w:space="0" w:color="auto"/>
        <w:left w:val="none" w:sz="0" w:space="0" w:color="auto"/>
        <w:bottom w:val="none" w:sz="0" w:space="0" w:color="auto"/>
        <w:right w:val="none" w:sz="0" w:space="0" w:color="auto"/>
      </w:divBdr>
    </w:div>
    <w:div w:id="37243232">
      <w:marLeft w:val="0"/>
      <w:marRight w:val="0"/>
      <w:marTop w:val="180"/>
      <w:marBottom w:val="180"/>
      <w:divBdr>
        <w:top w:val="none" w:sz="0" w:space="0" w:color="auto"/>
        <w:left w:val="none" w:sz="0" w:space="0" w:color="auto"/>
        <w:bottom w:val="none" w:sz="0" w:space="0" w:color="auto"/>
        <w:right w:val="none" w:sz="0" w:space="0" w:color="auto"/>
      </w:divBdr>
    </w:div>
    <w:div w:id="40639900">
      <w:marLeft w:val="0"/>
      <w:marRight w:val="0"/>
      <w:marTop w:val="0"/>
      <w:marBottom w:val="0"/>
      <w:divBdr>
        <w:top w:val="none" w:sz="0" w:space="0" w:color="auto"/>
        <w:left w:val="none" w:sz="0" w:space="0" w:color="auto"/>
        <w:bottom w:val="none" w:sz="0" w:space="0" w:color="auto"/>
        <w:right w:val="none" w:sz="0" w:space="0" w:color="auto"/>
      </w:divBdr>
      <w:divsChild>
        <w:div w:id="1598367216">
          <w:marLeft w:val="0"/>
          <w:marRight w:val="0"/>
          <w:marTop w:val="0"/>
          <w:marBottom w:val="0"/>
          <w:divBdr>
            <w:top w:val="none" w:sz="0" w:space="0" w:color="auto"/>
            <w:left w:val="none" w:sz="0" w:space="0" w:color="auto"/>
            <w:bottom w:val="none" w:sz="0" w:space="0" w:color="auto"/>
            <w:right w:val="none" w:sz="0" w:space="0" w:color="auto"/>
          </w:divBdr>
        </w:div>
      </w:divsChild>
    </w:div>
    <w:div w:id="41297092">
      <w:marLeft w:val="0"/>
      <w:marRight w:val="0"/>
      <w:marTop w:val="0"/>
      <w:marBottom w:val="0"/>
      <w:divBdr>
        <w:top w:val="none" w:sz="0" w:space="0" w:color="auto"/>
        <w:left w:val="none" w:sz="0" w:space="0" w:color="auto"/>
        <w:bottom w:val="none" w:sz="0" w:space="0" w:color="auto"/>
        <w:right w:val="none" w:sz="0" w:space="0" w:color="auto"/>
      </w:divBdr>
      <w:divsChild>
        <w:div w:id="1889686140">
          <w:marLeft w:val="0"/>
          <w:marRight w:val="0"/>
          <w:marTop w:val="0"/>
          <w:marBottom w:val="0"/>
          <w:divBdr>
            <w:top w:val="none" w:sz="0" w:space="0" w:color="auto"/>
            <w:left w:val="none" w:sz="0" w:space="0" w:color="auto"/>
            <w:bottom w:val="none" w:sz="0" w:space="0" w:color="auto"/>
            <w:right w:val="none" w:sz="0" w:space="0" w:color="auto"/>
          </w:divBdr>
        </w:div>
      </w:divsChild>
    </w:div>
    <w:div w:id="42406882">
      <w:marLeft w:val="0"/>
      <w:marRight w:val="0"/>
      <w:marTop w:val="0"/>
      <w:marBottom w:val="0"/>
      <w:divBdr>
        <w:top w:val="none" w:sz="0" w:space="0" w:color="auto"/>
        <w:left w:val="none" w:sz="0" w:space="0" w:color="auto"/>
        <w:bottom w:val="none" w:sz="0" w:space="0" w:color="auto"/>
        <w:right w:val="none" w:sz="0" w:space="0" w:color="auto"/>
      </w:divBdr>
    </w:div>
    <w:div w:id="45032112">
      <w:marLeft w:val="0"/>
      <w:marRight w:val="0"/>
      <w:marTop w:val="0"/>
      <w:marBottom w:val="240"/>
      <w:divBdr>
        <w:top w:val="none" w:sz="0" w:space="0" w:color="auto"/>
        <w:left w:val="none" w:sz="0" w:space="0" w:color="auto"/>
        <w:bottom w:val="none" w:sz="0" w:space="0" w:color="auto"/>
        <w:right w:val="none" w:sz="0" w:space="0" w:color="auto"/>
      </w:divBdr>
    </w:div>
    <w:div w:id="45639877">
      <w:marLeft w:val="0"/>
      <w:marRight w:val="0"/>
      <w:marTop w:val="120"/>
      <w:marBottom w:val="120"/>
      <w:divBdr>
        <w:top w:val="none" w:sz="0" w:space="0" w:color="auto"/>
        <w:left w:val="none" w:sz="0" w:space="0" w:color="auto"/>
        <w:bottom w:val="none" w:sz="0" w:space="0" w:color="auto"/>
        <w:right w:val="none" w:sz="0" w:space="0" w:color="auto"/>
      </w:divBdr>
    </w:div>
    <w:div w:id="47072189">
      <w:marLeft w:val="0"/>
      <w:marRight w:val="0"/>
      <w:marTop w:val="0"/>
      <w:marBottom w:val="180"/>
      <w:divBdr>
        <w:top w:val="none" w:sz="0" w:space="0" w:color="auto"/>
        <w:left w:val="none" w:sz="0" w:space="0" w:color="auto"/>
        <w:bottom w:val="none" w:sz="0" w:space="0" w:color="auto"/>
        <w:right w:val="none" w:sz="0" w:space="0" w:color="auto"/>
      </w:divBdr>
    </w:div>
    <w:div w:id="48765594">
      <w:marLeft w:val="0"/>
      <w:marRight w:val="0"/>
      <w:marTop w:val="180"/>
      <w:marBottom w:val="180"/>
      <w:divBdr>
        <w:top w:val="none" w:sz="0" w:space="0" w:color="auto"/>
        <w:left w:val="none" w:sz="0" w:space="0" w:color="auto"/>
        <w:bottom w:val="none" w:sz="0" w:space="0" w:color="auto"/>
        <w:right w:val="none" w:sz="0" w:space="0" w:color="auto"/>
      </w:divBdr>
    </w:div>
    <w:div w:id="49429506">
      <w:marLeft w:val="0"/>
      <w:marRight w:val="0"/>
      <w:marTop w:val="0"/>
      <w:marBottom w:val="0"/>
      <w:divBdr>
        <w:top w:val="none" w:sz="0" w:space="0" w:color="auto"/>
        <w:left w:val="none" w:sz="0" w:space="0" w:color="auto"/>
        <w:bottom w:val="none" w:sz="0" w:space="0" w:color="auto"/>
        <w:right w:val="none" w:sz="0" w:space="0" w:color="auto"/>
      </w:divBdr>
      <w:divsChild>
        <w:div w:id="419718334">
          <w:marLeft w:val="0"/>
          <w:marRight w:val="0"/>
          <w:marTop w:val="0"/>
          <w:marBottom w:val="0"/>
          <w:divBdr>
            <w:top w:val="none" w:sz="0" w:space="0" w:color="auto"/>
            <w:left w:val="none" w:sz="0" w:space="0" w:color="auto"/>
            <w:bottom w:val="none" w:sz="0" w:space="0" w:color="auto"/>
            <w:right w:val="none" w:sz="0" w:space="0" w:color="auto"/>
          </w:divBdr>
        </w:div>
      </w:divsChild>
    </w:div>
    <w:div w:id="51582487">
      <w:marLeft w:val="0"/>
      <w:marRight w:val="0"/>
      <w:marTop w:val="120"/>
      <w:marBottom w:val="120"/>
      <w:divBdr>
        <w:top w:val="none" w:sz="0" w:space="0" w:color="auto"/>
        <w:left w:val="none" w:sz="0" w:space="0" w:color="auto"/>
        <w:bottom w:val="none" w:sz="0" w:space="0" w:color="auto"/>
        <w:right w:val="none" w:sz="0" w:space="0" w:color="auto"/>
      </w:divBdr>
    </w:div>
    <w:div w:id="54013312">
      <w:marLeft w:val="0"/>
      <w:marRight w:val="0"/>
      <w:marTop w:val="180"/>
      <w:marBottom w:val="180"/>
      <w:divBdr>
        <w:top w:val="none" w:sz="0" w:space="0" w:color="auto"/>
        <w:left w:val="none" w:sz="0" w:space="0" w:color="auto"/>
        <w:bottom w:val="none" w:sz="0" w:space="0" w:color="auto"/>
        <w:right w:val="none" w:sz="0" w:space="0" w:color="auto"/>
      </w:divBdr>
    </w:div>
    <w:div w:id="54860091">
      <w:marLeft w:val="0"/>
      <w:marRight w:val="0"/>
      <w:marTop w:val="0"/>
      <w:marBottom w:val="240"/>
      <w:divBdr>
        <w:top w:val="none" w:sz="0" w:space="0" w:color="auto"/>
        <w:left w:val="none" w:sz="0" w:space="0" w:color="auto"/>
        <w:bottom w:val="none" w:sz="0" w:space="0" w:color="auto"/>
        <w:right w:val="none" w:sz="0" w:space="0" w:color="auto"/>
      </w:divBdr>
    </w:div>
    <w:div w:id="54863916">
      <w:marLeft w:val="0"/>
      <w:marRight w:val="0"/>
      <w:marTop w:val="0"/>
      <w:marBottom w:val="180"/>
      <w:divBdr>
        <w:top w:val="none" w:sz="0" w:space="0" w:color="auto"/>
        <w:left w:val="none" w:sz="0" w:space="0" w:color="auto"/>
        <w:bottom w:val="none" w:sz="0" w:space="0" w:color="auto"/>
        <w:right w:val="none" w:sz="0" w:space="0" w:color="auto"/>
      </w:divBdr>
    </w:div>
    <w:div w:id="56319984">
      <w:marLeft w:val="0"/>
      <w:marRight w:val="0"/>
      <w:marTop w:val="0"/>
      <w:marBottom w:val="240"/>
      <w:divBdr>
        <w:top w:val="none" w:sz="0" w:space="0" w:color="auto"/>
        <w:left w:val="none" w:sz="0" w:space="0" w:color="auto"/>
        <w:bottom w:val="none" w:sz="0" w:space="0" w:color="auto"/>
        <w:right w:val="none" w:sz="0" w:space="0" w:color="auto"/>
      </w:divBdr>
    </w:div>
    <w:div w:id="58215670">
      <w:marLeft w:val="0"/>
      <w:marRight w:val="0"/>
      <w:marTop w:val="0"/>
      <w:marBottom w:val="180"/>
      <w:divBdr>
        <w:top w:val="none" w:sz="0" w:space="0" w:color="auto"/>
        <w:left w:val="none" w:sz="0" w:space="0" w:color="auto"/>
        <w:bottom w:val="none" w:sz="0" w:space="0" w:color="auto"/>
        <w:right w:val="none" w:sz="0" w:space="0" w:color="auto"/>
      </w:divBdr>
    </w:div>
    <w:div w:id="58485385">
      <w:marLeft w:val="0"/>
      <w:marRight w:val="0"/>
      <w:marTop w:val="0"/>
      <w:marBottom w:val="180"/>
      <w:divBdr>
        <w:top w:val="none" w:sz="0" w:space="0" w:color="auto"/>
        <w:left w:val="none" w:sz="0" w:space="0" w:color="auto"/>
        <w:bottom w:val="none" w:sz="0" w:space="0" w:color="auto"/>
        <w:right w:val="none" w:sz="0" w:space="0" w:color="auto"/>
      </w:divBdr>
    </w:div>
    <w:div w:id="59333288">
      <w:marLeft w:val="0"/>
      <w:marRight w:val="0"/>
      <w:marTop w:val="0"/>
      <w:marBottom w:val="240"/>
      <w:divBdr>
        <w:top w:val="none" w:sz="0" w:space="0" w:color="auto"/>
        <w:left w:val="none" w:sz="0" w:space="0" w:color="auto"/>
        <w:bottom w:val="none" w:sz="0" w:space="0" w:color="auto"/>
        <w:right w:val="none" w:sz="0" w:space="0" w:color="auto"/>
      </w:divBdr>
    </w:div>
    <w:div w:id="61296785">
      <w:marLeft w:val="0"/>
      <w:marRight w:val="0"/>
      <w:marTop w:val="180"/>
      <w:marBottom w:val="180"/>
      <w:divBdr>
        <w:top w:val="none" w:sz="0" w:space="0" w:color="auto"/>
        <w:left w:val="none" w:sz="0" w:space="0" w:color="auto"/>
        <w:bottom w:val="none" w:sz="0" w:space="0" w:color="auto"/>
        <w:right w:val="none" w:sz="0" w:space="0" w:color="auto"/>
      </w:divBdr>
    </w:div>
    <w:div w:id="63378308">
      <w:marLeft w:val="0"/>
      <w:marRight w:val="0"/>
      <w:marTop w:val="0"/>
      <w:marBottom w:val="240"/>
      <w:divBdr>
        <w:top w:val="none" w:sz="0" w:space="0" w:color="auto"/>
        <w:left w:val="none" w:sz="0" w:space="0" w:color="auto"/>
        <w:bottom w:val="none" w:sz="0" w:space="0" w:color="auto"/>
        <w:right w:val="none" w:sz="0" w:space="0" w:color="auto"/>
      </w:divBdr>
    </w:div>
    <w:div w:id="64887321">
      <w:marLeft w:val="0"/>
      <w:marRight w:val="0"/>
      <w:marTop w:val="60"/>
      <w:marBottom w:val="240"/>
      <w:divBdr>
        <w:top w:val="none" w:sz="0" w:space="0" w:color="auto"/>
        <w:left w:val="none" w:sz="0" w:space="0" w:color="auto"/>
        <w:bottom w:val="none" w:sz="0" w:space="0" w:color="auto"/>
        <w:right w:val="none" w:sz="0" w:space="0" w:color="auto"/>
      </w:divBdr>
    </w:div>
    <w:div w:id="65500376">
      <w:marLeft w:val="0"/>
      <w:marRight w:val="0"/>
      <w:marTop w:val="120"/>
      <w:marBottom w:val="120"/>
      <w:divBdr>
        <w:top w:val="none" w:sz="0" w:space="0" w:color="auto"/>
        <w:left w:val="none" w:sz="0" w:space="0" w:color="auto"/>
        <w:bottom w:val="none" w:sz="0" w:space="0" w:color="auto"/>
        <w:right w:val="none" w:sz="0" w:space="0" w:color="auto"/>
      </w:divBdr>
    </w:div>
    <w:div w:id="66537475">
      <w:marLeft w:val="0"/>
      <w:marRight w:val="0"/>
      <w:marTop w:val="0"/>
      <w:marBottom w:val="0"/>
      <w:divBdr>
        <w:top w:val="none" w:sz="0" w:space="0" w:color="auto"/>
        <w:left w:val="none" w:sz="0" w:space="0" w:color="auto"/>
        <w:bottom w:val="none" w:sz="0" w:space="0" w:color="auto"/>
        <w:right w:val="none" w:sz="0" w:space="0" w:color="auto"/>
      </w:divBdr>
    </w:div>
    <w:div w:id="67310633">
      <w:marLeft w:val="0"/>
      <w:marRight w:val="0"/>
      <w:marTop w:val="0"/>
      <w:marBottom w:val="180"/>
      <w:divBdr>
        <w:top w:val="none" w:sz="0" w:space="0" w:color="auto"/>
        <w:left w:val="none" w:sz="0" w:space="0" w:color="auto"/>
        <w:bottom w:val="none" w:sz="0" w:space="0" w:color="auto"/>
        <w:right w:val="none" w:sz="0" w:space="0" w:color="auto"/>
      </w:divBdr>
    </w:div>
    <w:div w:id="67851594">
      <w:marLeft w:val="0"/>
      <w:marRight w:val="0"/>
      <w:marTop w:val="180"/>
      <w:marBottom w:val="180"/>
      <w:divBdr>
        <w:top w:val="none" w:sz="0" w:space="0" w:color="auto"/>
        <w:left w:val="none" w:sz="0" w:space="0" w:color="auto"/>
        <w:bottom w:val="none" w:sz="0" w:space="0" w:color="auto"/>
        <w:right w:val="none" w:sz="0" w:space="0" w:color="auto"/>
      </w:divBdr>
    </w:div>
    <w:div w:id="68964808">
      <w:marLeft w:val="0"/>
      <w:marRight w:val="0"/>
      <w:marTop w:val="0"/>
      <w:marBottom w:val="240"/>
      <w:divBdr>
        <w:top w:val="none" w:sz="0" w:space="0" w:color="auto"/>
        <w:left w:val="none" w:sz="0" w:space="0" w:color="auto"/>
        <w:bottom w:val="none" w:sz="0" w:space="0" w:color="auto"/>
        <w:right w:val="none" w:sz="0" w:space="0" w:color="auto"/>
      </w:divBdr>
    </w:div>
    <w:div w:id="70277465">
      <w:marLeft w:val="0"/>
      <w:marRight w:val="0"/>
      <w:marTop w:val="0"/>
      <w:marBottom w:val="0"/>
      <w:divBdr>
        <w:top w:val="none" w:sz="0" w:space="0" w:color="auto"/>
        <w:left w:val="none" w:sz="0" w:space="0" w:color="auto"/>
        <w:bottom w:val="none" w:sz="0" w:space="0" w:color="auto"/>
        <w:right w:val="none" w:sz="0" w:space="0" w:color="auto"/>
      </w:divBdr>
    </w:div>
    <w:div w:id="70320893">
      <w:marLeft w:val="0"/>
      <w:marRight w:val="0"/>
      <w:marTop w:val="100"/>
      <w:marBottom w:val="0"/>
      <w:divBdr>
        <w:top w:val="none" w:sz="0" w:space="0" w:color="auto"/>
        <w:left w:val="none" w:sz="0" w:space="0" w:color="auto"/>
        <w:bottom w:val="none" w:sz="0" w:space="0" w:color="auto"/>
        <w:right w:val="none" w:sz="0" w:space="0" w:color="auto"/>
      </w:divBdr>
    </w:div>
    <w:div w:id="70544734">
      <w:marLeft w:val="0"/>
      <w:marRight w:val="0"/>
      <w:marTop w:val="0"/>
      <w:marBottom w:val="0"/>
      <w:divBdr>
        <w:top w:val="none" w:sz="0" w:space="0" w:color="auto"/>
        <w:left w:val="none" w:sz="0" w:space="0" w:color="auto"/>
        <w:bottom w:val="none" w:sz="0" w:space="0" w:color="auto"/>
        <w:right w:val="none" w:sz="0" w:space="0" w:color="auto"/>
      </w:divBdr>
    </w:div>
    <w:div w:id="70743093">
      <w:marLeft w:val="0"/>
      <w:marRight w:val="0"/>
      <w:marTop w:val="0"/>
      <w:marBottom w:val="0"/>
      <w:divBdr>
        <w:top w:val="none" w:sz="0" w:space="0" w:color="auto"/>
        <w:left w:val="none" w:sz="0" w:space="0" w:color="auto"/>
        <w:bottom w:val="none" w:sz="0" w:space="0" w:color="auto"/>
        <w:right w:val="none" w:sz="0" w:space="0" w:color="auto"/>
      </w:divBdr>
    </w:div>
    <w:div w:id="71198888">
      <w:marLeft w:val="0"/>
      <w:marRight w:val="0"/>
      <w:marTop w:val="0"/>
      <w:marBottom w:val="180"/>
      <w:divBdr>
        <w:top w:val="none" w:sz="0" w:space="0" w:color="auto"/>
        <w:left w:val="none" w:sz="0" w:space="0" w:color="auto"/>
        <w:bottom w:val="none" w:sz="0" w:space="0" w:color="auto"/>
        <w:right w:val="none" w:sz="0" w:space="0" w:color="auto"/>
      </w:divBdr>
    </w:div>
    <w:div w:id="72706046">
      <w:marLeft w:val="0"/>
      <w:marRight w:val="0"/>
      <w:marTop w:val="0"/>
      <w:marBottom w:val="240"/>
      <w:divBdr>
        <w:top w:val="none" w:sz="0" w:space="0" w:color="auto"/>
        <w:left w:val="none" w:sz="0" w:space="0" w:color="auto"/>
        <w:bottom w:val="none" w:sz="0" w:space="0" w:color="auto"/>
        <w:right w:val="none" w:sz="0" w:space="0" w:color="auto"/>
      </w:divBdr>
    </w:div>
    <w:div w:id="73473745">
      <w:marLeft w:val="0"/>
      <w:marRight w:val="0"/>
      <w:marTop w:val="0"/>
      <w:marBottom w:val="0"/>
      <w:divBdr>
        <w:top w:val="none" w:sz="0" w:space="0" w:color="auto"/>
        <w:left w:val="none" w:sz="0" w:space="0" w:color="auto"/>
        <w:bottom w:val="none" w:sz="0" w:space="0" w:color="auto"/>
        <w:right w:val="none" w:sz="0" w:space="0" w:color="auto"/>
      </w:divBdr>
      <w:divsChild>
        <w:div w:id="1870412063">
          <w:marLeft w:val="0"/>
          <w:marRight w:val="0"/>
          <w:marTop w:val="0"/>
          <w:marBottom w:val="0"/>
          <w:divBdr>
            <w:top w:val="none" w:sz="0" w:space="0" w:color="auto"/>
            <w:left w:val="none" w:sz="0" w:space="0" w:color="auto"/>
            <w:bottom w:val="none" w:sz="0" w:space="0" w:color="auto"/>
            <w:right w:val="none" w:sz="0" w:space="0" w:color="auto"/>
          </w:divBdr>
        </w:div>
      </w:divsChild>
    </w:div>
    <w:div w:id="76364121">
      <w:marLeft w:val="0"/>
      <w:marRight w:val="0"/>
      <w:marTop w:val="0"/>
      <w:marBottom w:val="0"/>
      <w:divBdr>
        <w:top w:val="none" w:sz="0" w:space="0" w:color="auto"/>
        <w:left w:val="none" w:sz="0" w:space="0" w:color="auto"/>
        <w:bottom w:val="none" w:sz="0" w:space="0" w:color="auto"/>
        <w:right w:val="none" w:sz="0" w:space="0" w:color="auto"/>
      </w:divBdr>
      <w:divsChild>
        <w:div w:id="1584029176">
          <w:marLeft w:val="0"/>
          <w:marRight w:val="0"/>
          <w:marTop w:val="0"/>
          <w:marBottom w:val="0"/>
          <w:divBdr>
            <w:top w:val="none" w:sz="0" w:space="0" w:color="auto"/>
            <w:left w:val="none" w:sz="0" w:space="0" w:color="auto"/>
            <w:bottom w:val="none" w:sz="0" w:space="0" w:color="auto"/>
            <w:right w:val="none" w:sz="0" w:space="0" w:color="auto"/>
          </w:divBdr>
        </w:div>
      </w:divsChild>
    </w:div>
    <w:div w:id="77333619">
      <w:marLeft w:val="0"/>
      <w:marRight w:val="0"/>
      <w:marTop w:val="120"/>
      <w:marBottom w:val="120"/>
      <w:divBdr>
        <w:top w:val="none" w:sz="0" w:space="0" w:color="auto"/>
        <w:left w:val="none" w:sz="0" w:space="0" w:color="auto"/>
        <w:bottom w:val="none" w:sz="0" w:space="0" w:color="auto"/>
        <w:right w:val="none" w:sz="0" w:space="0" w:color="auto"/>
      </w:divBdr>
    </w:div>
    <w:div w:id="78143528">
      <w:marLeft w:val="0"/>
      <w:marRight w:val="0"/>
      <w:marTop w:val="0"/>
      <w:marBottom w:val="240"/>
      <w:divBdr>
        <w:top w:val="none" w:sz="0" w:space="0" w:color="auto"/>
        <w:left w:val="none" w:sz="0" w:space="0" w:color="auto"/>
        <w:bottom w:val="none" w:sz="0" w:space="0" w:color="auto"/>
        <w:right w:val="none" w:sz="0" w:space="0" w:color="auto"/>
      </w:divBdr>
    </w:div>
    <w:div w:id="82075512">
      <w:marLeft w:val="0"/>
      <w:marRight w:val="0"/>
      <w:marTop w:val="0"/>
      <w:marBottom w:val="240"/>
      <w:divBdr>
        <w:top w:val="none" w:sz="0" w:space="0" w:color="auto"/>
        <w:left w:val="none" w:sz="0" w:space="0" w:color="auto"/>
        <w:bottom w:val="none" w:sz="0" w:space="0" w:color="auto"/>
        <w:right w:val="none" w:sz="0" w:space="0" w:color="auto"/>
      </w:divBdr>
    </w:div>
    <w:div w:id="83840434">
      <w:marLeft w:val="0"/>
      <w:marRight w:val="0"/>
      <w:marTop w:val="0"/>
      <w:marBottom w:val="0"/>
      <w:divBdr>
        <w:top w:val="none" w:sz="0" w:space="0" w:color="auto"/>
        <w:left w:val="none" w:sz="0" w:space="0" w:color="auto"/>
        <w:bottom w:val="none" w:sz="0" w:space="0" w:color="auto"/>
        <w:right w:val="none" w:sz="0" w:space="0" w:color="auto"/>
      </w:divBdr>
    </w:div>
    <w:div w:id="85269922">
      <w:marLeft w:val="0"/>
      <w:marRight w:val="0"/>
      <w:marTop w:val="0"/>
      <w:marBottom w:val="0"/>
      <w:divBdr>
        <w:top w:val="none" w:sz="0" w:space="0" w:color="auto"/>
        <w:left w:val="none" w:sz="0" w:space="0" w:color="auto"/>
        <w:bottom w:val="none" w:sz="0" w:space="0" w:color="auto"/>
        <w:right w:val="none" w:sz="0" w:space="0" w:color="auto"/>
      </w:divBdr>
    </w:div>
    <w:div w:id="85811963">
      <w:marLeft w:val="0"/>
      <w:marRight w:val="0"/>
      <w:marTop w:val="180"/>
      <w:marBottom w:val="180"/>
      <w:divBdr>
        <w:top w:val="none" w:sz="0" w:space="0" w:color="auto"/>
        <w:left w:val="none" w:sz="0" w:space="0" w:color="auto"/>
        <w:bottom w:val="none" w:sz="0" w:space="0" w:color="auto"/>
        <w:right w:val="none" w:sz="0" w:space="0" w:color="auto"/>
      </w:divBdr>
    </w:div>
    <w:div w:id="86539340">
      <w:marLeft w:val="0"/>
      <w:marRight w:val="0"/>
      <w:marTop w:val="0"/>
      <w:marBottom w:val="0"/>
      <w:divBdr>
        <w:top w:val="none" w:sz="0" w:space="0" w:color="auto"/>
        <w:left w:val="none" w:sz="0" w:space="0" w:color="auto"/>
        <w:bottom w:val="none" w:sz="0" w:space="0" w:color="auto"/>
        <w:right w:val="none" w:sz="0" w:space="0" w:color="auto"/>
      </w:divBdr>
      <w:divsChild>
        <w:div w:id="901600242">
          <w:marLeft w:val="0"/>
          <w:marRight w:val="0"/>
          <w:marTop w:val="0"/>
          <w:marBottom w:val="0"/>
          <w:divBdr>
            <w:top w:val="none" w:sz="0" w:space="0" w:color="auto"/>
            <w:left w:val="none" w:sz="0" w:space="0" w:color="auto"/>
            <w:bottom w:val="none" w:sz="0" w:space="0" w:color="auto"/>
            <w:right w:val="none" w:sz="0" w:space="0" w:color="auto"/>
          </w:divBdr>
        </w:div>
      </w:divsChild>
    </w:div>
    <w:div w:id="87624154">
      <w:marLeft w:val="0"/>
      <w:marRight w:val="0"/>
      <w:marTop w:val="0"/>
      <w:marBottom w:val="0"/>
      <w:divBdr>
        <w:top w:val="none" w:sz="0" w:space="0" w:color="auto"/>
        <w:left w:val="none" w:sz="0" w:space="0" w:color="auto"/>
        <w:bottom w:val="none" w:sz="0" w:space="0" w:color="auto"/>
        <w:right w:val="none" w:sz="0" w:space="0" w:color="auto"/>
      </w:divBdr>
    </w:div>
    <w:div w:id="87969971">
      <w:marLeft w:val="0"/>
      <w:marRight w:val="0"/>
      <w:marTop w:val="120"/>
      <w:marBottom w:val="120"/>
      <w:divBdr>
        <w:top w:val="none" w:sz="0" w:space="0" w:color="auto"/>
        <w:left w:val="none" w:sz="0" w:space="0" w:color="auto"/>
        <w:bottom w:val="none" w:sz="0" w:space="0" w:color="auto"/>
        <w:right w:val="none" w:sz="0" w:space="0" w:color="auto"/>
      </w:divBdr>
    </w:div>
    <w:div w:id="89784381">
      <w:marLeft w:val="0"/>
      <w:marRight w:val="0"/>
      <w:marTop w:val="0"/>
      <w:marBottom w:val="0"/>
      <w:divBdr>
        <w:top w:val="none" w:sz="0" w:space="0" w:color="auto"/>
        <w:left w:val="none" w:sz="0" w:space="0" w:color="auto"/>
        <w:bottom w:val="none" w:sz="0" w:space="0" w:color="auto"/>
        <w:right w:val="none" w:sz="0" w:space="0" w:color="auto"/>
      </w:divBdr>
    </w:div>
    <w:div w:id="90249920">
      <w:marLeft w:val="0"/>
      <w:marRight w:val="0"/>
      <w:marTop w:val="0"/>
      <w:marBottom w:val="0"/>
      <w:divBdr>
        <w:top w:val="none" w:sz="0" w:space="0" w:color="auto"/>
        <w:left w:val="none" w:sz="0" w:space="0" w:color="auto"/>
        <w:bottom w:val="none" w:sz="0" w:space="0" w:color="auto"/>
        <w:right w:val="none" w:sz="0" w:space="0" w:color="auto"/>
      </w:divBdr>
    </w:div>
    <w:div w:id="92167172">
      <w:marLeft w:val="0"/>
      <w:marRight w:val="0"/>
      <w:marTop w:val="120"/>
      <w:marBottom w:val="120"/>
      <w:divBdr>
        <w:top w:val="none" w:sz="0" w:space="0" w:color="auto"/>
        <w:left w:val="none" w:sz="0" w:space="0" w:color="auto"/>
        <w:bottom w:val="none" w:sz="0" w:space="0" w:color="auto"/>
        <w:right w:val="none" w:sz="0" w:space="0" w:color="auto"/>
      </w:divBdr>
    </w:div>
    <w:div w:id="93791592">
      <w:marLeft w:val="0"/>
      <w:marRight w:val="0"/>
      <w:marTop w:val="120"/>
      <w:marBottom w:val="120"/>
      <w:divBdr>
        <w:top w:val="none" w:sz="0" w:space="0" w:color="auto"/>
        <w:left w:val="none" w:sz="0" w:space="0" w:color="auto"/>
        <w:bottom w:val="none" w:sz="0" w:space="0" w:color="auto"/>
        <w:right w:val="none" w:sz="0" w:space="0" w:color="auto"/>
      </w:divBdr>
    </w:div>
    <w:div w:id="96490692">
      <w:marLeft w:val="0"/>
      <w:marRight w:val="0"/>
      <w:marTop w:val="0"/>
      <w:marBottom w:val="180"/>
      <w:divBdr>
        <w:top w:val="none" w:sz="0" w:space="0" w:color="auto"/>
        <w:left w:val="none" w:sz="0" w:space="0" w:color="auto"/>
        <w:bottom w:val="none" w:sz="0" w:space="0" w:color="auto"/>
        <w:right w:val="none" w:sz="0" w:space="0" w:color="auto"/>
      </w:divBdr>
    </w:div>
    <w:div w:id="102120691">
      <w:marLeft w:val="0"/>
      <w:marRight w:val="0"/>
      <w:marTop w:val="0"/>
      <w:marBottom w:val="0"/>
      <w:divBdr>
        <w:top w:val="none" w:sz="0" w:space="0" w:color="auto"/>
        <w:left w:val="none" w:sz="0" w:space="0" w:color="auto"/>
        <w:bottom w:val="none" w:sz="0" w:space="0" w:color="auto"/>
        <w:right w:val="none" w:sz="0" w:space="0" w:color="auto"/>
      </w:divBdr>
      <w:divsChild>
        <w:div w:id="448594747">
          <w:marLeft w:val="0"/>
          <w:marRight w:val="0"/>
          <w:marTop w:val="0"/>
          <w:marBottom w:val="0"/>
          <w:divBdr>
            <w:top w:val="none" w:sz="0" w:space="0" w:color="auto"/>
            <w:left w:val="none" w:sz="0" w:space="0" w:color="auto"/>
            <w:bottom w:val="none" w:sz="0" w:space="0" w:color="auto"/>
            <w:right w:val="none" w:sz="0" w:space="0" w:color="auto"/>
          </w:divBdr>
        </w:div>
      </w:divsChild>
    </w:div>
    <w:div w:id="105007435">
      <w:marLeft w:val="0"/>
      <w:marRight w:val="0"/>
      <w:marTop w:val="0"/>
      <w:marBottom w:val="180"/>
      <w:divBdr>
        <w:top w:val="none" w:sz="0" w:space="0" w:color="auto"/>
        <w:left w:val="none" w:sz="0" w:space="0" w:color="auto"/>
        <w:bottom w:val="none" w:sz="0" w:space="0" w:color="auto"/>
        <w:right w:val="none" w:sz="0" w:space="0" w:color="auto"/>
      </w:divBdr>
    </w:div>
    <w:div w:id="105121802">
      <w:marLeft w:val="0"/>
      <w:marRight w:val="0"/>
      <w:marTop w:val="0"/>
      <w:marBottom w:val="240"/>
      <w:divBdr>
        <w:top w:val="none" w:sz="0" w:space="0" w:color="auto"/>
        <w:left w:val="none" w:sz="0" w:space="0" w:color="auto"/>
        <w:bottom w:val="none" w:sz="0" w:space="0" w:color="auto"/>
        <w:right w:val="none" w:sz="0" w:space="0" w:color="auto"/>
      </w:divBdr>
    </w:div>
    <w:div w:id="106823887">
      <w:marLeft w:val="0"/>
      <w:marRight w:val="0"/>
      <w:marTop w:val="0"/>
      <w:marBottom w:val="0"/>
      <w:divBdr>
        <w:top w:val="none" w:sz="0" w:space="0" w:color="auto"/>
        <w:left w:val="none" w:sz="0" w:space="0" w:color="auto"/>
        <w:bottom w:val="none" w:sz="0" w:space="0" w:color="auto"/>
        <w:right w:val="none" w:sz="0" w:space="0" w:color="auto"/>
      </w:divBdr>
    </w:div>
    <w:div w:id="108202723">
      <w:marLeft w:val="0"/>
      <w:marRight w:val="0"/>
      <w:marTop w:val="0"/>
      <w:marBottom w:val="0"/>
      <w:divBdr>
        <w:top w:val="none" w:sz="0" w:space="0" w:color="auto"/>
        <w:left w:val="none" w:sz="0" w:space="0" w:color="auto"/>
        <w:bottom w:val="none" w:sz="0" w:space="0" w:color="auto"/>
        <w:right w:val="none" w:sz="0" w:space="0" w:color="auto"/>
      </w:divBdr>
      <w:divsChild>
        <w:div w:id="660278196">
          <w:marLeft w:val="0"/>
          <w:marRight w:val="0"/>
          <w:marTop w:val="0"/>
          <w:marBottom w:val="0"/>
          <w:divBdr>
            <w:top w:val="none" w:sz="0" w:space="0" w:color="auto"/>
            <w:left w:val="none" w:sz="0" w:space="0" w:color="auto"/>
            <w:bottom w:val="none" w:sz="0" w:space="0" w:color="auto"/>
            <w:right w:val="none" w:sz="0" w:space="0" w:color="auto"/>
          </w:divBdr>
        </w:div>
      </w:divsChild>
    </w:div>
    <w:div w:id="110591609">
      <w:marLeft w:val="0"/>
      <w:marRight w:val="0"/>
      <w:marTop w:val="0"/>
      <w:marBottom w:val="0"/>
      <w:divBdr>
        <w:top w:val="none" w:sz="0" w:space="0" w:color="auto"/>
        <w:left w:val="none" w:sz="0" w:space="0" w:color="auto"/>
        <w:bottom w:val="none" w:sz="0" w:space="0" w:color="auto"/>
        <w:right w:val="none" w:sz="0" w:space="0" w:color="auto"/>
      </w:divBdr>
    </w:div>
    <w:div w:id="111172366">
      <w:marLeft w:val="0"/>
      <w:marRight w:val="0"/>
      <w:marTop w:val="0"/>
      <w:marBottom w:val="0"/>
      <w:divBdr>
        <w:top w:val="none" w:sz="0" w:space="0" w:color="auto"/>
        <w:left w:val="none" w:sz="0" w:space="0" w:color="auto"/>
        <w:bottom w:val="none" w:sz="0" w:space="0" w:color="auto"/>
        <w:right w:val="none" w:sz="0" w:space="0" w:color="auto"/>
      </w:divBdr>
      <w:divsChild>
        <w:div w:id="1810440678">
          <w:marLeft w:val="0"/>
          <w:marRight w:val="0"/>
          <w:marTop w:val="0"/>
          <w:marBottom w:val="0"/>
          <w:divBdr>
            <w:top w:val="none" w:sz="0" w:space="0" w:color="auto"/>
            <w:left w:val="none" w:sz="0" w:space="0" w:color="auto"/>
            <w:bottom w:val="none" w:sz="0" w:space="0" w:color="auto"/>
            <w:right w:val="none" w:sz="0" w:space="0" w:color="auto"/>
          </w:divBdr>
        </w:div>
      </w:divsChild>
    </w:div>
    <w:div w:id="114179670">
      <w:marLeft w:val="0"/>
      <w:marRight w:val="0"/>
      <w:marTop w:val="120"/>
      <w:marBottom w:val="120"/>
      <w:divBdr>
        <w:top w:val="none" w:sz="0" w:space="0" w:color="auto"/>
        <w:left w:val="none" w:sz="0" w:space="0" w:color="auto"/>
        <w:bottom w:val="none" w:sz="0" w:space="0" w:color="auto"/>
        <w:right w:val="none" w:sz="0" w:space="0" w:color="auto"/>
      </w:divBdr>
    </w:div>
    <w:div w:id="115098734">
      <w:marLeft w:val="0"/>
      <w:marRight w:val="0"/>
      <w:marTop w:val="0"/>
      <w:marBottom w:val="240"/>
      <w:divBdr>
        <w:top w:val="none" w:sz="0" w:space="0" w:color="auto"/>
        <w:left w:val="none" w:sz="0" w:space="0" w:color="auto"/>
        <w:bottom w:val="none" w:sz="0" w:space="0" w:color="auto"/>
        <w:right w:val="none" w:sz="0" w:space="0" w:color="auto"/>
      </w:divBdr>
    </w:div>
    <w:div w:id="116678447">
      <w:marLeft w:val="0"/>
      <w:marRight w:val="0"/>
      <w:marTop w:val="0"/>
      <w:marBottom w:val="180"/>
      <w:divBdr>
        <w:top w:val="none" w:sz="0" w:space="0" w:color="auto"/>
        <w:left w:val="none" w:sz="0" w:space="0" w:color="auto"/>
        <w:bottom w:val="none" w:sz="0" w:space="0" w:color="auto"/>
        <w:right w:val="none" w:sz="0" w:space="0" w:color="auto"/>
      </w:divBdr>
    </w:div>
    <w:div w:id="119079030">
      <w:marLeft w:val="0"/>
      <w:marRight w:val="0"/>
      <w:marTop w:val="0"/>
      <w:marBottom w:val="240"/>
      <w:divBdr>
        <w:top w:val="none" w:sz="0" w:space="0" w:color="auto"/>
        <w:left w:val="none" w:sz="0" w:space="0" w:color="auto"/>
        <w:bottom w:val="none" w:sz="0" w:space="0" w:color="auto"/>
        <w:right w:val="none" w:sz="0" w:space="0" w:color="auto"/>
      </w:divBdr>
    </w:div>
    <w:div w:id="119615474">
      <w:marLeft w:val="0"/>
      <w:marRight w:val="0"/>
      <w:marTop w:val="0"/>
      <w:marBottom w:val="0"/>
      <w:divBdr>
        <w:top w:val="none" w:sz="0" w:space="0" w:color="auto"/>
        <w:left w:val="none" w:sz="0" w:space="0" w:color="auto"/>
        <w:bottom w:val="none" w:sz="0" w:space="0" w:color="auto"/>
        <w:right w:val="none" w:sz="0" w:space="0" w:color="auto"/>
      </w:divBdr>
    </w:div>
    <w:div w:id="120195861">
      <w:marLeft w:val="0"/>
      <w:marRight w:val="0"/>
      <w:marTop w:val="0"/>
      <w:marBottom w:val="240"/>
      <w:divBdr>
        <w:top w:val="none" w:sz="0" w:space="0" w:color="auto"/>
        <w:left w:val="none" w:sz="0" w:space="0" w:color="auto"/>
        <w:bottom w:val="none" w:sz="0" w:space="0" w:color="auto"/>
        <w:right w:val="none" w:sz="0" w:space="0" w:color="auto"/>
      </w:divBdr>
    </w:div>
    <w:div w:id="121701850">
      <w:marLeft w:val="0"/>
      <w:marRight w:val="0"/>
      <w:marTop w:val="0"/>
      <w:marBottom w:val="240"/>
      <w:divBdr>
        <w:top w:val="none" w:sz="0" w:space="0" w:color="auto"/>
        <w:left w:val="none" w:sz="0" w:space="0" w:color="auto"/>
        <w:bottom w:val="none" w:sz="0" w:space="0" w:color="auto"/>
        <w:right w:val="none" w:sz="0" w:space="0" w:color="auto"/>
      </w:divBdr>
    </w:div>
    <w:div w:id="121730551">
      <w:marLeft w:val="0"/>
      <w:marRight w:val="0"/>
      <w:marTop w:val="0"/>
      <w:marBottom w:val="0"/>
      <w:divBdr>
        <w:top w:val="none" w:sz="0" w:space="0" w:color="auto"/>
        <w:left w:val="none" w:sz="0" w:space="0" w:color="auto"/>
        <w:bottom w:val="none" w:sz="0" w:space="0" w:color="auto"/>
        <w:right w:val="none" w:sz="0" w:space="0" w:color="auto"/>
      </w:divBdr>
      <w:divsChild>
        <w:div w:id="1124155974">
          <w:marLeft w:val="0"/>
          <w:marRight w:val="0"/>
          <w:marTop w:val="0"/>
          <w:marBottom w:val="0"/>
          <w:divBdr>
            <w:top w:val="none" w:sz="0" w:space="0" w:color="auto"/>
            <w:left w:val="none" w:sz="0" w:space="0" w:color="auto"/>
            <w:bottom w:val="none" w:sz="0" w:space="0" w:color="auto"/>
            <w:right w:val="none" w:sz="0" w:space="0" w:color="auto"/>
          </w:divBdr>
        </w:div>
      </w:divsChild>
    </w:div>
    <w:div w:id="121776428">
      <w:marLeft w:val="0"/>
      <w:marRight w:val="0"/>
      <w:marTop w:val="0"/>
      <w:marBottom w:val="0"/>
      <w:divBdr>
        <w:top w:val="none" w:sz="0" w:space="0" w:color="auto"/>
        <w:left w:val="none" w:sz="0" w:space="0" w:color="auto"/>
        <w:bottom w:val="none" w:sz="0" w:space="0" w:color="auto"/>
        <w:right w:val="none" w:sz="0" w:space="0" w:color="auto"/>
      </w:divBdr>
      <w:divsChild>
        <w:div w:id="1928423525">
          <w:marLeft w:val="0"/>
          <w:marRight w:val="0"/>
          <w:marTop w:val="0"/>
          <w:marBottom w:val="0"/>
          <w:divBdr>
            <w:top w:val="none" w:sz="0" w:space="0" w:color="auto"/>
            <w:left w:val="none" w:sz="0" w:space="0" w:color="auto"/>
            <w:bottom w:val="none" w:sz="0" w:space="0" w:color="auto"/>
            <w:right w:val="none" w:sz="0" w:space="0" w:color="auto"/>
          </w:divBdr>
        </w:div>
      </w:divsChild>
    </w:div>
    <w:div w:id="122231778">
      <w:marLeft w:val="0"/>
      <w:marRight w:val="0"/>
      <w:marTop w:val="0"/>
      <w:marBottom w:val="0"/>
      <w:divBdr>
        <w:top w:val="none" w:sz="0" w:space="0" w:color="auto"/>
        <w:left w:val="none" w:sz="0" w:space="0" w:color="auto"/>
        <w:bottom w:val="none" w:sz="0" w:space="0" w:color="auto"/>
        <w:right w:val="none" w:sz="0" w:space="0" w:color="auto"/>
      </w:divBdr>
    </w:div>
    <w:div w:id="123274390">
      <w:marLeft w:val="0"/>
      <w:marRight w:val="0"/>
      <w:marTop w:val="0"/>
      <w:marBottom w:val="240"/>
      <w:divBdr>
        <w:top w:val="none" w:sz="0" w:space="0" w:color="auto"/>
        <w:left w:val="none" w:sz="0" w:space="0" w:color="auto"/>
        <w:bottom w:val="none" w:sz="0" w:space="0" w:color="auto"/>
        <w:right w:val="none" w:sz="0" w:space="0" w:color="auto"/>
      </w:divBdr>
    </w:div>
    <w:div w:id="125896091">
      <w:marLeft w:val="0"/>
      <w:marRight w:val="0"/>
      <w:marTop w:val="180"/>
      <w:marBottom w:val="180"/>
      <w:divBdr>
        <w:top w:val="none" w:sz="0" w:space="0" w:color="auto"/>
        <w:left w:val="none" w:sz="0" w:space="0" w:color="auto"/>
        <w:bottom w:val="none" w:sz="0" w:space="0" w:color="auto"/>
        <w:right w:val="none" w:sz="0" w:space="0" w:color="auto"/>
      </w:divBdr>
    </w:div>
    <w:div w:id="128132684">
      <w:marLeft w:val="0"/>
      <w:marRight w:val="0"/>
      <w:marTop w:val="0"/>
      <w:marBottom w:val="0"/>
      <w:divBdr>
        <w:top w:val="none" w:sz="0" w:space="0" w:color="auto"/>
        <w:left w:val="none" w:sz="0" w:space="0" w:color="auto"/>
        <w:bottom w:val="none" w:sz="0" w:space="0" w:color="auto"/>
        <w:right w:val="none" w:sz="0" w:space="0" w:color="auto"/>
      </w:divBdr>
    </w:div>
    <w:div w:id="128864434">
      <w:marLeft w:val="0"/>
      <w:marRight w:val="0"/>
      <w:marTop w:val="180"/>
      <w:marBottom w:val="180"/>
      <w:divBdr>
        <w:top w:val="none" w:sz="0" w:space="0" w:color="auto"/>
        <w:left w:val="none" w:sz="0" w:space="0" w:color="auto"/>
        <w:bottom w:val="none" w:sz="0" w:space="0" w:color="auto"/>
        <w:right w:val="none" w:sz="0" w:space="0" w:color="auto"/>
      </w:divBdr>
    </w:div>
    <w:div w:id="130951376">
      <w:marLeft w:val="0"/>
      <w:marRight w:val="0"/>
      <w:marTop w:val="0"/>
      <w:marBottom w:val="240"/>
      <w:divBdr>
        <w:top w:val="none" w:sz="0" w:space="0" w:color="auto"/>
        <w:left w:val="none" w:sz="0" w:space="0" w:color="auto"/>
        <w:bottom w:val="none" w:sz="0" w:space="0" w:color="auto"/>
        <w:right w:val="none" w:sz="0" w:space="0" w:color="auto"/>
      </w:divBdr>
    </w:div>
    <w:div w:id="131867374">
      <w:marLeft w:val="0"/>
      <w:marRight w:val="0"/>
      <w:marTop w:val="0"/>
      <w:marBottom w:val="180"/>
      <w:divBdr>
        <w:top w:val="none" w:sz="0" w:space="0" w:color="auto"/>
        <w:left w:val="none" w:sz="0" w:space="0" w:color="auto"/>
        <w:bottom w:val="none" w:sz="0" w:space="0" w:color="auto"/>
        <w:right w:val="none" w:sz="0" w:space="0" w:color="auto"/>
      </w:divBdr>
    </w:div>
    <w:div w:id="136186967">
      <w:marLeft w:val="0"/>
      <w:marRight w:val="0"/>
      <w:marTop w:val="0"/>
      <w:marBottom w:val="240"/>
      <w:divBdr>
        <w:top w:val="none" w:sz="0" w:space="0" w:color="auto"/>
        <w:left w:val="none" w:sz="0" w:space="0" w:color="auto"/>
        <w:bottom w:val="none" w:sz="0" w:space="0" w:color="auto"/>
        <w:right w:val="none" w:sz="0" w:space="0" w:color="auto"/>
      </w:divBdr>
    </w:div>
    <w:div w:id="138499841">
      <w:marLeft w:val="0"/>
      <w:marRight w:val="0"/>
      <w:marTop w:val="120"/>
      <w:marBottom w:val="120"/>
      <w:divBdr>
        <w:top w:val="none" w:sz="0" w:space="0" w:color="auto"/>
        <w:left w:val="none" w:sz="0" w:space="0" w:color="auto"/>
        <w:bottom w:val="none" w:sz="0" w:space="0" w:color="auto"/>
        <w:right w:val="none" w:sz="0" w:space="0" w:color="auto"/>
      </w:divBdr>
    </w:div>
    <w:div w:id="139880800">
      <w:marLeft w:val="0"/>
      <w:marRight w:val="0"/>
      <w:marTop w:val="240"/>
      <w:marBottom w:val="240"/>
      <w:divBdr>
        <w:top w:val="none" w:sz="0" w:space="0" w:color="auto"/>
        <w:left w:val="none" w:sz="0" w:space="0" w:color="auto"/>
        <w:bottom w:val="none" w:sz="0" w:space="0" w:color="auto"/>
        <w:right w:val="none" w:sz="0" w:space="0" w:color="auto"/>
      </w:divBdr>
    </w:div>
    <w:div w:id="142889822">
      <w:marLeft w:val="0"/>
      <w:marRight w:val="0"/>
      <w:marTop w:val="0"/>
      <w:marBottom w:val="0"/>
      <w:divBdr>
        <w:top w:val="none" w:sz="0" w:space="0" w:color="auto"/>
        <w:left w:val="none" w:sz="0" w:space="0" w:color="auto"/>
        <w:bottom w:val="none" w:sz="0" w:space="0" w:color="auto"/>
        <w:right w:val="none" w:sz="0" w:space="0" w:color="auto"/>
      </w:divBdr>
    </w:div>
    <w:div w:id="146825226">
      <w:marLeft w:val="0"/>
      <w:marRight w:val="0"/>
      <w:marTop w:val="0"/>
      <w:marBottom w:val="0"/>
      <w:divBdr>
        <w:top w:val="none" w:sz="0" w:space="0" w:color="auto"/>
        <w:left w:val="none" w:sz="0" w:space="0" w:color="auto"/>
        <w:bottom w:val="none" w:sz="0" w:space="0" w:color="auto"/>
        <w:right w:val="none" w:sz="0" w:space="0" w:color="auto"/>
      </w:divBdr>
      <w:divsChild>
        <w:div w:id="773675081">
          <w:marLeft w:val="0"/>
          <w:marRight w:val="0"/>
          <w:marTop w:val="0"/>
          <w:marBottom w:val="0"/>
          <w:divBdr>
            <w:top w:val="none" w:sz="0" w:space="0" w:color="auto"/>
            <w:left w:val="none" w:sz="0" w:space="0" w:color="auto"/>
            <w:bottom w:val="none" w:sz="0" w:space="0" w:color="auto"/>
            <w:right w:val="none" w:sz="0" w:space="0" w:color="auto"/>
          </w:divBdr>
        </w:div>
      </w:divsChild>
    </w:div>
    <w:div w:id="147214799">
      <w:marLeft w:val="0"/>
      <w:marRight w:val="0"/>
      <w:marTop w:val="0"/>
      <w:marBottom w:val="240"/>
      <w:divBdr>
        <w:top w:val="none" w:sz="0" w:space="0" w:color="auto"/>
        <w:left w:val="none" w:sz="0" w:space="0" w:color="auto"/>
        <w:bottom w:val="none" w:sz="0" w:space="0" w:color="auto"/>
        <w:right w:val="none" w:sz="0" w:space="0" w:color="auto"/>
      </w:divBdr>
    </w:div>
    <w:div w:id="147400365">
      <w:marLeft w:val="0"/>
      <w:marRight w:val="0"/>
      <w:marTop w:val="0"/>
      <w:marBottom w:val="0"/>
      <w:divBdr>
        <w:top w:val="none" w:sz="0" w:space="0" w:color="auto"/>
        <w:left w:val="none" w:sz="0" w:space="0" w:color="auto"/>
        <w:bottom w:val="none" w:sz="0" w:space="0" w:color="auto"/>
        <w:right w:val="none" w:sz="0" w:space="0" w:color="auto"/>
      </w:divBdr>
      <w:divsChild>
        <w:div w:id="1856378288">
          <w:marLeft w:val="0"/>
          <w:marRight w:val="0"/>
          <w:marTop w:val="0"/>
          <w:marBottom w:val="0"/>
          <w:divBdr>
            <w:top w:val="none" w:sz="0" w:space="0" w:color="auto"/>
            <w:left w:val="none" w:sz="0" w:space="0" w:color="auto"/>
            <w:bottom w:val="none" w:sz="0" w:space="0" w:color="auto"/>
            <w:right w:val="none" w:sz="0" w:space="0" w:color="auto"/>
          </w:divBdr>
        </w:div>
      </w:divsChild>
    </w:div>
    <w:div w:id="148055622">
      <w:marLeft w:val="0"/>
      <w:marRight w:val="0"/>
      <w:marTop w:val="0"/>
      <w:marBottom w:val="0"/>
      <w:divBdr>
        <w:top w:val="none" w:sz="0" w:space="0" w:color="auto"/>
        <w:left w:val="none" w:sz="0" w:space="0" w:color="auto"/>
        <w:bottom w:val="none" w:sz="0" w:space="0" w:color="auto"/>
        <w:right w:val="none" w:sz="0" w:space="0" w:color="auto"/>
      </w:divBdr>
      <w:divsChild>
        <w:div w:id="436026535">
          <w:marLeft w:val="0"/>
          <w:marRight w:val="0"/>
          <w:marTop w:val="0"/>
          <w:marBottom w:val="0"/>
          <w:divBdr>
            <w:top w:val="none" w:sz="0" w:space="0" w:color="auto"/>
            <w:left w:val="none" w:sz="0" w:space="0" w:color="auto"/>
            <w:bottom w:val="none" w:sz="0" w:space="0" w:color="auto"/>
            <w:right w:val="none" w:sz="0" w:space="0" w:color="auto"/>
          </w:divBdr>
          <w:divsChild>
            <w:div w:id="1968780662">
              <w:marLeft w:val="0"/>
              <w:marRight w:val="0"/>
              <w:marTop w:val="120"/>
              <w:marBottom w:val="120"/>
              <w:divBdr>
                <w:top w:val="none" w:sz="0" w:space="0" w:color="auto"/>
                <w:left w:val="none" w:sz="0" w:space="0" w:color="auto"/>
                <w:bottom w:val="none" w:sz="0" w:space="0" w:color="auto"/>
                <w:right w:val="none" w:sz="0" w:space="0" w:color="auto"/>
              </w:divBdr>
            </w:div>
            <w:div w:id="251820042">
              <w:marLeft w:val="0"/>
              <w:marRight w:val="0"/>
              <w:marTop w:val="0"/>
              <w:marBottom w:val="60"/>
              <w:divBdr>
                <w:top w:val="none" w:sz="0" w:space="0" w:color="auto"/>
                <w:left w:val="none" w:sz="0" w:space="0" w:color="auto"/>
                <w:bottom w:val="none" w:sz="0" w:space="0" w:color="auto"/>
                <w:right w:val="none" w:sz="0" w:space="0" w:color="auto"/>
              </w:divBdr>
            </w:div>
            <w:div w:id="965693719">
              <w:marLeft w:val="0"/>
              <w:marRight w:val="0"/>
              <w:marTop w:val="0"/>
              <w:marBottom w:val="60"/>
              <w:divBdr>
                <w:top w:val="none" w:sz="0" w:space="0" w:color="auto"/>
                <w:left w:val="none" w:sz="0" w:space="0" w:color="auto"/>
                <w:bottom w:val="none" w:sz="0" w:space="0" w:color="auto"/>
                <w:right w:val="none" w:sz="0" w:space="0" w:color="auto"/>
              </w:divBdr>
            </w:div>
            <w:div w:id="1894345092">
              <w:marLeft w:val="0"/>
              <w:marRight w:val="0"/>
              <w:marTop w:val="0"/>
              <w:marBottom w:val="60"/>
              <w:divBdr>
                <w:top w:val="none" w:sz="0" w:space="0" w:color="auto"/>
                <w:left w:val="none" w:sz="0" w:space="0" w:color="auto"/>
                <w:bottom w:val="none" w:sz="0" w:space="0" w:color="auto"/>
                <w:right w:val="none" w:sz="0" w:space="0" w:color="auto"/>
              </w:divBdr>
            </w:div>
            <w:div w:id="167137150">
              <w:marLeft w:val="0"/>
              <w:marRight w:val="0"/>
              <w:marTop w:val="0"/>
              <w:marBottom w:val="60"/>
              <w:divBdr>
                <w:top w:val="none" w:sz="0" w:space="0" w:color="auto"/>
                <w:left w:val="none" w:sz="0" w:space="0" w:color="auto"/>
                <w:bottom w:val="none" w:sz="0" w:space="0" w:color="auto"/>
                <w:right w:val="none" w:sz="0" w:space="0" w:color="auto"/>
              </w:divBdr>
            </w:div>
            <w:div w:id="1173059849">
              <w:marLeft w:val="0"/>
              <w:marRight w:val="0"/>
              <w:marTop w:val="0"/>
              <w:marBottom w:val="60"/>
              <w:divBdr>
                <w:top w:val="none" w:sz="0" w:space="0" w:color="auto"/>
                <w:left w:val="none" w:sz="0" w:space="0" w:color="auto"/>
                <w:bottom w:val="none" w:sz="0" w:space="0" w:color="auto"/>
                <w:right w:val="none" w:sz="0" w:space="0" w:color="auto"/>
              </w:divBdr>
            </w:div>
            <w:div w:id="44837750">
              <w:marLeft w:val="0"/>
              <w:marRight w:val="0"/>
              <w:marTop w:val="0"/>
              <w:marBottom w:val="60"/>
              <w:divBdr>
                <w:top w:val="none" w:sz="0" w:space="0" w:color="auto"/>
                <w:left w:val="none" w:sz="0" w:space="0" w:color="auto"/>
                <w:bottom w:val="none" w:sz="0" w:space="0" w:color="auto"/>
                <w:right w:val="none" w:sz="0" w:space="0" w:color="auto"/>
              </w:divBdr>
            </w:div>
            <w:div w:id="1880580149">
              <w:marLeft w:val="0"/>
              <w:marRight w:val="0"/>
              <w:marTop w:val="0"/>
              <w:marBottom w:val="60"/>
              <w:divBdr>
                <w:top w:val="none" w:sz="0" w:space="0" w:color="auto"/>
                <w:left w:val="none" w:sz="0" w:space="0" w:color="auto"/>
                <w:bottom w:val="none" w:sz="0" w:space="0" w:color="auto"/>
                <w:right w:val="none" w:sz="0" w:space="0" w:color="auto"/>
              </w:divBdr>
            </w:div>
            <w:div w:id="2032367059">
              <w:marLeft w:val="0"/>
              <w:marRight w:val="0"/>
              <w:marTop w:val="0"/>
              <w:marBottom w:val="60"/>
              <w:divBdr>
                <w:top w:val="none" w:sz="0" w:space="0" w:color="auto"/>
                <w:left w:val="none" w:sz="0" w:space="0" w:color="auto"/>
                <w:bottom w:val="none" w:sz="0" w:space="0" w:color="auto"/>
                <w:right w:val="none" w:sz="0" w:space="0" w:color="auto"/>
              </w:divBdr>
            </w:div>
            <w:div w:id="959726674">
              <w:marLeft w:val="0"/>
              <w:marRight w:val="0"/>
              <w:marTop w:val="0"/>
              <w:marBottom w:val="60"/>
              <w:divBdr>
                <w:top w:val="none" w:sz="0" w:space="0" w:color="auto"/>
                <w:left w:val="none" w:sz="0" w:space="0" w:color="auto"/>
                <w:bottom w:val="none" w:sz="0" w:space="0" w:color="auto"/>
                <w:right w:val="none" w:sz="0" w:space="0" w:color="auto"/>
              </w:divBdr>
            </w:div>
            <w:div w:id="438380727">
              <w:marLeft w:val="0"/>
              <w:marRight w:val="0"/>
              <w:marTop w:val="0"/>
              <w:marBottom w:val="60"/>
              <w:divBdr>
                <w:top w:val="none" w:sz="0" w:space="0" w:color="auto"/>
                <w:left w:val="none" w:sz="0" w:space="0" w:color="auto"/>
                <w:bottom w:val="none" w:sz="0" w:space="0" w:color="auto"/>
                <w:right w:val="none" w:sz="0" w:space="0" w:color="auto"/>
              </w:divBdr>
            </w:div>
            <w:div w:id="121844705">
              <w:marLeft w:val="0"/>
              <w:marRight w:val="0"/>
              <w:marTop w:val="0"/>
              <w:marBottom w:val="60"/>
              <w:divBdr>
                <w:top w:val="none" w:sz="0" w:space="0" w:color="auto"/>
                <w:left w:val="none" w:sz="0" w:space="0" w:color="auto"/>
                <w:bottom w:val="none" w:sz="0" w:space="0" w:color="auto"/>
                <w:right w:val="none" w:sz="0" w:space="0" w:color="auto"/>
              </w:divBdr>
            </w:div>
            <w:div w:id="1353844239">
              <w:marLeft w:val="0"/>
              <w:marRight w:val="0"/>
              <w:marTop w:val="0"/>
              <w:marBottom w:val="60"/>
              <w:divBdr>
                <w:top w:val="none" w:sz="0" w:space="0" w:color="auto"/>
                <w:left w:val="none" w:sz="0" w:space="0" w:color="auto"/>
                <w:bottom w:val="none" w:sz="0" w:space="0" w:color="auto"/>
                <w:right w:val="none" w:sz="0" w:space="0" w:color="auto"/>
              </w:divBdr>
            </w:div>
            <w:div w:id="2141990112">
              <w:marLeft w:val="0"/>
              <w:marRight w:val="0"/>
              <w:marTop w:val="0"/>
              <w:marBottom w:val="60"/>
              <w:divBdr>
                <w:top w:val="none" w:sz="0" w:space="0" w:color="auto"/>
                <w:left w:val="none" w:sz="0" w:space="0" w:color="auto"/>
                <w:bottom w:val="none" w:sz="0" w:space="0" w:color="auto"/>
                <w:right w:val="none" w:sz="0" w:space="0" w:color="auto"/>
              </w:divBdr>
            </w:div>
            <w:div w:id="306513396">
              <w:marLeft w:val="0"/>
              <w:marRight w:val="0"/>
              <w:marTop w:val="0"/>
              <w:marBottom w:val="180"/>
              <w:divBdr>
                <w:top w:val="none" w:sz="0" w:space="0" w:color="auto"/>
                <w:left w:val="none" w:sz="0" w:space="0" w:color="auto"/>
                <w:bottom w:val="none" w:sz="0" w:space="0" w:color="auto"/>
                <w:right w:val="none" w:sz="0" w:space="0" w:color="auto"/>
              </w:divBdr>
            </w:div>
            <w:div w:id="1780297675">
              <w:marLeft w:val="0"/>
              <w:marRight w:val="0"/>
              <w:marTop w:val="0"/>
              <w:marBottom w:val="60"/>
              <w:divBdr>
                <w:top w:val="none" w:sz="0" w:space="0" w:color="auto"/>
                <w:left w:val="none" w:sz="0" w:space="0" w:color="auto"/>
                <w:bottom w:val="none" w:sz="0" w:space="0" w:color="auto"/>
                <w:right w:val="none" w:sz="0" w:space="0" w:color="auto"/>
              </w:divBdr>
            </w:div>
            <w:div w:id="482888477">
              <w:marLeft w:val="0"/>
              <w:marRight w:val="0"/>
              <w:marTop w:val="0"/>
              <w:marBottom w:val="60"/>
              <w:divBdr>
                <w:top w:val="none" w:sz="0" w:space="0" w:color="auto"/>
                <w:left w:val="none" w:sz="0" w:space="0" w:color="auto"/>
                <w:bottom w:val="none" w:sz="0" w:space="0" w:color="auto"/>
                <w:right w:val="none" w:sz="0" w:space="0" w:color="auto"/>
              </w:divBdr>
            </w:div>
            <w:div w:id="1131358816">
              <w:marLeft w:val="0"/>
              <w:marRight w:val="0"/>
              <w:marTop w:val="0"/>
              <w:marBottom w:val="60"/>
              <w:divBdr>
                <w:top w:val="none" w:sz="0" w:space="0" w:color="auto"/>
                <w:left w:val="none" w:sz="0" w:space="0" w:color="auto"/>
                <w:bottom w:val="none" w:sz="0" w:space="0" w:color="auto"/>
                <w:right w:val="none" w:sz="0" w:space="0" w:color="auto"/>
              </w:divBdr>
            </w:div>
            <w:div w:id="1172375262">
              <w:marLeft w:val="0"/>
              <w:marRight w:val="0"/>
              <w:marTop w:val="0"/>
              <w:marBottom w:val="60"/>
              <w:divBdr>
                <w:top w:val="none" w:sz="0" w:space="0" w:color="auto"/>
                <w:left w:val="none" w:sz="0" w:space="0" w:color="auto"/>
                <w:bottom w:val="none" w:sz="0" w:space="0" w:color="auto"/>
                <w:right w:val="none" w:sz="0" w:space="0" w:color="auto"/>
              </w:divBdr>
            </w:div>
            <w:div w:id="1809518981">
              <w:marLeft w:val="0"/>
              <w:marRight w:val="0"/>
              <w:marTop w:val="0"/>
              <w:marBottom w:val="60"/>
              <w:divBdr>
                <w:top w:val="none" w:sz="0" w:space="0" w:color="auto"/>
                <w:left w:val="none" w:sz="0" w:space="0" w:color="auto"/>
                <w:bottom w:val="none" w:sz="0" w:space="0" w:color="auto"/>
                <w:right w:val="none" w:sz="0" w:space="0" w:color="auto"/>
              </w:divBdr>
            </w:div>
            <w:div w:id="745419155">
              <w:marLeft w:val="0"/>
              <w:marRight w:val="0"/>
              <w:marTop w:val="0"/>
              <w:marBottom w:val="60"/>
              <w:divBdr>
                <w:top w:val="none" w:sz="0" w:space="0" w:color="auto"/>
                <w:left w:val="none" w:sz="0" w:space="0" w:color="auto"/>
                <w:bottom w:val="none" w:sz="0" w:space="0" w:color="auto"/>
                <w:right w:val="none" w:sz="0" w:space="0" w:color="auto"/>
              </w:divBdr>
            </w:div>
            <w:div w:id="1979147058">
              <w:marLeft w:val="0"/>
              <w:marRight w:val="0"/>
              <w:marTop w:val="0"/>
              <w:marBottom w:val="60"/>
              <w:divBdr>
                <w:top w:val="none" w:sz="0" w:space="0" w:color="auto"/>
                <w:left w:val="none" w:sz="0" w:space="0" w:color="auto"/>
                <w:bottom w:val="none" w:sz="0" w:space="0" w:color="auto"/>
                <w:right w:val="none" w:sz="0" w:space="0" w:color="auto"/>
              </w:divBdr>
            </w:div>
            <w:div w:id="333608704">
              <w:marLeft w:val="0"/>
              <w:marRight w:val="0"/>
              <w:marTop w:val="0"/>
              <w:marBottom w:val="60"/>
              <w:divBdr>
                <w:top w:val="none" w:sz="0" w:space="0" w:color="auto"/>
                <w:left w:val="none" w:sz="0" w:space="0" w:color="auto"/>
                <w:bottom w:val="none" w:sz="0" w:space="0" w:color="auto"/>
                <w:right w:val="none" w:sz="0" w:space="0" w:color="auto"/>
              </w:divBdr>
            </w:div>
            <w:div w:id="1685135614">
              <w:marLeft w:val="0"/>
              <w:marRight w:val="0"/>
              <w:marTop w:val="0"/>
              <w:marBottom w:val="60"/>
              <w:divBdr>
                <w:top w:val="none" w:sz="0" w:space="0" w:color="auto"/>
                <w:left w:val="none" w:sz="0" w:space="0" w:color="auto"/>
                <w:bottom w:val="none" w:sz="0" w:space="0" w:color="auto"/>
                <w:right w:val="none" w:sz="0" w:space="0" w:color="auto"/>
              </w:divBdr>
            </w:div>
            <w:div w:id="804853614">
              <w:marLeft w:val="0"/>
              <w:marRight w:val="0"/>
              <w:marTop w:val="0"/>
              <w:marBottom w:val="60"/>
              <w:divBdr>
                <w:top w:val="none" w:sz="0" w:space="0" w:color="auto"/>
                <w:left w:val="none" w:sz="0" w:space="0" w:color="auto"/>
                <w:bottom w:val="none" w:sz="0" w:space="0" w:color="auto"/>
                <w:right w:val="none" w:sz="0" w:space="0" w:color="auto"/>
              </w:divBdr>
            </w:div>
            <w:div w:id="1453136243">
              <w:marLeft w:val="0"/>
              <w:marRight w:val="0"/>
              <w:marTop w:val="0"/>
              <w:marBottom w:val="60"/>
              <w:divBdr>
                <w:top w:val="none" w:sz="0" w:space="0" w:color="auto"/>
                <w:left w:val="none" w:sz="0" w:space="0" w:color="auto"/>
                <w:bottom w:val="none" w:sz="0" w:space="0" w:color="auto"/>
                <w:right w:val="none" w:sz="0" w:space="0" w:color="auto"/>
              </w:divBdr>
            </w:div>
            <w:div w:id="1350983766">
              <w:marLeft w:val="0"/>
              <w:marRight w:val="0"/>
              <w:marTop w:val="0"/>
              <w:marBottom w:val="60"/>
              <w:divBdr>
                <w:top w:val="none" w:sz="0" w:space="0" w:color="auto"/>
                <w:left w:val="none" w:sz="0" w:space="0" w:color="auto"/>
                <w:bottom w:val="none" w:sz="0" w:space="0" w:color="auto"/>
                <w:right w:val="none" w:sz="0" w:space="0" w:color="auto"/>
              </w:divBdr>
            </w:div>
            <w:div w:id="2050492907">
              <w:marLeft w:val="0"/>
              <w:marRight w:val="0"/>
              <w:marTop w:val="0"/>
              <w:marBottom w:val="60"/>
              <w:divBdr>
                <w:top w:val="none" w:sz="0" w:space="0" w:color="auto"/>
                <w:left w:val="none" w:sz="0" w:space="0" w:color="auto"/>
                <w:bottom w:val="none" w:sz="0" w:space="0" w:color="auto"/>
                <w:right w:val="none" w:sz="0" w:space="0" w:color="auto"/>
              </w:divBdr>
            </w:div>
            <w:div w:id="106127053">
              <w:marLeft w:val="0"/>
              <w:marRight w:val="0"/>
              <w:marTop w:val="0"/>
              <w:marBottom w:val="60"/>
              <w:divBdr>
                <w:top w:val="none" w:sz="0" w:space="0" w:color="auto"/>
                <w:left w:val="none" w:sz="0" w:space="0" w:color="auto"/>
                <w:bottom w:val="none" w:sz="0" w:space="0" w:color="auto"/>
                <w:right w:val="none" w:sz="0" w:space="0" w:color="auto"/>
              </w:divBdr>
            </w:div>
            <w:div w:id="1944066869">
              <w:marLeft w:val="0"/>
              <w:marRight w:val="0"/>
              <w:marTop w:val="0"/>
              <w:marBottom w:val="60"/>
              <w:divBdr>
                <w:top w:val="none" w:sz="0" w:space="0" w:color="auto"/>
                <w:left w:val="none" w:sz="0" w:space="0" w:color="auto"/>
                <w:bottom w:val="none" w:sz="0" w:space="0" w:color="auto"/>
                <w:right w:val="none" w:sz="0" w:space="0" w:color="auto"/>
              </w:divBdr>
            </w:div>
            <w:div w:id="1282303901">
              <w:marLeft w:val="0"/>
              <w:marRight w:val="0"/>
              <w:marTop w:val="0"/>
              <w:marBottom w:val="0"/>
              <w:divBdr>
                <w:top w:val="none" w:sz="0" w:space="0" w:color="auto"/>
                <w:left w:val="none" w:sz="0" w:space="0" w:color="auto"/>
                <w:bottom w:val="none" w:sz="0" w:space="0" w:color="auto"/>
                <w:right w:val="none" w:sz="0" w:space="0" w:color="auto"/>
              </w:divBdr>
            </w:div>
          </w:divsChild>
        </w:div>
        <w:div w:id="154537958">
          <w:marLeft w:val="0"/>
          <w:marRight w:val="0"/>
          <w:marTop w:val="0"/>
          <w:marBottom w:val="0"/>
          <w:divBdr>
            <w:top w:val="none" w:sz="0" w:space="0" w:color="auto"/>
            <w:left w:val="none" w:sz="0" w:space="0" w:color="auto"/>
            <w:bottom w:val="none" w:sz="0" w:space="0" w:color="auto"/>
            <w:right w:val="none" w:sz="0" w:space="0" w:color="auto"/>
          </w:divBdr>
          <w:divsChild>
            <w:div w:id="2059236101">
              <w:marLeft w:val="0"/>
              <w:marRight w:val="0"/>
              <w:marTop w:val="0"/>
              <w:marBottom w:val="60"/>
              <w:divBdr>
                <w:top w:val="none" w:sz="0" w:space="0" w:color="auto"/>
                <w:left w:val="none" w:sz="0" w:space="0" w:color="auto"/>
                <w:bottom w:val="none" w:sz="0" w:space="0" w:color="auto"/>
                <w:right w:val="none" w:sz="0" w:space="0" w:color="auto"/>
              </w:divBdr>
            </w:div>
            <w:div w:id="929855468">
              <w:marLeft w:val="0"/>
              <w:marRight w:val="0"/>
              <w:marTop w:val="0"/>
              <w:marBottom w:val="60"/>
              <w:divBdr>
                <w:top w:val="none" w:sz="0" w:space="0" w:color="auto"/>
                <w:left w:val="none" w:sz="0" w:space="0" w:color="auto"/>
                <w:bottom w:val="none" w:sz="0" w:space="0" w:color="auto"/>
                <w:right w:val="none" w:sz="0" w:space="0" w:color="auto"/>
              </w:divBdr>
            </w:div>
            <w:div w:id="1378970019">
              <w:marLeft w:val="0"/>
              <w:marRight w:val="0"/>
              <w:marTop w:val="0"/>
              <w:marBottom w:val="60"/>
              <w:divBdr>
                <w:top w:val="none" w:sz="0" w:space="0" w:color="auto"/>
                <w:left w:val="none" w:sz="0" w:space="0" w:color="auto"/>
                <w:bottom w:val="none" w:sz="0" w:space="0" w:color="auto"/>
                <w:right w:val="none" w:sz="0" w:space="0" w:color="auto"/>
              </w:divBdr>
            </w:div>
            <w:div w:id="808321242">
              <w:marLeft w:val="0"/>
              <w:marRight w:val="0"/>
              <w:marTop w:val="0"/>
              <w:marBottom w:val="60"/>
              <w:divBdr>
                <w:top w:val="none" w:sz="0" w:space="0" w:color="auto"/>
                <w:left w:val="none" w:sz="0" w:space="0" w:color="auto"/>
                <w:bottom w:val="none" w:sz="0" w:space="0" w:color="auto"/>
                <w:right w:val="none" w:sz="0" w:space="0" w:color="auto"/>
              </w:divBdr>
            </w:div>
            <w:div w:id="777257672">
              <w:marLeft w:val="0"/>
              <w:marRight w:val="0"/>
              <w:marTop w:val="0"/>
              <w:marBottom w:val="60"/>
              <w:divBdr>
                <w:top w:val="none" w:sz="0" w:space="0" w:color="auto"/>
                <w:left w:val="none" w:sz="0" w:space="0" w:color="auto"/>
                <w:bottom w:val="none" w:sz="0" w:space="0" w:color="auto"/>
                <w:right w:val="none" w:sz="0" w:space="0" w:color="auto"/>
              </w:divBdr>
            </w:div>
            <w:div w:id="1002977924">
              <w:marLeft w:val="0"/>
              <w:marRight w:val="0"/>
              <w:marTop w:val="0"/>
              <w:marBottom w:val="60"/>
              <w:divBdr>
                <w:top w:val="none" w:sz="0" w:space="0" w:color="auto"/>
                <w:left w:val="none" w:sz="0" w:space="0" w:color="auto"/>
                <w:bottom w:val="none" w:sz="0" w:space="0" w:color="auto"/>
                <w:right w:val="none" w:sz="0" w:space="0" w:color="auto"/>
              </w:divBdr>
            </w:div>
            <w:div w:id="1726172753">
              <w:marLeft w:val="0"/>
              <w:marRight w:val="0"/>
              <w:marTop w:val="0"/>
              <w:marBottom w:val="60"/>
              <w:divBdr>
                <w:top w:val="none" w:sz="0" w:space="0" w:color="auto"/>
                <w:left w:val="none" w:sz="0" w:space="0" w:color="auto"/>
                <w:bottom w:val="none" w:sz="0" w:space="0" w:color="auto"/>
                <w:right w:val="none" w:sz="0" w:space="0" w:color="auto"/>
              </w:divBdr>
            </w:div>
            <w:div w:id="510336115">
              <w:marLeft w:val="0"/>
              <w:marRight w:val="0"/>
              <w:marTop w:val="0"/>
              <w:marBottom w:val="60"/>
              <w:divBdr>
                <w:top w:val="none" w:sz="0" w:space="0" w:color="auto"/>
                <w:left w:val="none" w:sz="0" w:space="0" w:color="auto"/>
                <w:bottom w:val="none" w:sz="0" w:space="0" w:color="auto"/>
                <w:right w:val="none" w:sz="0" w:space="0" w:color="auto"/>
              </w:divBdr>
            </w:div>
            <w:div w:id="1709800068">
              <w:marLeft w:val="0"/>
              <w:marRight w:val="0"/>
              <w:marTop w:val="0"/>
              <w:marBottom w:val="60"/>
              <w:divBdr>
                <w:top w:val="none" w:sz="0" w:space="0" w:color="auto"/>
                <w:left w:val="none" w:sz="0" w:space="0" w:color="auto"/>
                <w:bottom w:val="none" w:sz="0" w:space="0" w:color="auto"/>
                <w:right w:val="none" w:sz="0" w:space="0" w:color="auto"/>
              </w:divBdr>
            </w:div>
            <w:div w:id="876313000">
              <w:marLeft w:val="0"/>
              <w:marRight w:val="0"/>
              <w:marTop w:val="0"/>
              <w:marBottom w:val="60"/>
              <w:divBdr>
                <w:top w:val="none" w:sz="0" w:space="0" w:color="auto"/>
                <w:left w:val="none" w:sz="0" w:space="0" w:color="auto"/>
                <w:bottom w:val="none" w:sz="0" w:space="0" w:color="auto"/>
                <w:right w:val="none" w:sz="0" w:space="0" w:color="auto"/>
              </w:divBdr>
            </w:div>
            <w:div w:id="1284120795">
              <w:marLeft w:val="0"/>
              <w:marRight w:val="0"/>
              <w:marTop w:val="0"/>
              <w:marBottom w:val="60"/>
              <w:divBdr>
                <w:top w:val="none" w:sz="0" w:space="0" w:color="auto"/>
                <w:left w:val="none" w:sz="0" w:space="0" w:color="auto"/>
                <w:bottom w:val="none" w:sz="0" w:space="0" w:color="auto"/>
                <w:right w:val="none" w:sz="0" w:space="0" w:color="auto"/>
              </w:divBdr>
            </w:div>
            <w:div w:id="1902252664">
              <w:marLeft w:val="0"/>
              <w:marRight w:val="0"/>
              <w:marTop w:val="0"/>
              <w:marBottom w:val="60"/>
              <w:divBdr>
                <w:top w:val="none" w:sz="0" w:space="0" w:color="auto"/>
                <w:left w:val="none" w:sz="0" w:space="0" w:color="auto"/>
                <w:bottom w:val="none" w:sz="0" w:space="0" w:color="auto"/>
                <w:right w:val="none" w:sz="0" w:space="0" w:color="auto"/>
              </w:divBdr>
            </w:div>
            <w:div w:id="405493064">
              <w:marLeft w:val="0"/>
              <w:marRight w:val="0"/>
              <w:marTop w:val="0"/>
              <w:marBottom w:val="60"/>
              <w:divBdr>
                <w:top w:val="none" w:sz="0" w:space="0" w:color="auto"/>
                <w:left w:val="none" w:sz="0" w:space="0" w:color="auto"/>
                <w:bottom w:val="none" w:sz="0" w:space="0" w:color="auto"/>
                <w:right w:val="none" w:sz="0" w:space="0" w:color="auto"/>
              </w:divBdr>
            </w:div>
            <w:div w:id="1515925343">
              <w:marLeft w:val="0"/>
              <w:marRight w:val="0"/>
              <w:marTop w:val="0"/>
              <w:marBottom w:val="60"/>
              <w:divBdr>
                <w:top w:val="none" w:sz="0" w:space="0" w:color="auto"/>
                <w:left w:val="none" w:sz="0" w:space="0" w:color="auto"/>
                <w:bottom w:val="none" w:sz="0" w:space="0" w:color="auto"/>
                <w:right w:val="none" w:sz="0" w:space="0" w:color="auto"/>
              </w:divBdr>
            </w:div>
            <w:div w:id="1841044930">
              <w:marLeft w:val="0"/>
              <w:marRight w:val="0"/>
              <w:marTop w:val="0"/>
              <w:marBottom w:val="60"/>
              <w:divBdr>
                <w:top w:val="none" w:sz="0" w:space="0" w:color="auto"/>
                <w:left w:val="none" w:sz="0" w:space="0" w:color="auto"/>
                <w:bottom w:val="none" w:sz="0" w:space="0" w:color="auto"/>
                <w:right w:val="none" w:sz="0" w:space="0" w:color="auto"/>
              </w:divBdr>
            </w:div>
            <w:div w:id="973867763">
              <w:marLeft w:val="0"/>
              <w:marRight w:val="0"/>
              <w:marTop w:val="0"/>
              <w:marBottom w:val="60"/>
              <w:divBdr>
                <w:top w:val="none" w:sz="0" w:space="0" w:color="auto"/>
                <w:left w:val="none" w:sz="0" w:space="0" w:color="auto"/>
                <w:bottom w:val="none" w:sz="0" w:space="0" w:color="auto"/>
                <w:right w:val="none" w:sz="0" w:space="0" w:color="auto"/>
              </w:divBdr>
            </w:div>
            <w:div w:id="146285846">
              <w:marLeft w:val="0"/>
              <w:marRight w:val="0"/>
              <w:marTop w:val="0"/>
              <w:marBottom w:val="60"/>
              <w:divBdr>
                <w:top w:val="none" w:sz="0" w:space="0" w:color="auto"/>
                <w:left w:val="none" w:sz="0" w:space="0" w:color="auto"/>
                <w:bottom w:val="none" w:sz="0" w:space="0" w:color="auto"/>
                <w:right w:val="none" w:sz="0" w:space="0" w:color="auto"/>
              </w:divBdr>
            </w:div>
            <w:div w:id="1527713328">
              <w:marLeft w:val="0"/>
              <w:marRight w:val="0"/>
              <w:marTop w:val="0"/>
              <w:marBottom w:val="60"/>
              <w:divBdr>
                <w:top w:val="none" w:sz="0" w:space="0" w:color="auto"/>
                <w:left w:val="none" w:sz="0" w:space="0" w:color="auto"/>
                <w:bottom w:val="none" w:sz="0" w:space="0" w:color="auto"/>
                <w:right w:val="none" w:sz="0" w:space="0" w:color="auto"/>
              </w:divBdr>
            </w:div>
            <w:div w:id="1326595216">
              <w:marLeft w:val="0"/>
              <w:marRight w:val="0"/>
              <w:marTop w:val="0"/>
              <w:marBottom w:val="60"/>
              <w:divBdr>
                <w:top w:val="none" w:sz="0" w:space="0" w:color="auto"/>
                <w:left w:val="none" w:sz="0" w:space="0" w:color="auto"/>
                <w:bottom w:val="none" w:sz="0" w:space="0" w:color="auto"/>
                <w:right w:val="none" w:sz="0" w:space="0" w:color="auto"/>
              </w:divBdr>
            </w:div>
            <w:div w:id="1804080324">
              <w:marLeft w:val="0"/>
              <w:marRight w:val="0"/>
              <w:marTop w:val="0"/>
              <w:marBottom w:val="60"/>
              <w:divBdr>
                <w:top w:val="none" w:sz="0" w:space="0" w:color="auto"/>
                <w:left w:val="none" w:sz="0" w:space="0" w:color="auto"/>
                <w:bottom w:val="none" w:sz="0" w:space="0" w:color="auto"/>
                <w:right w:val="none" w:sz="0" w:space="0" w:color="auto"/>
              </w:divBdr>
            </w:div>
            <w:div w:id="1040277813">
              <w:marLeft w:val="0"/>
              <w:marRight w:val="0"/>
              <w:marTop w:val="0"/>
              <w:marBottom w:val="60"/>
              <w:divBdr>
                <w:top w:val="none" w:sz="0" w:space="0" w:color="auto"/>
                <w:left w:val="none" w:sz="0" w:space="0" w:color="auto"/>
                <w:bottom w:val="none" w:sz="0" w:space="0" w:color="auto"/>
                <w:right w:val="none" w:sz="0" w:space="0" w:color="auto"/>
              </w:divBdr>
            </w:div>
            <w:div w:id="1175874924">
              <w:marLeft w:val="0"/>
              <w:marRight w:val="0"/>
              <w:marTop w:val="0"/>
              <w:marBottom w:val="60"/>
              <w:divBdr>
                <w:top w:val="none" w:sz="0" w:space="0" w:color="auto"/>
                <w:left w:val="none" w:sz="0" w:space="0" w:color="auto"/>
                <w:bottom w:val="none" w:sz="0" w:space="0" w:color="auto"/>
                <w:right w:val="none" w:sz="0" w:space="0" w:color="auto"/>
              </w:divBdr>
            </w:div>
            <w:div w:id="19785617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8442730">
      <w:marLeft w:val="0"/>
      <w:marRight w:val="0"/>
      <w:marTop w:val="120"/>
      <w:marBottom w:val="240"/>
      <w:divBdr>
        <w:top w:val="none" w:sz="0" w:space="0" w:color="auto"/>
        <w:left w:val="none" w:sz="0" w:space="0" w:color="auto"/>
        <w:bottom w:val="none" w:sz="0" w:space="0" w:color="auto"/>
        <w:right w:val="none" w:sz="0" w:space="0" w:color="auto"/>
      </w:divBdr>
    </w:div>
    <w:div w:id="148449035">
      <w:marLeft w:val="0"/>
      <w:marRight w:val="0"/>
      <w:marTop w:val="0"/>
      <w:marBottom w:val="180"/>
      <w:divBdr>
        <w:top w:val="none" w:sz="0" w:space="0" w:color="auto"/>
        <w:left w:val="none" w:sz="0" w:space="0" w:color="auto"/>
        <w:bottom w:val="none" w:sz="0" w:space="0" w:color="auto"/>
        <w:right w:val="none" w:sz="0" w:space="0" w:color="auto"/>
      </w:divBdr>
    </w:div>
    <w:div w:id="149903964">
      <w:marLeft w:val="0"/>
      <w:marRight w:val="0"/>
      <w:marTop w:val="0"/>
      <w:marBottom w:val="240"/>
      <w:divBdr>
        <w:top w:val="none" w:sz="0" w:space="0" w:color="auto"/>
        <w:left w:val="none" w:sz="0" w:space="0" w:color="auto"/>
        <w:bottom w:val="none" w:sz="0" w:space="0" w:color="auto"/>
        <w:right w:val="none" w:sz="0" w:space="0" w:color="auto"/>
      </w:divBdr>
    </w:div>
    <w:div w:id="151803235">
      <w:marLeft w:val="0"/>
      <w:marRight w:val="0"/>
      <w:marTop w:val="120"/>
      <w:marBottom w:val="120"/>
      <w:divBdr>
        <w:top w:val="none" w:sz="0" w:space="0" w:color="auto"/>
        <w:left w:val="none" w:sz="0" w:space="0" w:color="auto"/>
        <w:bottom w:val="none" w:sz="0" w:space="0" w:color="auto"/>
        <w:right w:val="none" w:sz="0" w:space="0" w:color="auto"/>
      </w:divBdr>
    </w:div>
    <w:div w:id="153303689">
      <w:marLeft w:val="0"/>
      <w:marRight w:val="0"/>
      <w:marTop w:val="0"/>
      <w:marBottom w:val="180"/>
      <w:divBdr>
        <w:top w:val="none" w:sz="0" w:space="0" w:color="auto"/>
        <w:left w:val="none" w:sz="0" w:space="0" w:color="auto"/>
        <w:bottom w:val="none" w:sz="0" w:space="0" w:color="auto"/>
        <w:right w:val="none" w:sz="0" w:space="0" w:color="auto"/>
      </w:divBdr>
    </w:div>
    <w:div w:id="153837703">
      <w:marLeft w:val="0"/>
      <w:marRight w:val="0"/>
      <w:marTop w:val="100"/>
      <w:marBottom w:val="180"/>
      <w:divBdr>
        <w:top w:val="none" w:sz="0" w:space="0" w:color="auto"/>
        <w:left w:val="none" w:sz="0" w:space="0" w:color="auto"/>
        <w:bottom w:val="none" w:sz="0" w:space="0" w:color="auto"/>
        <w:right w:val="none" w:sz="0" w:space="0" w:color="auto"/>
      </w:divBdr>
      <w:divsChild>
        <w:div w:id="1842811288">
          <w:marLeft w:val="0"/>
          <w:marRight w:val="0"/>
          <w:marTop w:val="0"/>
          <w:marBottom w:val="0"/>
          <w:divBdr>
            <w:top w:val="none" w:sz="0" w:space="0" w:color="auto"/>
            <w:left w:val="none" w:sz="0" w:space="0" w:color="auto"/>
            <w:bottom w:val="none" w:sz="0" w:space="0" w:color="auto"/>
            <w:right w:val="none" w:sz="0" w:space="0" w:color="auto"/>
          </w:divBdr>
        </w:div>
        <w:div w:id="1861619733">
          <w:marLeft w:val="0"/>
          <w:marRight w:val="0"/>
          <w:marTop w:val="0"/>
          <w:marBottom w:val="0"/>
          <w:divBdr>
            <w:top w:val="none" w:sz="0" w:space="0" w:color="auto"/>
            <w:left w:val="none" w:sz="0" w:space="0" w:color="auto"/>
            <w:bottom w:val="none" w:sz="0" w:space="0" w:color="auto"/>
            <w:right w:val="none" w:sz="0" w:space="0" w:color="auto"/>
          </w:divBdr>
        </w:div>
      </w:divsChild>
    </w:div>
    <w:div w:id="156073407">
      <w:marLeft w:val="0"/>
      <w:marRight w:val="0"/>
      <w:marTop w:val="0"/>
      <w:marBottom w:val="240"/>
      <w:divBdr>
        <w:top w:val="none" w:sz="0" w:space="0" w:color="auto"/>
        <w:left w:val="none" w:sz="0" w:space="0" w:color="auto"/>
        <w:bottom w:val="none" w:sz="0" w:space="0" w:color="auto"/>
        <w:right w:val="none" w:sz="0" w:space="0" w:color="auto"/>
      </w:divBdr>
    </w:div>
    <w:div w:id="157886438">
      <w:marLeft w:val="0"/>
      <w:marRight w:val="0"/>
      <w:marTop w:val="0"/>
      <w:marBottom w:val="0"/>
      <w:divBdr>
        <w:top w:val="none" w:sz="0" w:space="0" w:color="auto"/>
        <w:left w:val="none" w:sz="0" w:space="0" w:color="auto"/>
        <w:bottom w:val="none" w:sz="0" w:space="0" w:color="auto"/>
        <w:right w:val="none" w:sz="0" w:space="0" w:color="auto"/>
      </w:divBdr>
      <w:divsChild>
        <w:div w:id="1669094323">
          <w:marLeft w:val="0"/>
          <w:marRight w:val="0"/>
          <w:marTop w:val="0"/>
          <w:marBottom w:val="0"/>
          <w:divBdr>
            <w:top w:val="none" w:sz="0" w:space="0" w:color="auto"/>
            <w:left w:val="none" w:sz="0" w:space="0" w:color="auto"/>
            <w:bottom w:val="none" w:sz="0" w:space="0" w:color="auto"/>
            <w:right w:val="none" w:sz="0" w:space="0" w:color="auto"/>
          </w:divBdr>
        </w:div>
      </w:divsChild>
    </w:div>
    <w:div w:id="161438192">
      <w:marLeft w:val="0"/>
      <w:marRight w:val="0"/>
      <w:marTop w:val="0"/>
      <w:marBottom w:val="240"/>
      <w:divBdr>
        <w:top w:val="none" w:sz="0" w:space="0" w:color="auto"/>
        <w:left w:val="none" w:sz="0" w:space="0" w:color="auto"/>
        <w:bottom w:val="none" w:sz="0" w:space="0" w:color="auto"/>
        <w:right w:val="none" w:sz="0" w:space="0" w:color="auto"/>
      </w:divBdr>
    </w:div>
    <w:div w:id="161630883">
      <w:marLeft w:val="0"/>
      <w:marRight w:val="0"/>
      <w:marTop w:val="0"/>
      <w:marBottom w:val="180"/>
      <w:divBdr>
        <w:top w:val="none" w:sz="0" w:space="0" w:color="auto"/>
        <w:left w:val="none" w:sz="0" w:space="0" w:color="auto"/>
        <w:bottom w:val="none" w:sz="0" w:space="0" w:color="auto"/>
        <w:right w:val="none" w:sz="0" w:space="0" w:color="auto"/>
      </w:divBdr>
    </w:div>
    <w:div w:id="163206636">
      <w:marLeft w:val="0"/>
      <w:marRight w:val="0"/>
      <w:marTop w:val="0"/>
      <w:marBottom w:val="180"/>
      <w:divBdr>
        <w:top w:val="none" w:sz="0" w:space="0" w:color="auto"/>
        <w:left w:val="none" w:sz="0" w:space="0" w:color="auto"/>
        <w:bottom w:val="none" w:sz="0" w:space="0" w:color="auto"/>
        <w:right w:val="none" w:sz="0" w:space="0" w:color="auto"/>
      </w:divBdr>
    </w:div>
    <w:div w:id="164830050">
      <w:marLeft w:val="0"/>
      <w:marRight w:val="0"/>
      <w:marTop w:val="180"/>
      <w:marBottom w:val="180"/>
      <w:divBdr>
        <w:top w:val="none" w:sz="0" w:space="0" w:color="auto"/>
        <w:left w:val="none" w:sz="0" w:space="0" w:color="auto"/>
        <w:bottom w:val="none" w:sz="0" w:space="0" w:color="auto"/>
        <w:right w:val="none" w:sz="0" w:space="0" w:color="auto"/>
      </w:divBdr>
    </w:div>
    <w:div w:id="167453578">
      <w:marLeft w:val="0"/>
      <w:marRight w:val="0"/>
      <w:marTop w:val="0"/>
      <w:marBottom w:val="240"/>
      <w:divBdr>
        <w:top w:val="none" w:sz="0" w:space="0" w:color="auto"/>
        <w:left w:val="none" w:sz="0" w:space="0" w:color="auto"/>
        <w:bottom w:val="none" w:sz="0" w:space="0" w:color="auto"/>
        <w:right w:val="none" w:sz="0" w:space="0" w:color="auto"/>
      </w:divBdr>
    </w:div>
    <w:div w:id="168251780">
      <w:marLeft w:val="0"/>
      <w:marRight w:val="0"/>
      <w:marTop w:val="180"/>
      <w:marBottom w:val="180"/>
      <w:divBdr>
        <w:top w:val="none" w:sz="0" w:space="0" w:color="auto"/>
        <w:left w:val="none" w:sz="0" w:space="0" w:color="auto"/>
        <w:bottom w:val="none" w:sz="0" w:space="0" w:color="auto"/>
        <w:right w:val="none" w:sz="0" w:space="0" w:color="auto"/>
      </w:divBdr>
    </w:div>
    <w:div w:id="170536499">
      <w:marLeft w:val="0"/>
      <w:marRight w:val="0"/>
      <w:marTop w:val="0"/>
      <w:marBottom w:val="0"/>
      <w:divBdr>
        <w:top w:val="none" w:sz="0" w:space="0" w:color="auto"/>
        <w:left w:val="none" w:sz="0" w:space="0" w:color="auto"/>
        <w:bottom w:val="none" w:sz="0" w:space="0" w:color="auto"/>
        <w:right w:val="none" w:sz="0" w:space="0" w:color="auto"/>
      </w:divBdr>
    </w:div>
    <w:div w:id="170726746">
      <w:marLeft w:val="0"/>
      <w:marRight w:val="0"/>
      <w:marTop w:val="100"/>
      <w:marBottom w:val="180"/>
      <w:divBdr>
        <w:top w:val="none" w:sz="0" w:space="0" w:color="auto"/>
        <w:left w:val="none" w:sz="0" w:space="0" w:color="auto"/>
        <w:bottom w:val="none" w:sz="0" w:space="0" w:color="auto"/>
        <w:right w:val="none" w:sz="0" w:space="0" w:color="auto"/>
      </w:divBdr>
      <w:divsChild>
        <w:div w:id="1979796057">
          <w:marLeft w:val="0"/>
          <w:marRight w:val="0"/>
          <w:marTop w:val="0"/>
          <w:marBottom w:val="0"/>
          <w:divBdr>
            <w:top w:val="none" w:sz="0" w:space="0" w:color="auto"/>
            <w:left w:val="none" w:sz="0" w:space="0" w:color="auto"/>
            <w:bottom w:val="none" w:sz="0" w:space="0" w:color="auto"/>
            <w:right w:val="none" w:sz="0" w:space="0" w:color="auto"/>
          </w:divBdr>
        </w:div>
        <w:div w:id="1226724621">
          <w:marLeft w:val="0"/>
          <w:marRight w:val="0"/>
          <w:marTop w:val="0"/>
          <w:marBottom w:val="0"/>
          <w:divBdr>
            <w:top w:val="none" w:sz="0" w:space="0" w:color="auto"/>
            <w:left w:val="none" w:sz="0" w:space="0" w:color="auto"/>
            <w:bottom w:val="none" w:sz="0" w:space="0" w:color="auto"/>
            <w:right w:val="none" w:sz="0" w:space="0" w:color="auto"/>
          </w:divBdr>
        </w:div>
        <w:div w:id="2080059014">
          <w:marLeft w:val="0"/>
          <w:marRight w:val="0"/>
          <w:marTop w:val="0"/>
          <w:marBottom w:val="0"/>
          <w:divBdr>
            <w:top w:val="none" w:sz="0" w:space="0" w:color="auto"/>
            <w:left w:val="none" w:sz="0" w:space="0" w:color="auto"/>
            <w:bottom w:val="none" w:sz="0" w:space="0" w:color="auto"/>
            <w:right w:val="none" w:sz="0" w:space="0" w:color="auto"/>
          </w:divBdr>
        </w:div>
        <w:div w:id="1587881683">
          <w:marLeft w:val="0"/>
          <w:marRight w:val="0"/>
          <w:marTop w:val="0"/>
          <w:marBottom w:val="0"/>
          <w:divBdr>
            <w:top w:val="none" w:sz="0" w:space="0" w:color="auto"/>
            <w:left w:val="none" w:sz="0" w:space="0" w:color="auto"/>
            <w:bottom w:val="none" w:sz="0" w:space="0" w:color="auto"/>
            <w:right w:val="none" w:sz="0" w:space="0" w:color="auto"/>
          </w:divBdr>
        </w:div>
        <w:div w:id="191261168">
          <w:marLeft w:val="0"/>
          <w:marRight w:val="0"/>
          <w:marTop w:val="0"/>
          <w:marBottom w:val="0"/>
          <w:divBdr>
            <w:top w:val="none" w:sz="0" w:space="0" w:color="auto"/>
            <w:left w:val="none" w:sz="0" w:space="0" w:color="auto"/>
            <w:bottom w:val="none" w:sz="0" w:space="0" w:color="auto"/>
            <w:right w:val="none" w:sz="0" w:space="0" w:color="auto"/>
          </w:divBdr>
        </w:div>
        <w:div w:id="1418288300">
          <w:marLeft w:val="0"/>
          <w:marRight w:val="0"/>
          <w:marTop w:val="0"/>
          <w:marBottom w:val="0"/>
          <w:divBdr>
            <w:top w:val="none" w:sz="0" w:space="0" w:color="auto"/>
            <w:left w:val="none" w:sz="0" w:space="0" w:color="auto"/>
            <w:bottom w:val="none" w:sz="0" w:space="0" w:color="auto"/>
            <w:right w:val="none" w:sz="0" w:space="0" w:color="auto"/>
          </w:divBdr>
        </w:div>
        <w:div w:id="1445690289">
          <w:marLeft w:val="0"/>
          <w:marRight w:val="0"/>
          <w:marTop w:val="0"/>
          <w:marBottom w:val="0"/>
          <w:divBdr>
            <w:top w:val="none" w:sz="0" w:space="0" w:color="auto"/>
            <w:left w:val="none" w:sz="0" w:space="0" w:color="auto"/>
            <w:bottom w:val="none" w:sz="0" w:space="0" w:color="auto"/>
            <w:right w:val="none" w:sz="0" w:space="0" w:color="auto"/>
          </w:divBdr>
        </w:div>
        <w:div w:id="1803498032">
          <w:marLeft w:val="0"/>
          <w:marRight w:val="0"/>
          <w:marTop w:val="0"/>
          <w:marBottom w:val="0"/>
          <w:divBdr>
            <w:top w:val="none" w:sz="0" w:space="0" w:color="auto"/>
            <w:left w:val="none" w:sz="0" w:space="0" w:color="auto"/>
            <w:bottom w:val="none" w:sz="0" w:space="0" w:color="auto"/>
            <w:right w:val="none" w:sz="0" w:space="0" w:color="auto"/>
          </w:divBdr>
        </w:div>
        <w:div w:id="1995644734">
          <w:marLeft w:val="0"/>
          <w:marRight w:val="0"/>
          <w:marTop w:val="0"/>
          <w:marBottom w:val="0"/>
          <w:divBdr>
            <w:top w:val="none" w:sz="0" w:space="0" w:color="auto"/>
            <w:left w:val="none" w:sz="0" w:space="0" w:color="auto"/>
            <w:bottom w:val="none" w:sz="0" w:space="0" w:color="auto"/>
            <w:right w:val="none" w:sz="0" w:space="0" w:color="auto"/>
          </w:divBdr>
        </w:div>
        <w:div w:id="519706786">
          <w:marLeft w:val="0"/>
          <w:marRight w:val="0"/>
          <w:marTop w:val="0"/>
          <w:marBottom w:val="0"/>
          <w:divBdr>
            <w:top w:val="none" w:sz="0" w:space="0" w:color="auto"/>
            <w:left w:val="none" w:sz="0" w:space="0" w:color="auto"/>
            <w:bottom w:val="none" w:sz="0" w:space="0" w:color="auto"/>
            <w:right w:val="none" w:sz="0" w:space="0" w:color="auto"/>
          </w:divBdr>
        </w:div>
        <w:div w:id="376242365">
          <w:marLeft w:val="0"/>
          <w:marRight w:val="0"/>
          <w:marTop w:val="0"/>
          <w:marBottom w:val="0"/>
          <w:divBdr>
            <w:top w:val="none" w:sz="0" w:space="0" w:color="auto"/>
            <w:left w:val="none" w:sz="0" w:space="0" w:color="auto"/>
            <w:bottom w:val="none" w:sz="0" w:space="0" w:color="auto"/>
            <w:right w:val="none" w:sz="0" w:space="0" w:color="auto"/>
          </w:divBdr>
        </w:div>
        <w:div w:id="1637760250">
          <w:marLeft w:val="0"/>
          <w:marRight w:val="0"/>
          <w:marTop w:val="0"/>
          <w:marBottom w:val="0"/>
          <w:divBdr>
            <w:top w:val="none" w:sz="0" w:space="0" w:color="auto"/>
            <w:left w:val="none" w:sz="0" w:space="0" w:color="auto"/>
            <w:bottom w:val="none" w:sz="0" w:space="0" w:color="auto"/>
            <w:right w:val="none" w:sz="0" w:space="0" w:color="auto"/>
          </w:divBdr>
        </w:div>
        <w:div w:id="1765417217">
          <w:marLeft w:val="0"/>
          <w:marRight w:val="0"/>
          <w:marTop w:val="0"/>
          <w:marBottom w:val="0"/>
          <w:divBdr>
            <w:top w:val="none" w:sz="0" w:space="0" w:color="auto"/>
            <w:left w:val="none" w:sz="0" w:space="0" w:color="auto"/>
            <w:bottom w:val="none" w:sz="0" w:space="0" w:color="auto"/>
            <w:right w:val="none" w:sz="0" w:space="0" w:color="auto"/>
          </w:divBdr>
        </w:div>
        <w:div w:id="1121194059">
          <w:marLeft w:val="0"/>
          <w:marRight w:val="0"/>
          <w:marTop w:val="0"/>
          <w:marBottom w:val="0"/>
          <w:divBdr>
            <w:top w:val="none" w:sz="0" w:space="0" w:color="auto"/>
            <w:left w:val="none" w:sz="0" w:space="0" w:color="auto"/>
            <w:bottom w:val="none" w:sz="0" w:space="0" w:color="auto"/>
            <w:right w:val="none" w:sz="0" w:space="0" w:color="auto"/>
          </w:divBdr>
        </w:div>
        <w:div w:id="465900161">
          <w:marLeft w:val="0"/>
          <w:marRight w:val="0"/>
          <w:marTop w:val="0"/>
          <w:marBottom w:val="0"/>
          <w:divBdr>
            <w:top w:val="none" w:sz="0" w:space="0" w:color="auto"/>
            <w:left w:val="none" w:sz="0" w:space="0" w:color="auto"/>
            <w:bottom w:val="none" w:sz="0" w:space="0" w:color="auto"/>
            <w:right w:val="none" w:sz="0" w:space="0" w:color="auto"/>
          </w:divBdr>
        </w:div>
        <w:div w:id="2003659117">
          <w:marLeft w:val="0"/>
          <w:marRight w:val="0"/>
          <w:marTop w:val="0"/>
          <w:marBottom w:val="0"/>
          <w:divBdr>
            <w:top w:val="none" w:sz="0" w:space="0" w:color="auto"/>
            <w:left w:val="none" w:sz="0" w:space="0" w:color="auto"/>
            <w:bottom w:val="none" w:sz="0" w:space="0" w:color="auto"/>
            <w:right w:val="none" w:sz="0" w:space="0" w:color="auto"/>
          </w:divBdr>
        </w:div>
        <w:div w:id="792679053">
          <w:marLeft w:val="0"/>
          <w:marRight w:val="0"/>
          <w:marTop w:val="0"/>
          <w:marBottom w:val="0"/>
          <w:divBdr>
            <w:top w:val="none" w:sz="0" w:space="0" w:color="auto"/>
            <w:left w:val="none" w:sz="0" w:space="0" w:color="auto"/>
            <w:bottom w:val="none" w:sz="0" w:space="0" w:color="auto"/>
            <w:right w:val="none" w:sz="0" w:space="0" w:color="auto"/>
          </w:divBdr>
        </w:div>
        <w:div w:id="4484993">
          <w:marLeft w:val="0"/>
          <w:marRight w:val="0"/>
          <w:marTop w:val="0"/>
          <w:marBottom w:val="0"/>
          <w:divBdr>
            <w:top w:val="none" w:sz="0" w:space="0" w:color="auto"/>
            <w:left w:val="none" w:sz="0" w:space="0" w:color="auto"/>
            <w:bottom w:val="none" w:sz="0" w:space="0" w:color="auto"/>
            <w:right w:val="none" w:sz="0" w:space="0" w:color="auto"/>
          </w:divBdr>
        </w:div>
        <w:div w:id="1338342867">
          <w:marLeft w:val="0"/>
          <w:marRight w:val="0"/>
          <w:marTop w:val="0"/>
          <w:marBottom w:val="0"/>
          <w:divBdr>
            <w:top w:val="none" w:sz="0" w:space="0" w:color="auto"/>
            <w:left w:val="none" w:sz="0" w:space="0" w:color="auto"/>
            <w:bottom w:val="none" w:sz="0" w:space="0" w:color="auto"/>
            <w:right w:val="none" w:sz="0" w:space="0" w:color="auto"/>
          </w:divBdr>
        </w:div>
        <w:div w:id="594947820">
          <w:marLeft w:val="0"/>
          <w:marRight w:val="0"/>
          <w:marTop w:val="0"/>
          <w:marBottom w:val="0"/>
          <w:divBdr>
            <w:top w:val="none" w:sz="0" w:space="0" w:color="auto"/>
            <w:left w:val="none" w:sz="0" w:space="0" w:color="auto"/>
            <w:bottom w:val="none" w:sz="0" w:space="0" w:color="auto"/>
            <w:right w:val="none" w:sz="0" w:space="0" w:color="auto"/>
          </w:divBdr>
        </w:div>
        <w:div w:id="994450130">
          <w:marLeft w:val="0"/>
          <w:marRight w:val="0"/>
          <w:marTop w:val="0"/>
          <w:marBottom w:val="0"/>
          <w:divBdr>
            <w:top w:val="none" w:sz="0" w:space="0" w:color="auto"/>
            <w:left w:val="none" w:sz="0" w:space="0" w:color="auto"/>
            <w:bottom w:val="none" w:sz="0" w:space="0" w:color="auto"/>
            <w:right w:val="none" w:sz="0" w:space="0" w:color="auto"/>
          </w:divBdr>
        </w:div>
        <w:div w:id="2147356559">
          <w:marLeft w:val="0"/>
          <w:marRight w:val="0"/>
          <w:marTop w:val="0"/>
          <w:marBottom w:val="0"/>
          <w:divBdr>
            <w:top w:val="none" w:sz="0" w:space="0" w:color="auto"/>
            <w:left w:val="none" w:sz="0" w:space="0" w:color="auto"/>
            <w:bottom w:val="none" w:sz="0" w:space="0" w:color="auto"/>
            <w:right w:val="none" w:sz="0" w:space="0" w:color="auto"/>
          </w:divBdr>
        </w:div>
        <w:div w:id="1720281270">
          <w:marLeft w:val="0"/>
          <w:marRight w:val="0"/>
          <w:marTop w:val="0"/>
          <w:marBottom w:val="0"/>
          <w:divBdr>
            <w:top w:val="none" w:sz="0" w:space="0" w:color="auto"/>
            <w:left w:val="none" w:sz="0" w:space="0" w:color="auto"/>
            <w:bottom w:val="none" w:sz="0" w:space="0" w:color="auto"/>
            <w:right w:val="none" w:sz="0" w:space="0" w:color="auto"/>
          </w:divBdr>
        </w:div>
        <w:div w:id="653686818">
          <w:marLeft w:val="0"/>
          <w:marRight w:val="0"/>
          <w:marTop w:val="0"/>
          <w:marBottom w:val="0"/>
          <w:divBdr>
            <w:top w:val="none" w:sz="0" w:space="0" w:color="auto"/>
            <w:left w:val="none" w:sz="0" w:space="0" w:color="auto"/>
            <w:bottom w:val="none" w:sz="0" w:space="0" w:color="auto"/>
            <w:right w:val="none" w:sz="0" w:space="0" w:color="auto"/>
          </w:divBdr>
        </w:div>
        <w:div w:id="1788503158">
          <w:marLeft w:val="0"/>
          <w:marRight w:val="0"/>
          <w:marTop w:val="0"/>
          <w:marBottom w:val="0"/>
          <w:divBdr>
            <w:top w:val="none" w:sz="0" w:space="0" w:color="auto"/>
            <w:left w:val="none" w:sz="0" w:space="0" w:color="auto"/>
            <w:bottom w:val="none" w:sz="0" w:space="0" w:color="auto"/>
            <w:right w:val="none" w:sz="0" w:space="0" w:color="auto"/>
          </w:divBdr>
        </w:div>
        <w:div w:id="999426410">
          <w:marLeft w:val="0"/>
          <w:marRight w:val="0"/>
          <w:marTop w:val="0"/>
          <w:marBottom w:val="0"/>
          <w:divBdr>
            <w:top w:val="none" w:sz="0" w:space="0" w:color="auto"/>
            <w:left w:val="none" w:sz="0" w:space="0" w:color="auto"/>
            <w:bottom w:val="none" w:sz="0" w:space="0" w:color="auto"/>
            <w:right w:val="none" w:sz="0" w:space="0" w:color="auto"/>
          </w:divBdr>
        </w:div>
        <w:div w:id="693924729">
          <w:marLeft w:val="0"/>
          <w:marRight w:val="0"/>
          <w:marTop w:val="0"/>
          <w:marBottom w:val="0"/>
          <w:divBdr>
            <w:top w:val="none" w:sz="0" w:space="0" w:color="auto"/>
            <w:left w:val="none" w:sz="0" w:space="0" w:color="auto"/>
            <w:bottom w:val="none" w:sz="0" w:space="0" w:color="auto"/>
            <w:right w:val="none" w:sz="0" w:space="0" w:color="auto"/>
          </w:divBdr>
        </w:div>
        <w:div w:id="63381510">
          <w:marLeft w:val="0"/>
          <w:marRight w:val="0"/>
          <w:marTop w:val="0"/>
          <w:marBottom w:val="0"/>
          <w:divBdr>
            <w:top w:val="none" w:sz="0" w:space="0" w:color="auto"/>
            <w:left w:val="none" w:sz="0" w:space="0" w:color="auto"/>
            <w:bottom w:val="none" w:sz="0" w:space="0" w:color="auto"/>
            <w:right w:val="none" w:sz="0" w:space="0" w:color="auto"/>
          </w:divBdr>
        </w:div>
        <w:div w:id="446049855">
          <w:marLeft w:val="0"/>
          <w:marRight w:val="0"/>
          <w:marTop w:val="0"/>
          <w:marBottom w:val="0"/>
          <w:divBdr>
            <w:top w:val="none" w:sz="0" w:space="0" w:color="auto"/>
            <w:left w:val="none" w:sz="0" w:space="0" w:color="auto"/>
            <w:bottom w:val="none" w:sz="0" w:space="0" w:color="auto"/>
            <w:right w:val="none" w:sz="0" w:space="0" w:color="auto"/>
          </w:divBdr>
        </w:div>
        <w:div w:id="1051268352">
          <w:marLeft w:val="0"/>
          <w:marRight w:val="0"/>
          <w:marTop w:val="0"/>
          <w:marBottom w:val="0"/>
          <w:divBdr>
            <w:top w:val="none" w:sz="0" w:space="0" w:color="auto"/>
            <w:left w:val="none" w:sz="0" w:space="0" w:color="auto"/>
            <w:bottom w:val="none" w:sz="0" w:space="0" w:color="auto"/>
            <w:right w:val="none" w:sz="0" w:space="0" w:color="auto"/>
          </w:divBdr>
        </w:div>
        <w:div w:id="1093206254">
          <w:marLeft w:val="0"/>
          <w:marRight w:val="0"/>
          <w:marTop w:val="0"/>
          <w:marBottom w:val="0"/>
          <w:divBdr>
            <w:top w:val="none" w:sz="0" w:space="0" w:color="auto"/>
            <w:left w:val="none" w:sz="0" w:space="0" w:color="auto"/>
            <w:bottom w:val="none" w:sz="0" w:space="0" w:color="auto"/>
            <w:right w:val="none" w:sz="0" w:space="0" w:color="auto"/>
          </w:divBdr>
        </w:div>
        <w:div w:id="533621389">
          <w:marLeft w:val="0"/>
          <w:marRight w:val="0"/>
          <w:marTop w:val="0"/>
          <w:marBottom w:val="0"/>
          <w:divBdr>
            <w:top w:val="none" w:sz="0" w:space="0" w:color="auto"/>
            <w:left w:val="none" w:sz="0" w:space="0" w:color="auto"/>
            <w:bottom w:val="none" w:sz="0" w:space="0" w:color="auto"/>
            <w:right w:val="none" w:sz="0" w:space="0" w:color="auto"/>
          </w:divBdr>
        </w:div>
        <w:div w:id="1022978704">
          <w:marLeft w:val="0"/>
          <w:marRight w:val="0"/>
          <w:marTop w:val="0"/>
          <w:marBottom w:val="0"/>
          <w:divBdr>
            <w:top w:val="none" w:sz="0" w:space="0" w:color="auto"/>
            <w:left w:val="none" w:sz="0" w:space="0" w:color="auto"/>
            <w:bottom w:val="none" w:sz="0" w:space="0" w:color="auto"/>
            <w:right w:val="none" w:sz="0" w:space="0" w:color="auto"/>
          </w:divBdr>
        </w:div>
        <w:div w:id="1156143689">
          <w:marLeft w:val="0"/>
          <w:marRight w:val="0"/>
          <w:marTop w:val="0"/>
          <w:marBottom w:val="0"/>
          <w:divBdr>
            <w:top w:val="none" w:sz="0" w:space="0" w:color="auto"/>
            <w:left w:val="none" w:sz="0" w:space="0" w:color="auto"/>
            <w:bottom w:val="none" w:sz="0" w:space="0" w:color="auto"/>
            <w:right w:val="none" w:sz="0" w:space="0" w:color="auto"/>
          </w:divBdr>
        </w:div>
        <w:div w:id="1204170922">
          <w:marLeft w:val="0"/>
          <w:marRight w:val="0"/>
          <w:marTop w:val="0"/>
          <w:marBottom w:val="0"/>
          <w:divBdr>
            <w:top w:val="none" w:sz="0" w:space="0" w:color="auto"/>
            <w:left w:val="none" w:sz="0" w:space="0" w:color="auto"/>
            <w:bottom w:val="none" w:sz="0" w:space="0" w:color="auto"/>
            <w:right w:val="none" w:sz="0" w:space="0" w:color="auto"/>
          </w:divBdr>
        </w:div>
        <w:div w:id="2023823928">
          <w:marLeft w:val="0"/>
          <w:marRight w:val="0"/>
          <w:marTop w:val="0"/>
          <w:marBottom w:val="0"/>
          <w:divBdr>
            <w:top w:val="none" w:sz="0" w:space="0" w:color="auto"/>
            <w:left w:val="none" w:sz="0" w:space="0" w:color="auto"/>
            <w:bottom w:val="none" w:sz="0" w:space="0" w:color="auto"/>
            <w:right w:val="none" w:sz="0" w:space="0" w:color="auto"/>
          </w:divBdr>
        </w:div>
        <w:div w:id="1636179542">
          <w:marLeft w:val="0"/>
          <w:marRight w:val="0"/>
          <w:marTop w:val="0"/>
          <w:marBottom w:val="0"/>
          <w:divBdr>
            <w:top w:val="none" w:sz="0" w:space="0" w:color="auto"/>
            <w:left w:val="none" w:sz="0" w:space="0" w:color="auto"/>
            <w:bottom w:val="none" w:sz="0" w:space="0" w:color="auto"/>
            <w:right w:val="none" w:sz="0" w:space="0" w:color="auto"/>
          </w:divBdr>
        </w:div>
        <w:div w:id="1746955776">
          <w:marLeft w:val="0"/>
          <w:marRight w:val="0"/>
          <w:marTop w:val="0"/>
          <w:marBottom w:val="0"/>
          <w:divBdr>
            <w:top w:val="none" w:sz="0" w:space="0" w:color="auto"/>
            <w:left w:val="none" w:sz="0" w:space="0" w:color="auto"/>
            <w:bottom w:val="none" w:sz="0" w:space="0" w:color="auto"/>
            <w:right w:val="none" w:sz="0" w:space="0" w:color="auto"/>
          </w:divBdr>
        </w:div>
        <w:div w:id="487131728">
          <w:marLeft w:val="0"/>
          <w:marRight w:val="0"/>
          <w:marTop w:val="0"/>
          <w:marBottom w:val="0"/>
          <w:divBdr>
            <w:top w:val="none" w:sz="0" w:space="0" w:color="auto"/>
            <w:left w:val="none" w:sz="0" w:space="0" w:color="auto"/>
            <w:bottom w:val="none" w:sz="0" w:space="0" w:color="auto"/>
            <w:right w:val="none" w:sz="0" w:space="0" w:color="auto"/>
          </w:divBdr>
        </w:div>
      </w:divsChild>
    </w:div>
    <w:div w:id="172189566">
      <w:marLeft w:val="0"/>
      <w:marRight w:val="0"/>
      <w:marTop w:val="120"/>
      <w:marBottom w:val="240"/>
      <w:divBdr>
        <w:top w:val="none" w:sz="0" w:space="0" w:color="auto"/>
        <w:left w:val="none" w:sz="0" w:space="0" w:color="auto"/>
        <w:bottom w:val="none" w:sz="0" w:space="0" w:color="auto"/>
        <w:right w:val="none" w:sz="0" w:space="0" w:color="auto"/>
      </w:divBdr>
    </w:div>
    <w:div w:id="176501679">
      <w:marLeft w:val="0"/>
      <w:marRight w:val="0"/>
      <w:marTop w:val="0"/>
      <w:marBottom w:val="0"/>
      <w:divBdr>
        <w:top w:val="none" w:sz="0" w:space="0" w:color="auto"/>
        <w:left w:val="none" w:sz="0" w:space="0" w:color="auto"/>
        <w:bottom w:val="none" w:sz="0" w:space="0" w:color="auto"/>
        <w:right w:val="none" w:sz="0" w:space="0" w:color="auto"/>
      </w:divBdr>
      <w:divsChild>
        <w:div w:id="2091652595">
          <w:marLeft w:val="0"/>
          <w:marRight w:val="0"/>
          <w:marTop w:val="0"/>
          <w:marBottom w:val="0"/>
          <w:divBdr>
            <w:top w:val="none" w:sz="0" w:space="0" w:color="auto"/>
            <w:left w:val="none" w:sz="0" w:space="0" w:color="auto"/>
            <w:bottom w:val="none" w:sz="0" w:space="0" w:color="auto"/>
            <w:right w:val="none" w:sz="0" w:space="0" w:color="auto"/>
          </w:divBdr>
        </w:div>
      </w:divsChild>
    </w:div>
    <w:div w:id="180751285">
      <w:marLeft w:val="0"/>
      <w:marRight w:val="0"/>
      <w:marTop w:val="0"/>
      <w:marBottom w:val="0"/>
      <w:divBdr>
        <w:top w:val="none" w:sz="0" w:space="0" w:color="auto"/>
        <w:left w:val="none" w:sz="0" w:space="0" w:color="auto"/>
        <w:bottom w:val="none" w:sz="0" w:space="0" w:color="auto"/>
        <w:right w:val="none" w:sz="0" w:space="0" w:color="auto"/>
      </w:divBdr>
    </w:div>
    <w:div w:id="182473166">
      <w:marLeft w:val="0"/>
      <w:marRight w:val="0"/>
      <w:marTop w:val="120"/>
      <w:marBottom w:val="120"/>
      <w:divBdr>
        <w:top w:val="none" w:sz="0" w:space="0" w:color="auto"/>
        <w:left w:val="none" w:sz="0" w:space="0" w:color="auto"/>
        <w:bottom w:val="none" w:sz="0" w:space="0" w:color="auto"/>
        <w:right w:val="none" w:sz="0" w:space="0" w:color="auto"/>
      </w:divBdr>
    </w:div>
    <w:div w:id="183177851">
      <w:marLeft w:val="0"/>
      <w:marRight w:val="0"/>
      <w:marTop w:val="0"/>
      <w:marBottom w:val="0"/>
      <w:divBdr>
        <w:top w:val="none" w:sz="0" w:space="0" w:color="auto"/>
        <w:left w:val="none" w:sz="0" w:space="0" w:color="auto"/>
        <w:bottom w:val="none" w:sz="0" w:space="0" w:color="auto"/>
        <w:right w:val="none" w:sz="0" w:space="0" w:color="auto"/>
      </w:divBdr>
    </w:div>
    <w:div w:id="183249220">
      <w:marLeft w:val="0"/>
      <w:marRight w:val="0"/>
      <w:marTop w:val="0"/>
      <w:marBottom w:val="0"/>
      <w:divBdr>
        <w:top w:val="none" w:sz="0" w:space="0" w:color="auto"/>
        <w:left w:val="none" w:sz="0" w:space="0" w:color="auto"/>
        <w:bottom w:val="none" w:sz="0" w:space="0" w:color="auto"/>
        <w:right w:val="none" w:sz="0" w:space="0" w:color="auto"/>
      </w:divBdr>
      <w:divsChild>
        <w:div w:id="829172813">
          <w:marLeft w:val="0"/>
          <w:marRight w:val="0"/>
          <w:marTop w:val="0"/>
          <w:marBottom w:val="0"/>
          <w:divBdr>
            <w:top w:val="none" w:sz="0" w:space="0" w:color="auto"/>
            <w:left w:val="none" w:sz="0" w:space="0" w:color="auto"/>
            <w:bottom w:val="none" w:sz="0" w:space="0" w:color="auto"/>
            <w:right w:val="none" w:sz="0" w:space="0" w:color="auto"/>
          </w:divBdr>
        </w:div>
      </w:divsChild>
    </w:div>
    <w:div w:id="185751282">
      <w:marLeft w:val="0"/>
      <w:marRight w:val="0"/>
      <w:marTop w:val="0"/>
      <w:marBottom w:val="120"/>
      <w:divBdr>
        <w:top w:val="none" w:sz="0" w:space="0" w:color="auto"/>
        <w:left w:val="none" w:sz="0" w:space="0" w:color="auto"/>
        <w:bottom w:val="none" w:sz="0" w:space="0" w:color="auto"/>
        <w:right w:val="none" w:sz="0" w:space="0" w:color="auto"/>
      </w:divBdr>
    </w:div>
    <w:div w:id="187062608">
      <w:marLeft w:val="0"/>
      <w:marRight w:val="0"/>
      <w:marTop w:val="0"/>
      <w:marBottom w:val="240"/>
      <w:divBdr>
        <w:top w:val="none" w:sz="0" w:space="0" w:color="auto"/>
        <w:left w:val="none" w:sz="0" w:space="0" w:color="auto"/>
        <w:bottom w:val="none" w:sz="0" w:space="0" w:color="auto"/>
        <w:right w:val="none" w:sz="0" w:space="0" w:color="auto"/>
      </w:divBdr>
    </w:div>
    <w:div w:id="189690115">
      <w:marLeft w:val="0"/>
      <w:marRight w:val="0"/>
      <w:marTop w:val="0"/>
      <w:marBottom w:val="0"/>
      <w:divBdr>
        <w:top w:val="none" w:sz="0" w:space="0" w:color="auto"/>
        <w:left w:val="none" w:sz="0" w:space="0" w:color="auto"/>
        <w:bottom w:val="none" w:sz="0" w:space="0" w:color="auto"/>
        <w:right w:val="none" w:sz="0" w:space="0" w:color="auto"/>
      </w:divBdr>
      <w:divsChild>
        <w:div w:id="492643014">
          <w:marLeft w:val="0"/>
          <w:marRight w:val="0"/>
          <w:marTop w:val="0"/>
          <w:marBottom w:val="0"/>
          <w:divBdr>
            <w:top w:val="none" w:sz="0" w:space="0" w:color="auto"/>
            <w:left w:val="none" w:sz="0" w:space="0" w:color="auto"/>
            <w:bottom w:val="none" w:sz="0" w:space="0" w:color="auto"/>
            <w:right w:val="none" w:sz="0" w:space="0" w:color="auto"/>
          </w:divBdr>
        </w:div>
      </w:divsChild>
    </w:div>
    <w:div w:id="191116708">
      <w:marLeft w:val="0"/>
      <w:marRight w:val="0"/>
      <w:marTop w:val="0"/>
      <w:marBottom w:val="180"/>
      <w:divBdr>
        <w:top w:val="none" w:sz="0" w:space="0" w:color="auto"/>
        <w:left w:val="none" w:sz="0" w:space="0" w:color="auto"/>
        <w:bottom w:val="none" w:sz="0" w:space="0" w:color="auto"/>
        <w:right w:val="none" w:sz="0" w:space="0" w:color="auto"/>
      </w:divBdr>
    </w:div>
    <w:div w:id="192159227">
      <w:marLeft w:val="0"/>
      <w:marRight w:val="0"/>
      <w:marTop w:val="0"/>
      <w:marBottom w:val="180"/>
      <w:divBdr>
        <w:top w:val="none" w:sz="0" w:space="0" w:color="auto"/>
        <w:left w:val="none" w:sz="0" w:space="0" w:color="auto"/>
        <w:bottom w:val="none" w:sz="0" w:space="0" w:color="auto"/>
        <w:right w:val="none" w:sz="0" w:space="0" w:color="auto"/>
      </w:divBdr>
    </w:div>
    <w:div w:id="192308626">
      <w:marLeft w:val="0"/>
      <w:marRight w:val="0"/>
      <w:marTop w:val="0"/>
      <w:marBottom w:val="0"/>
      <w:divBdr>
        <w:top w:val="none" w:sz="0" w:space="0" w:color="auto"/>
        <w:left w:val="none" w:sz="0" w:space="0" w:color="auto"/>
        <w:bottom w:val="none" w:sz="0" w:space="0" w:color="auto"/>
        <w:right w:val="none" w:sz="0" w:space="0" w:color="auto"/>
      </w:divBdr>
      <w:divsChild>
        <w:div w:id="1705788888">
          <w:marLeft w:val="0"/>
          <w:marRight w:val="0"/>
          <w:marTop w:val="0"/>
          <w:marBottom w:val="0"/>
          <w:divBdr>
            <w:top w:val="none" w:sz="0" w:space="0" w:color="auto"/>
            <w:left w:val="none" w:sz="0" w:space="0" w:color="auto"/>
            <w:bottom w:val="none" w:sz="0" w:space="0" w:color="auto"/>
            <w:right w:val="none" w:sz="0" w:space="0" w:color="auto"/>
          </w:divBdr>
        </w:div>
      </w:divsChild>
    </w:div>
    <w:div w:id="194781149">
      <w:marLeft w:val="0"/>
      <w:marRight w:val="0"/>
      <w:marTop w:val="0"/>
      <w:marBottom w:val="180"/>
      <w:divBdr>
        <w:top w:val="none" w:sz="0" w:space="0" w:color="auto"/>
        <w:left w:val="none" w:sz="0" w:space="0" w:color="auto"/>
        <w:bottom w:val="none" w:sz="0" w:space="0" w:color="auto"/>
        <w:right w:val="none" w:sz="0" w:space="0" w:color="auto"/>
      </w:divBdr>
    </w:div>
    <w:div w:id="194852885">
      <w:marLeft w:val="0"/>
      <w:marRight w:val="0"/>
      <w:marTop w:val="0"/>
      <w:marBottom w:val="0"/>
      <w:divBdr>
        <w:top w:val="none" w:sz="0" w:space="0" w:color="auto"/>
        <w:left w:val="none" w:sz="0" w:space="0" w:color="auto"/>
        <w:bottom w:val="none" w:sz="0" w:space="0" w:color="auto"/>
        <w:right w:val="none" w:sz="0" w:space="0" w:color="auto"/>
      </w:divBdr>
      <w:divsChild>
        <w:div w:id="688288556">
          <w:marLeft w:val="0"/>
          <w:marRight w:val="0"/>
          <w:marTop w:val="0"/>
          <w:marBottom w:val="0"/>
          <w:divBdr>
            <w:top w:val="none" w:sz="0" w:space="0" w:color="auto"/>
            <w:left w:val="none" w:sz="0" w:space="0" w:color="auto"/>
            <w:bottom w:val="none" w:sz="0" w:space="0" w:color="auto"/>
            <w:right w:val="none" w:sz="0" w:space="0" w:color="auto"/>
          </w:divBdr>
        </w:div>
      </w:divsChild>
    </w:div>
    <w:div w:id="194924893">
      <w:marLeft w:val="0"/>
      <w:marRight w:val="0"/>
      <w:marTop w:val="120"/>
      <w:marBottom w:val="120"/>
      <w:divBdr>
        <w:top w:val="none" w:sz="0" w:space="0" w:color="auto"/>
        <w:left w:val="none" w:sz="0" w:space="0" w:color="auto"/>
        <w:bottom w:val="none" w:sz="0" w:space="0" w:color="auto"/>
        <w:right w:val="none" w:sz="0" w:space="0" w:color="auto"/>
      </w:divBdr>
    </w:div>
    <w:div w:id="198398003">
      <w:marLeft w:val="0"/>
      <w:marRight w:val="0"/>
      <w:marTop w:val="180"/>
      <w:marBottom w:val="180"/>
      <w:divBdr>
        <w:top w:val="none" w:sz="0" w:space="0" w:color="auto"/>
        <w:left w:val="none" w:sz="0" w:space="0" w:color="auto"/>
        <w:bottom w:val="none" w:sz="0" w:space="0" w:color="auto"/>
        <w:right w:val="none" w:sz="0" w:space="0" w:color="auto"/>
      </w:divBdr>
    </w:div>
    <w:div w:id="198713525">
      <w:marLeft w:val="0"/>
      <w:marRight w:val="0"/>
      <w:marTop w:val="0"/>
      <w:marBottom w:val="180"/>
      <w:divBdr>
        <w:top w:val="none" w:sz="0" w:space="0" w:color="auto"/>
        <w:left w:val="none" w:sz="0" w:space="0" w:color="auto"/>
        <w:bottom w:val="none" w:sz="0" w:space="0" w:color="auto"/>
        <w:right w:val="none" w:sz="0" w:space="0" w:color="auto"/>
      </w:divBdr>
    </w:div>
    <w:div w:id="199392820">
      <w:marLeft w:val="0"/>
      <w:marRight w:val="0"/>
      <w:marTop w:val="120"/>
      <w:marBottom w:val="120"/>
      <w:divBdr>
        <w:top w:val="none" w:sz="0" w:space="0" w:color="auto"/>
        <w:left w:val="none" w:sz="0" w:space="0" w:color="auto"/>
        <w:bottom w:val="none" w:sz="0" w:space="0" w:color="auto"/>
        <w:right w:val="none" w:sz="0" w:space="0" w:color="auto"/>
      </w:divBdr>
    </w:div>
    <w:div w:id="199707777">
      <w:marLeft w:val="0"/>
      <w:marRight w:val="0"/>
      <w:marTop w:val="0"/>
      <w:marBottom w:val="180"/>
      <w:divBdr>
        <w:top w:val="none" w:sz="0" w:space="0" w:color="auto"/>
        <w:left w:val="none" w:sz="0" w:space="0" w:color="auto"/>
        <w:bottom w:val="none" w:sz="0" w:space="0" w:color="auto"/>
        <w:right w:val="none" w:sz="0" w:space="0" w:color="auto"/>
      </w:divBdr>
    </w:div>
    <w:div w:id="201554440">
      <w:marLeft w:val="0"/>
      <w:marRight w:val="0"/>
      <w:marTop w:val="0"/>
      <w:marBottom w:val="180"/>
      <w:divBdr>
        <w:top w:val="none" w:sz="0" w:space="0" w:color="auto"/>
        <w:left w:val="none" w:sz="0" w:space="0" w:color="auto"/>
        <w:bottom w:val="none" w:sz="0" w:space="0" w:color="auto"/>
        <w:right w:val="none" w:sz="0" w:space="0" w:color="auto"/>
      </w:divBdr>
    </w:div>
    <w:div w:id="201602420">
      <w:marLeft w:val="0"/>
      <w:marRight w:val="0"/>
      <w:marTop w:val="0"/>
      <w:marBottom w:val="0"/>
      <w:divBdr>
        <w:top w:val="none" w:sz="0" w:space="0" w:color="auto"/>
        <w:left w:val="none" w:sz="0" w:space="0" w:color="auto"/>
        <w:bottom w:val="none" w:sz="0" w:space="0" w:color="auto"/>
        <w:right w:val="none" w:sz="0" w:space="0" w:color="auto"/>
      </w:divBdr>
    </w:div>
    <w:div w:id="202407695">
      <w:marLeft w:val="0"/>
      <w:marRight w:val="0"/>
      <w:marTop w:val="0"/>
      <w:marBottom w:val="180"/>
      <w:divBdr>
        <w:top w:val="none" w:sz="0" w:space="0" w:color="auto"/>
        <w:left w:val="none" w:sz="0" w:space="0" w:color="auto"/>
        <w:bottom w:val="none" w:sz="0" w:space="0" w:color="auto"/>
        <w:right w:val="none" w:sz="0" w:space="0" w:color="auto"/>
      </w:divBdr>
    </w:div>
    <w:div w:id="203908517">
      <w:marLeft w:val="0"/>
      <w:marRight w:val="0"/>
      <w:marTop w:val="0"/>
      <w:marBottom w:val="240"/>
      <w:divBdr>
        <w:top w:val="none" w:sz="0" w:space="0" w:color="auto"/>
        <w:left w:val="none" w:sz="0" w:space="0" w:color="auto"/>
        <w:bottom w:val="none" w:sz="0" w:space="0" w:color="auto"/>
        <w:right w:val="none" w:sz="0" w:space="0" w:color="auto"/>
      </w:divBdr>
    </w:div>
    <w:div w:id="204608398">
      <w:marLeft w:val="0"/>
      <w:marRight w:val="0"/>
      <w:marTop w:val="0"/>
      <w:marBottom w:val="0"/>
      <w:divBdr>
        <w:top w:val="none" w:sz="0" w:space="0" w:color="auto"/>
        <w:left w:val="none" w:sz="0" w:space="0" w:color="auto"/>
        <w:bottom w:val="none" w:sz="0" w:space="0" w:color="auto"/>
        <w:right w:val="none" w:sz="0" w:space="0" w:color="auto"/>
      </w:divBdr>
    </w:div>
    <w:div w:id="205532710">
      <w:marLeft w:val="0"/>
      <w:marRight w:val="0"/>
      <w:marTop w:val="0"/>
      <w:marBottom w:val="0"/>
      <w:divBdr>
        <w:top w:val="none" w:sz="0" w:space="0" w:color="auto"/>
        <w:left w:val="none" w:sz="0" w:space="0" w:color="auto"/>
        <w:bottom w:val="none" w:sz="0" w:space="0" w:color="auto"/>
        <w:right w:val="none" w:sz="0" w:space="0" w:color="auto"/>
      </w:divBdr>
      <w:divsChild>
        <w:div w:id="1406415802">
          <w:marLeft w:val="0"/>
          <w:marRight w:val="0"/>
          <w:marTop w:val="0"/>
          <w:marBottom w:val="0"/>
          <w:divBdr>
            <w:top w:val="none" w:sz="0" w:space="0" w:color="auto"/>
            <w:left w:val="none" w:sz="0" w:space="0" w:color="auto"/>
            <w:bottom w:val="none" w:sz="0" w:space="0" w:color="auto"/>
            <w:right w:val="none" w:sz="0" w:space="0" w:color="auto"/>
          </w:divBdr>
          <w:divsChild>
            <w:div w:id="1520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5370">
      <w:marLeft w:val="0"/>
      <w:marRight w:val="0"/>
      <w:marTop w:val="0"/>
      <w:marBottom w:val="180"/>
      <w:divBdr>
        <w:top w:val="none" w:sz="0" w:space="0" w:color="auto"/>
        <w:left w:val="none" w:sz="0" w:space="0" w:color="auto"/>
        <w:bottom w:val="none" w:sz="0" w:space="0" w:color="auto"/>
        <w:right w:val="none" w:sz="0" w:space="0" w:color="auto"/>
      </w:divBdr>
    </w:div>
    <w:div w:id="207035027">
      <w:marLeft w:val="0"/>
      <w:marRight w:val="0"/>
      <w:marTop w:val="0"/>
      <w:marBottom w:val="180"/>
      <w:divBdr>
        <w:top w:val="none" w:sz="0" w:space="0" w:color="auto"/>
        <w:left w:val="none" w:sz="0" w:space="0" w:color="auto"/>
        <w:bottom w:val="none" w:sz="0" w:space="0" w:color="auto"/>
        <w:right w:val="none" w:sz="0" w:space="0" w:color="auto"/>
      </w:divBdr>
    </w:div>
    <w:div w:id="207451460">
      <w:marLeft w:val="0"/>
      <w:marRight w:val="0"/>
      <w:marTop w:val="0"/>
      <w:marBottom w:val="0"/>
      <w:divBdr>
        <w:top w:val="none" w:sz="0" w:space="0" w:color="auto"/>
        <w:left w:val="none" w:sz="0" w:space="0" w:color="auto"/>
        <w:bottom w:val="none" w:sz="0" w:space="0" w:color="auto"/>
        <w:right w:val="none" w:sz="0" w:space="0" w:color="auto"/>
      </w:divBdr>
    </w:div>
    <w:div w:id="208954581">
      <w:marLeft w:val="0"/>
      <w:marRight w:val="0"/>
      <w:marTop w:val="0"/>
      <w:marBottom w:val="180"/>
      <w:divBdr>
        <w:top w:val="none" w:sz="0" w:space="0" w:color="auto"/>
        <w:left w:val="none" w:sz="0" w:space="0" w:color="auto"/>
        <w:bottom w:val="none" w:sz="0" w:space="0" w:color="auto"/>
        <w:right w:val="none" w:sz="0" w:space="0" w:color="auto"/>
      </w:divBdr>
    </w:div>
    <w:div w:id="211891601">
      <w:marLeft w:val="0"/>
      <w:marRight w:val="0"/>
      <w:marTop w:val="0"/>
      <w:marBottom w:val="240"/>
      <w:divBdr>
        <w:top w:val="none" w:sz="0" w:space="0" w:color="auto"/>
        <w:left w:val="none" w:sz="0" w:space="0" w:color="auto"/>
        <w:bottom w:val="none" w:sz="0" w:space="0" w:color="auto"/>
        <w:right w:val="none" w:sz="0" w:space="0" w:color="auto"/>
      </w:divBdr>
    </w:div>
    <w:div w:id="214778169">
      <w:marLeft w:val="0"/>
      <w:marRight w:val="0"/>
      <w:marTop w:val="0"/>
      <w:marBottom w:val="180"/>
      <w:divBdr>
        <w:top w:val="none" w:sz="0" w:space="0" w:color="auto"/>
        <w:left w:val="none" w:sz="0" w:space="0" w:color="auto"/>
        <w:bottom w:val="none" w:sz="0" w:space="0" w:color="auto"/>
        <w:right w:val="none" w:sz="0" w:space="0" w:color="auto"/>
      </w:divBdr>
    </w:div>
    <w:div w:id="218783429">
      <w:marLeft w:val="0"/>
      <w:marRight w:val="0"/>
      <w:marTop w:val="0"/>
      <w:marBottom w:val="240"/>
      <w:divBdr>
        <w:top w:val="none" w:sz="0" w:space="0" w:color="auto"/>
        <w:left w:val="none" w:sz="0" w:space="0" w:color="auto"/>
        <w:bottom w:val="none" w:sz="0" w:space="0" w:color="auto"/>
        <w:right w:val="none" w:sz="0" w:space="0" w:color="auto"/>
      </w:divBdr>
    </w:div>
    <w:div w:id="219560607">
      <w:marLeft w:val="0"/>
      <w:marRight w:val="0"/>
      <w:marTop w:val="0"/>
      <w:marBottom w:val="240"/>
      <w:divBdr>
        <w:top w:val="none" w:sz="0" w:space="0" w:color="auto"/>
        <w:left w:val="none" w:sz="0" w:space="0" w:color="auto"/>
        <w:bottom w:val="none" w:sz="0" w:space="0" w:color="auto"/>
        <w:right w:val="none" w:sz="0" w:space="0" w:color="auto"/>
      </w:divBdr>
      <w:divsChild>
        <w:div w:id="1419595639">
          <w:marLeft w:val="0"/>
          <w:marRight w:val="0"/>
          <w:marTop w:val="0"/>
          <w:marBottom w:val="0"/>
          <w:divBdr>
            <w:top w:val="none" w:sz="0" w:space="0" w:color="auto"/>
            <w:left w:val="none" w:sz="0" w:space="0" w:color="auto"/>
            <w:bottom w:val="none" w:sz="0" w:space="0" w:color="auto"/>
            <w:right w:val="none" w:sz="0" w:space="0" w:color="auto"/>
          </w:divBdr>
        </w:div>
        <w:div w:id="680854888">
          <w:marLeft w:val="0"/>
          <w:marRight w:val="0"/>
          <w:marTop w:val="0"/>
          <w:marBottom w:val="0"/>
          <w:divBdr>
            <w:top w:val="none" w:sz="0" w:space="0" w:color="auto"/>
            <w:left w:val="none" w:sz="0" w:space="0" w:color="auto"/>
            <w:bottom w:val="none" w:sz="0" w:space="0" w:color="auto"/>
            <w:right w:val="none" w:sz="0" w:space="0" w:color="auto"/>
          </w:divBdr>
        </w:div>
      </w:divsChild>
    </w:div>
    <w:div w:id="220676435">
      <w:marLeft w:val="0"/>
      <w:marRight w:val="0"/>
      <w:marTop w:val="0"/>
      <w:marBottom w:val="180"/>
      <w:divBdr>
        <w:top w:val="none" w:sz="0" w:space="0" w:color="auto"/>
        <w:left w:val="none" w:sz="0" w:space="0" w:color="auto"/>
        <w:bottom w:val="none" w:sz="0" w:space="0" w:color="auto"/>
        <w:right w:val="none" w:sz="0" w:space="0" w:color="auto"/>
      </w:divBdr>
    </w:div>
    <w:div w:id="222907014">
      <w:marLeft w:val="0"/>
      <w:marRight w:val="0"/>
      <w:marTop w:val="0"/>
      <w:marBottom w:val="180"/>
      <w:divBdr>
        <w:top w:val="none" w:sz="0" w:space="0" w:color="auto"/>
        <w:left w:val="none" w:sz="0" w:space="0" w:color="auto"/>
        <w:bottom w:val="none" w:sz="0" w:space="0" w:color="auto"/>
        <w:right w:val="none" w:sz="0" w:space="0" w:color="auto"/>
      </w:divBdr>
    </w:div>
    <w:div w:id="224685892">
      <w:marLeft w:val="0"/>
      <w:marRight w:val="0"/>
      <w:marTop w:val="100"/>
      <w:marBottom w:val="180"/>
      <w:divBdr>
        <w:top w:val="none" w:sz="0" w:space="0" w:color="auto"/>
        <w:left w:val="none" w:sz="0" w:space="0" w:color="auto"/>
        <w:bottom w:val="none" w:sz="0" w:space="0" w:color="auto"/>
        <w:right w:val="none" w:sz="0" w:space="0" w:color="auto"/>
      </w:divBdr>
    </w:div>
    <w:div w:id="225191061">
      <w:marLeft w:val="0"/>
      <w:marRight w:val="0"/>
      <w:marTop w:val="180"/>
      <w:marBottom w:val="180"/>
      <w:divBdr>
        <w:top w:val="none" w:sz="0" w:space="0" w:color="auto"/>
        <w:left w:val="none" w:sz="0" w:space="0" w:color="auto"/>
        <w:bottom w:val="none" w:sz="0" w:space="0" w:color="auto"/>
        <w:right w:val="none" w:sz="0" w:space="0" w:color="auto"/>
      </w:divBdr>
    </w:div>
    <w:div w:id="225263750">
      <w:marLeft w:val="0"/>
      <w:marRight w:val="0"/>
      <w:marTop w:val="0"/>
      <w:marBottom w:val="180"/>
      <w:divBdr>
        <w:top w:val="none" w:sz="0" w:space="0" w:color="auto"/>
        <w:left w:val="none" w:sz="0" w:space="0" w:color="auto"/>
        <w:bottom w:val="none" w:sz="0" w:space="0" w:color="auto"/>
        <w:right w:val="none" w:sz="0" w:space="0" w:color="auto"/>
      </w:divBdr>
    </w:div>
    <w:div w:id="226963932">
      <w:marLeft w:val="0"/>
      <w:marRight w:val="0"/>
      <w:marTop w:val="180"/>
      <w:marBottom w:val="180"/>
      <w:divBdr>
        <w:top w:val="none" w:sz="0" w:space="0" w:color="auto"/>
        <w:left w:val="none" w:sz="0" w:space="0" w:color="auto"/>
        <w:bottom w:val="none" w:sz="0" w:space="0" w:color="auto"/>
        <w:right w:val="none" w:sz="0" w:space="0" w:color="auto"/>
      </w:divBdr>
    </w:div>
    <w:div w:id="227499701">
      <w:marLeft w:val="0"/>
      <w:marRight w:val="0"/>
      <w:marTop w:val="60"/>
      <w:marBottom w:val="0"/>
      <w:divBdr>
        <w:top w:val="none" w:sz="0" w:space="0" w:color="auto"/>
        <w:left w:val="none" w:sz="0" w:space="0" w:color="auto"/>
        <w:bottom w:val="none" w:sz="0" w:space="0" w:color="auto"/>
        <w:right w:val="none" w:sz="0" w:space="0" w:color="auto"/>
      </w:divBdr>
    </w:div>
    <w:div w:id="229120546">
      <w:marLeft w:val="0"/>
      <w:marRight w:val="0"/>
      <w:marTop w:val="0"/>
      <w:marBottom w:val="180"/>
      <w:divBdr>
        <w:top w:val="none" w:sz="0" w:space="0" w:color="auto"/>
        <w:left w:val="none" w:sz="0" w:space="0" w:color="auto"/>
        <w:bottom w:val="none" w:sz="0" w:space="0" w:color="auto"/>
        <w:right w:val="none" w:sz="0" w:space="0" w:color="auto"/>
      </w:divBdr>
    </w:div>
    <w:div w:id="229123767">
      <w:marLeft w:val="0"/>
      <w:marRight w:val="0"/>
      <w:marTop w:val="120"/>
      <w:marBottom w:val="120"/>
      <w:divBdr>
        <w:top w:val="none" w:sz="0" w:space="0" w:color="auto"/>
        <w:left w:val="none" w:sz="0" w:space="0" w:color="auto"/>
        <w:bottom w:val="none" w:sz="0" w:space="0" w:color="auto"/>
        <w:right w:val="none" w:sz="0" w:space="0" w:color="auto"/>
      </w:divBdr>
    </w:div>
    <w:div w:id="229536833">
      <w:marLeft w:val="0"/>
      <w:marRight w:val="0"/>
      <w:marTop w:val="120"/>
      <w:marBottom w:val="120"/>
      <w:divBdr>
        <w:top w:val="none" w:sz="0" w:space="0" w:color="auto"/>
        <w:left w:val="none" w:sz="0" w:space="0" w:color="auto"/>
        <w:bottom w:val="none" w:sz="0" w:space="0" w:color="auto"/>
        <w:right w:val="none" w:sz="0" w:space="0" w:color="auto"/>
      </w:divBdr>
    </w:div>
    <w:div w:id="230503930">
      <w:marLeft w:val="0"/>
      <w:marRight w:val="0"/>
      <w:marTop w:val="0"/>
      <w:marBottom w:val="240"/>
      <w:divBdr>
        <w:top w:val="none" w:sz="0" w:space="0" w:color="auto"/>
        <w:left w:val="none" w:sz="0" w:space="0" w:color="auto"/>
        <w:bottom w:val="none" w:sz="0" w:space="0" w:color="auto"/>
        <w:right w:val="none" w:sz="0" w:space="0" w:color="auto"/>
      </w:divBdr>
    </w:div>
    <w:div w:id="232396265">
      <w:marLeft w:val="0"/>
      <w:marRight w:val="0"/>
      <w:marTop w:val="0"/>
      <w:marBottom w:val="0"/>
      <w:divBdr>
        <w:top w:val="none" w:sz="0" w:space="0" w:color="auto"/>
        <w:left w:val="none" w:sz="0" w:space="0" w:color="auto"/>
        <w:bottom w:val="none" w:sz="0" w:space="0" w:color="auto"/>
        <w:right w:val="none" w:sz="0" w:space="0" w:color="auto"/>
      </w:divBdr>
      <w:divsChild>
        <w:div w:id="617446773">
          <w:marLeft w:val="0"/>
          <w:marRight w:val="0"/>
          <w:marTop w:val="0"/>
          <w:marBottom w:val="0"/>
          <w:divBdr>
            <w:top w:val="none" w:sz="0" w:space="0" w:color="auto"/>
            <w:left w:val="none" w:sz="0" w:space="0" w:color="auto"/>
            <w:bottom w:val="none" w:sz="0" w:space="0" w:color="auto"/>
            <w:right w:val="none" w:sz="0" w:space="0" w:color="auto"/>
          </w:divBdr>
        </w:div>
      </w:divsChild>
    </w:div>
    <w:div w:id="235867337">
      <w:marLeft w:val="0"/>
      <w:marRight w:val="0"/>
      <w:marTop w:val="200"/>
      <w:marBottom w:val="240"/>
      <w:divBdr>
        <w:top w:val="none" w:sz="0" w:space="0" w:color="auto"/>
        <w:left w:val="none" w:sz="0" w:space="0" w:color="auto"/>
        <w:bottom w:val="none" w:sz="0" w:space="0" w:color="auto"/>
        <w:right w:val="none" w:sz="0" w:space="0" w:color="auto"/>
      </w:divBdr>
    </w:div>
    <w:div w:id="236594159">
      <w:marLeft w:val="0"/>
      <w:marRight w:val="0"/>
      <w:marTop w:val="0"/>
      <w:marBottom w:val="240"/>
      <w:divBdr>
        <w:top w:val="none" w:sz="0" w:space="0" w:color="auto"/>
        <w:left w:val="none" w:sz="0" w:space="0" w:color="auto"/>
        <w:bottom w:val="none" w:sz="0" w:space="0" w:color="auto"/>
        <w:right w:val="none" w:sz="0" w:space="0" w:color="auto"/>
      </w:divBdr>
    </w:div>
    <w:div w:id="238685095">
      <w:marLeft w:val="0"/>
      <w:marRight w:val="0"/>
      <w:marTop w:val="180"/>
      <w:marBottom w:val="180"/>
      <w:divBdr>
        <w:top w:val="none" w:sz="0" w:space="0" w:color="auto"/>
        <w:left w:val="none" w:sz="0" w:space="0" w:color="auto"/>
        <w:bottom w:val="none" w:sz="0" w:space="0" w:color="auto"/>
        <w:right w:val="none" w:sz="0" w:space="0" w:color="auto"/>
      </w:divBdr>
    </w:div>
    <w:div w:id="240139313">
      <w:marLeft w:val="0"/>
      <w:marRight w:val="0"/>
      <w:marTop w:val="0"/>
      <w:marBottom w:val="240"/>
      <w:divBdr>
        <w:top w:val="none" w:sz="0" w:space="0" w:color="auto"/>
        <w:left w:val="none" w:sz="0" w:space="0" w:color="auto"/>
        <w:bottom w:val="none" w:sz="0" w:space="0" w:color="auto"/>
        <w:right w:val="none" w:sz="0" w:space="0" w:color="auto"/>
      </w:divBdr>
    </w:div>
    <w:div w:id="241574740">
      <w:marLeft w:val="0"/>
      <w:marRight w:val="0"/>
      <w:marTop w:val="0"/>
      <w:marBottom w:val="240"/>
      <w:divBdr>
        <w:top w:val="none" w:sz="0" w:space="0" w:color="auto"/>
        <w:left w:val="none" w:sz="0" w:space="0" w:color="auto"/>
        <w:bottom w:val="none" w:sz="0" w:space="0" w:color="auto"/>
        <w:right w:val="none" w:sz="0" w:space="0" w:color="auto"/>
      </w:divBdr>
    </w:div>
    <w:div w:id="244071753">
      <w:marLeft w:val="0"/>
      <w:marRight w:val="0"/>
      <w:marTop w:val="100"/>
      <w:marBottom w:val="240"/>
      <w:divBdr>
        <w:top w:val="none" w:sz="0" w:space="0" w:color="auto"/>
        <w:left w:val="none" w:sz="0" w:space="0" w:color="auto"/>
        <w:bottom w:val="none" w:sz="0" w:space="0" w:color="auto"/>
        <w:right w:val="none" w:sz="0" w:space="0" w:color="auto"/>
      </w:divBdr>
    </w:div>
    <w:div w:id="244802956">
      <w:marLeft w:val="0"/>
      <w:marRight w:val="0"/>
      <w:marTop w:val="100"/>
      <w:marBottom w:val="0"/>
      <w:divBdr>
        <w:top w:val="none" w:sz="0" w:space="0" w:color="auto"/>
        <w:left w:val="none" w:sz="0" w:space="0" w:color="auto"/>
        <w:bottom w:val="none" w:sz="0" w:space="0" w:color="auto"/>
        <w:right w:val="none" w:sz="0" w:space="0" w:color="auto"/>
      </w:divBdr>
    </w:div>
    <w:div w:id="245843025">
      <w:marLeft w:val="0"/>
      <w:marRight w:val="0"/>
      <w:marTop w:val="0"/>
      <w:marBottom w:val="180"/>
      <w:divBdr>
        <w:top w:val="none" w:sz="0" w:space="0" w:color="auto"/>
        <w:left w:val="none" w:sz="0" w:space="0" w:color="auto"/>
        <w:bottom w:val="none" w:sz="0" w:space="0" w:color="auto"/>
        <w:right w:val="none" w:sz="0" w:space="0" w:color="auto"/>
      </w:divBdr>
    </w:div>
    <w:div w:id="246623812">
      <w:marLeft w:val="0"/>
      <w:marRight w:val="0"/>
      <w:marTop w:val="0"/>
      <w:marBottom w:val="240"/>
      <w:divBdr>
        <w:top w:val="none" w:sz="0" w:space="0" w:color="auto"/>
        <w:left w:val="none" w:sz="0" w:space="0" w:color="auto"/>
        <w:bottom w:val="none" w:sz="0" w:space="0" w:color="auto"/>
        <w:right w:val="none" w:sz="0" w:space="0" w:color="auto"/>
      </w:divBdr>
    </w:div>
    <w:div w:id="248734808">
      <w:marLeft w:val="0"/>
      <w:marRight w:val="0"/>
      <w:marTop w:val="0"/>
      <w:marBottom w:val="240"/>
      <w:divBdr>
        <w:top w:val="none" w:sz="0" w:space="0" w:color="auto"/>
        <w:left w:val="none" w:sz="0" w:space="0" w:color="auto"/>
        <w:bottom w:val="none" w:sz="0" w:space="0" w:color="auto"/>
        <w:right w:val="none" w:sz="0" w:space="0" w:color="auto"/>
      </w:divBdr>
    </w:div>
    <w:div w:id="248973011">
      <w:marLeft w:val="0"/>
      <w:marRight w:val="0"/>
      <w:marTop w:val="0"/>
      <w:marBottom w:val="0"/>
      <w:divBdr>
        <w:top w:val="none" w:sz="0" w:space="0" w:color="auto"/>
        <w:left w:val="none" w:sz="0" w:space="0" w:color="auto"/>
        <w:bottom w:val="none" w:sz="0" w:space="0" w:color="auto"/>
        <w:right w:val="none" w:sz="0" w:space="0" w:color="auto"/>
      </w:divBdr>
      <w:divsChild>
        <w:div w:id="1162744623">
          <w:marLeft w:val="0"/>
          <w:marRight w:val="0"/>
          <w:marTop w:val="0"/>
          <w:marBottom w:val="0"/>
          <w:divBdr>
            <w:top w:val="none" w:sz="0" w:space="0" w:color="auto"/>
            <w:left w:val="none" w:sz="0" w:space="0" w:color="auto"/>
            <w:bottom w:val="none" w:sz="0" w:space="0" w:color="auto"/>
            <w:right w:val="none" w:sz="0" w:space="0" w:color="auto"/>
          </w:divBdr>
        </w:div>
      </w:divsChild>
    </w:div>
    <w:div w:id="249200056">
      <w:marLeft w:val="0"/>
      <w:marRight w:val="0"/>
      <w:marTop w:val="0"/>
      <w:marBottom w:val="0"/>
      <w:divBdr>
        <w:top w:val="none" w:sz="0" w:space="0" w:color="auto"/>
        <w:left w:val="none" w:sz="0" w:space="0" w:color="auto"/>
        <w:bottom w:val="none" w:sz="0" w:space="0" w:color="auto"/>
        <w:right w:val="none" w:sz="0" w:space="0" w:color="auto"/>
      </w:divBdr>
      <w:divsChild>
        <w:div w:id="602614774">
          <w:marLeft w:val="0"/>
          <w:marRight w:val="0"/>
          <w:marTop w:val="0"/>
          <w:marBottom w:val="0"/>
          <w:divBdr>
            <w:top w:val="none" w:sz="0" w:space="0" w:color="auto"/>
            <w:left w:val="none" w:sz="0" w:space="0" w:color="auto"/>
            <w:bottom w:val="none" w:sz="0" w:space="0" w:color="auto"/>
            <w:right w:val="none" w:sz="0" w:space="0" w:color="auto"/>
          </w:divBdr>
        </w:div>
      </w:divsChild>
    </w:div>
    <w:div w:id="252787364">
      <w:marLeft w:val="0"/>
      <w:marRight w:val="0"/>
      <w:marTop w:val="120"/>
      <w:marBottom w:val="120"/>
      <w:divBdr>
        <w:top w:val="none" w:sz="0" w:space="0" w:color="auto"/>
        <w:left w:val="none" w:sz="0" w:space="0" w:color="auto"/>
        <w:bottom w:val="none" w:sz="0" w:space="0" w:color="auto"/>
        <w:right w:val="none" w:sz="0" w:space="0" w:color="auto"/>
      </w:divBdr>
    </w:div>
    <w:div w:id="252981594">
      <w:marLeft w:val="0"/>
      <w:marRight w:val="0"/>
      <w:marTop w:val="100"/>
      <w:marBottom w:val="0"/>
      <w:divBdr>
        <w:top w:val="none" w:sz="0" w:space="0" w:color="auto"/>
        <w:left w:val="none" w:sz="0" w:space="0" w:color="auto"/>
        <w:bottom w:val="none" w:sz="0" w:space="0" w:color="auto"/>
        <w:right w:val="none" w:sz="0" w:space="0" w:color="auto"/>
      </w:divBdr>
    </w:div>
    <w:div w:id="253243507">
      <w:marLeft w:val="0"/>
      <w:marRight w:val="0"/>
      <w:marTop w:val="100"/>
      <w:marBottom w:val="0"/>
      <w:divBdr>
        <w:top w:val="none" w:sz="0" w:space="0" w:color="auto"/>
        <w:left w:val="none" w:sz="0" w:space="0" w:color="auto"/>
        <w:bottom w:val="none" w:sz="0" w:space="0" w:color="auto"/>
        <w:right w:val="none" w:sz="0" w:space="0" w:color="auto"/>
      </w:divBdr>
      <w:divsChild>
        <w:div w:id="14236500">
          <w:marLeft w:val="0"/>
          <w:marRight w:val="0"/>
          <w:marTop w:val="40"/>
          <w:marBottom w:val="40"/>
          <w:divBdr>
            <w:top w:val="none" w:sz="0" w:space="0" w:color="auto"/>
            <w:left w:val="none" w:sz="0" w:space="0" w:color="auto"/>
            <w:bottom w:val="none" w:sz="0" w:space="0" w:color="auto"/>
            <w:right w:val="none" w:sz="0" w:space="0" w:color="auto"/>
          </w:divBdr>
        </w:div>
        <w:div w:id="640110672">
          <w:marLeft w:val="0"/>
          <w:marRight w:val="0"/>
          <w:marTop w:val="40"/>
          <w:marBottom w:val="40"/>
          <w:divBdr>
            <w:top w:val="none" w:sz="0" w:space="0" w:color="auto"/>
            <w:left w:val="none" w:sz="0" w:space="0" w:color="auto"/>
            <w:bottom w:val="none" w:sz="0" w:space="0" w:color="auto"/>
            <w:right w:val="none" w:sz="0" w:space="0" w:color="auto"/>
          </w:divBdr>
        </w:div>
        <w:div w:id="547650759">
          <w:marLeft w:val="0"/>
          <w:marRight w:val="0"/>
          <w:marTop w:val="40"/>
          <w:marBottom w:val="40"/>
          <w:divBdr>
            <w:top w:val="none" w:sz="0" w:space="0" w:color="auto"/>
            <w:left w:val="none" w:sz="0" w:space="0" w:color="auto"/>
            <w:bottom w:val="none" w:sz="0" w:space="0" w:color="auto"/>
            <w:right w:val="none" w:sz="0" w:space="0" w:color="auto"/>
          </w:divBdr>
        </w:div>
        <w:div w:id="204097134">
          <w:marLeft w:val="0"/>
          <w:marRight w:val="0"/>
          <w:marTop w:val="40"/>
          <w:marBottom w:val="40"/>
          <w:divBdr>
            <w:top w:val="none" w:sz="0" w:space="0" w:color="auto"/>
            <w:left w:val="none" w:sz="0" w:space="0" w:color="auto"/>
            <w:bottom w:val="none" w:sz="0" w:space="0" w:color="auto"/>
            <w:right w:val="none" w:sz="0" w:space="0" w:color="auto"/>
          </w:divBdr>
        </w:div>
        <w:div w:id="378169773">
          <w:marLeft w:val="0"/>
          <w:marRight w:val="0"/>
          <w:marTop w:val="40"/>
          <w:marBottom w:val="40"/>
          <w:divBdr>
            <w:top w:val="none" w:sz="0" w:space="0" w:color="auto"/>
            <w:left w:val="none" w:sz="0" w:space="0" w:color="auto"/>
            <w:bottom w:val="none" w:sz="0" w:space="0" w:color="auto"/>
            <w:right w:val="none" w:sz="0" w:space="0" w:color="auto"/>
          </w:divBdr>
        </w:div>
        <w:div w:id="846596592">
          <w:marLeft w:val="0"/>
          <w:marRight w:val="0"/>
          <w:marTop w:val="40"/>
          <w:marBottom w:val="40"/>
          <w:divBdr>
            <w:top w:val="none" w:sz="0" w:space="0" w:color="auto"/>
            <w:left w:val="none" w:sz="0" w:space="0" w:color="auto"/>
            <w:bottom w:val="none" w:sz="0" w:space="0" w:color="auto"/>
            <w:right w:val="none" w:sz="0" w:space="0" w:color="auto"/>
          </w:divBdr>
        </w:div>
        <w:div w:id="935793218">
          <w:marLeft w:val="0"/>
          <w:marRight w:val="0"/>
          <w:marTop w:val="40"/>
          <w:marBottom w:val="40"/>
          <w:divBdr>
            <w:top w:val="none" w:sz="0" w:space="0" w:color="auto"/>
            <w:left w:val="none" w:sz="0" w:space="0" w:color="auto"/>
            <w:bottom w:val="none" w:sz="0" w:space="0" w:color="auto"/>
            <w:right w:val="none" w:sz="0" w:space="0" w:color="auto"/>
          </w:divBdr>
        </w:div>
      </w:divsChild>
    </w:div>
    <w:div w:id="253516134">
      <w:marLeft w:val="0"/>
      <w:marRight w:val="0"/>
      <w:marTop w:val="180"/>
      <w:marBottom w:val="180"/>
      <w:divBdr>
        <w:top w:val="none" w:sz="0" w:space="0" w:color="auto"/>
        <w:left w:val="none" w:sz="0" w:space="0" w:color="auto"/>
        <w:bottom w:val="none" w:sz="0" w:space="0" w:color="auto"/>
        <w:right w:val="none" w:sz="0" w:space="0" w:color="auto"/>
      </w:divBdr>
    </w:div>
    <w:div w:id="255944628">
      <w:marLeft w:val="0"/>
      <w:marRight w:val="0"/>
      <w:marTop w:val="0"/>
      <w:marBottom w:val="240"/>
      <w:divBdr>
        <w:top w:val="none" w:sz="0" w:space="0" w:color="auto"/>
        <w:left w:val="none" w:sz="0" w:space="0" w:color="auto"/>
        <w:bottom w:val="none" w:sz="0" w:space="0" w:color="auto"/>
        <w:right w:val="none" w:sz="0" w:space="0" w:color="auto"/>
      </w:divBdr>
    </w:div>
    <w:div w:id="262734647">
      <w:marLeft w:val="0"/>
      <w:marRight w:val="0"/>
      <w:marTop w:val="0"/>
      <w:marBottom w:val="0"/>
      <w:divBdr>
        <w:top w:val="none" w:sz="0" w:space="0" w:color="auto"/>
        <w:left w:val="none" w:sz="0" w:space="0" w:color="auto"/>
        <w:bottom w:val="none" w:sz="0" w:space="0" w:color="auto"/>
        <w:right w:val="none" w:sz="0" w:space="0" w:color="auto"/>
      </w:divBdr>
      <w:divsChild>
        <w:div w:id="1454791980">
          <w:marLeft w:val="0"/>
          <w:marRight w:val="0"/>
          <w:marTop w:val="0"/>
          <w:marBottom w:val="0"/>
          <w:divBdr>
            <w:top w:val="none" w:sz="0" w:space="0" w:color="auto"/>
            <w:left w:val="none" w:sz="0" w:space="0" w:color="auto"/>
            <w:bottom w:val="none" w:sz="0" w:space="0" w:color="auto"/>
            <w:right w:val="none" w:sz="0" w:space="0" w:color="auto"/>
          </w:divBdr>
          <w:divsChild>
            <w:div w:id="876507970">
              <w:marLeft w:val="0"/>
              <w:marRight w:val="0"/>
              <w:marTop w:val="0"/>
              <w:marBottom w:val="60"/>
              <w:divBdr>
                <w:top w:val="none" w:sz="0" w:space="0" w:color="auto"/>
                <w:left w:val="none" w:sz="0" w:space="0" w:color="auto"/>
                <w:bottom w:val="none" w:sz="0" w:space="0" w:color="auto"/>
                <w:right w:val="none" w:sz="0" w:space="0" w:color="auto"/>
              </w:divBdr>
            </w:div>
            <w:div w:id="1415467920">
              <w:marLeft w:val="0"/>
              <w:marRight w:val="0"/>
              <w:marTop w:val="120"/>
              <w:marBottom w:val="60"/>
              <w:divBdr>
                <w:top w:val="none" w:sz="0" w:space="0" w:color="auto"/>
                <w:left w:val="none" w:sz="0" w:space="0" w:color="auto"/>
                <w:bottom w:val="none" w:sz="0" w:space="0" w:color="auto"/>
                <w:right w:val="none" w:sz="0" w:space="0" w:color="auto"/>
              </w:divBdr>
            </w:div>
            <w:div w:id="1726181126">
              <w:marLeft w:val="0"/>
              <w:marRight w:val="0"/>
              <w:marTop w:val="0"/>
              <w:marBottom w:val="60"/>
              <w:divBdr>
                <w:top w:val="none" w:sz="0" w:space="0" w:color="auto"/>
                <w:left w:val="none" w:sz="0" w:space="0" w:color="auto"/>
                <w:bottom w:val="none" w:sz="0" w:space="0" w:color="auto"/>
                <w:right w:val="none" w:sz="0" w:space="0" w:color="auto"/>
              </w:divBdr>
            </w:div>
            <w:div w:id="1625766303">
              <w:marLeft w:val="0"/>
              <w:marRight w:val="0"/>
              <w:marTop w:val="0"/>
              <w:marBottom w:val="60"/>
              <w:divBdr>
                <w:top w:val="none" w:sz="0" w:space="0" w:color="auto"/>
                <w:left w:val="none" w:sz="0" w:space="0" w:color="auto"/>
                <w:bottom w:val="none" w:sz="0" w:space="0" w:color="auto"/>
                <w:right w:val="none" w:sz="0" w:space="0" w:color="auto"/>
              </w:divBdr>
            </w:div>
            <w:div w:id="851798792">
              <w:marLeft w:val="0"/>
              <w:marRight w:val="0"/>
              <w:marTop w:val="0"/>
              <w:marBottom w:val="60"/>
              <w:divBdr>
                <w:top w:val="none" w:sz="0" w:space="0" w:color="auto"/>
                <w:left w:val="none" w:sz="0" w:space="0" w:color="auto"/>
                <w:bottom w:val="none" w:sz="0" w:space="0" w:color="auto"/>
                <w:right w:val="none" w:sz="0" w:space="0" w:color="auto"/>
              </w:divBdr>
            </w:div>
            <w:div w:id="1039623687">
              <w:marLeft w:val="0"/>
              <w:marRight w:val="0"/>
              <w:marTop w:val="0"/>
              <w:marBottom w:val="60"/>
              <w:divBdr>
                <w:top w:val="none" w:sz="0" w:space="0" w:color="auto"/>
                <w:left w:val="none" w:sz="0" w:space="0" w:color="auto"/>
                <w:bottom w:val="none" w:sz="0" w:space="0" w:color="auto"/>
                <w:right w:val="none" w:sz="0" w:space="0" w:color="auto"/>
              </w:divBdr>
            </w:div>
            <w:div w:id="991447168">
              <w:marLeft w:val="0"/>
              <w:marRight w:val="0"/>
              <w:marTop w:val="0"/>
              <w:marBottom w:val="60"/>
              <w:divBdr>
                <w:top w:val="none" w:sz="0" w:space="0" w:color="auto"/>
                <w:left w:val="none" w:sz="0" w:space="0" w:color="auto"/>
                <w:bottom w:val="none" w:sz="0" w:space="0" w:color="auto"/>
                <w:right w:val="none" w:sz="0" w:space="0" w:color="auto"/>
              </w:divBdr>
            </w:div>
            <w:div w:id="2123108661">
              <w:marLeft w:val="0"/>
              <w:marRight w:val="0"/>
              <w:marTop w:val="0"/>
              <w:marBottom w:val="60"/>
              <w:divBdr>
                <w:top w:val="none" w:sz="0" w:space="0" w:color="auto"/>
                <w:left w:val="none" w:sz="0" w:space="0" w:color="auto"/>
                <w:bottom w:val="none" w:sz="0" w:space="0" w:color="auto"/>
                <w:right w:val="none" w:sz="0" w:space="0" w:color="auto"/>
              </w:divBdr>
            </w:div>
            <w:div w:id="448864208">
              <w:marLeft w:val="0"/>
              <w:marRight w:val="0"/>
              <w:marTop w:val="0"/>
              <w:marBottom w:val="0"/>
              <w:divBdr>
                <w:top w:val="none" w:sz="0" w:space="0" w:color="auto"/>
                <w:left w:val="none" w:sz="0" w:space="0" w:color="auto"/>
                <w:bottom w:val="none" w:sz="0" w:space="0" w:color="auto"/>
                <w:right w:val="none" w:sz="0" w:space="0" w:color="auto"/>
              </w:divBdr>
            </w:div>
            <w:div w:id="86270480">
              <w:marLeft w:val="0"/>
              <w:marRight w:val="0"/>
              <w:marTop w:val="0"/>
              <w:marBottom w:val="60"/>
              <w:divBdr>
                <w:top w:val="none" w:sz="0" w:space="0" w:color="auto"/>
                <w:left w:val="none" w:sz="0" w:space="0" w:color="auto"/>
                <w:bottom w:val="none" w:sz="0" w:space="0" w:color="auto"/>
                <w:right w:val="none" w:sz="0" w:space="0" w:color="auto"/>
              </w:divBdr>
            </w:div>
            <w:div w:id="364184402">
              <w:marLeft w:val="0"/>
              <w:marRight w:val="0"/>
              <w:marTop w:val="0"/>
              <w:marBottom w:val="60"/>
              <w:divBdr>
                <w:top w:val="none" w:sz="0" w:space="0" w:color="auto"/>
                <w:left w:val="none" w:sz="0" w:space="0" w:color="auto"/>
                <w:bottom w:val="none" w:sz="0" w:space="0" w:color="auto"/>
                <w:right w:val="none" w:sz="0" w:space="0" w:color="auto"/>
              </w:divBdr>
            </w:div>
            <w:div w:id="1851675721">
              <w:marLeft w:val="0"/>
              <w:marRight w:val="0"/>
              <w:marTop w:val="0"/>
              <w:marBottom w:val="60"/>
              <w:divBdr>
                <w:top w:val="none" w:sz="0" w:space="0" w:color="auto"/>
                <w:left w:val="none" w:sz="0" w:space="0" w:color="auto"/>
                <w:bottom w:val="none" w:sz="0" w:space="0" w:color="auto"/>
                <w:right w:val="none" w:sz="0" w:space="0" w:color="auto"/>
              </w:divBdr>
            </w:div>
            <w:div w:id="127552799">
              <w:marLeft w:val="0"/>
              <w:marRight w:val="0"/>
              <w:marTop w:val="0"/>
              <w:marBottom w:val="60"/>
              <w:divBdr>
                <w:top w:val="none" w:sz="0" w:space="0" w:color="auto"/>
                <w:left w:val="none" w:sz="0" w:space="0" w:color="auto"/>
                <w:bottom w:val="none" w:sz="0" w:space="0" w:color="auto"/>
                <w:right w:val="none" w:sz="0" w:space="0" w:color="auto"/>
              </w:divBdr>
            </w:div>
            <w:div w:id="1143542206">
              <w:marLeft w:val="0"/>
              <w:marRight w:val="0"/>
              <w:marTop w:val="0"/>
              <w:marBottom w:val="60"/>
              <w:divBdr>
                <w:top w:val="none" w:sz="0" w:space="0" w:color="auto"/>
                <w:left w:val="none" w:sz="0" w:space="0" w:color="auto"/>
                <w:bottom w:val="none" w:sz="0" w:space="0" w:color="auto"/>
                <w:right w:val="none" w:sz="0" w:space="0" w:color="auto"/>
              </w:divBdr>
            </w:div>
            <w:div w:id="727069516">
              <w:marLeft w:val="0"/>
              <w:marRight w:val="0"/>
              <w:marTop w:val="0"/>
              <w:marBottom w:val="60"/>
              <w:divBdr>
                <w:top w:val="none" w:sz="0" w:space="0" w:color="auto"/>
                <w:left w:val="none" w:sz="0" w:space="0" w:color="auto"/>
                <w:bottom w:val="none" w:sz="0" w:space="0" w:color="auto"/>
                <w:right w:val="none" w:sz="0" w:space="0" w:color="auto"/>
              </w:divBdr>
            </w:div>
            <w:div w:id="2105220081">
              <w:marLeft w:val="0"/>
              <w:marRight w:val="0"/>
              <w:marTop w:val="0"/>
              <w:marBottom w:val="60"/>
              <w:divBdr>
                <w:top w:val="none" w:sz="0" w:space="0" w:color="auto"/>
                <w:left w:val="none" w:sz="0" w:space="0" w:color="auto"/>
                <w:bottom w:val="none" w:sz="0" w:space="0" w:color="auto"/>
                <w:right w:val="none" w:sz="0" w:space="0" w:color="auto"/>
              </w:divBdr>
            </w:div>
            <w:div w:id="2109621815">
              <w:marLeft w:val="0"/>
              <w:marRight w:val="0"/>
              <w:marTop w:val="0"/>
              <w:marBottom w:val="60"/>
              <w:divBdr>
                <w:top w:val="none" w:sz="0" w:space="0" w:color="auto"/>
                <w:left w:val="none" w:sz="0" w:space="0" w:color="auto"/>
                <w:bottom w:val="none" w:sz="0" w:space="0" w:color="auto"/>
                <w:right w:val="none" w:sz="0" w:space="0" w:color="auto"/>
              </w:divBdr>
            </w:div>
            <w:div w:id="1342507384">
              <w:marLeft w:val="0"/>
              <w:marRight w:val="0"/>
              <w:marTop w:val="0"/>
              <w:marBottom w:val="60"/>
              <w:divBdr>
                <w:top w:val="none" w:sz="0" w:space="0" w:color="auto"/>
                <w:left w:val="none" w:sz="0" w:space="0" w:color="auto"/>
                <w:bottom w:val="none" w:sz="0" w:space="0" w:color="auto"/>
                <w:right w:val="none" w:sz="0" w:space="0" w:color="auto"/>
              </w:divBdr>
            </w:div>
            <w:div w:id="1357851823">
              <w:marLeft w:val="0"/>
              <w:marRight w:val="0"/>
              <w:marTop w:val="0"/>
              <w:marBottom w:val="60"/>
              <w:divBdr>
                <w:top w:val="none" w:sz="0" w:space="0" w:color="auto"/>
                <w:left w:val="none" w:sz="0" w:space="0" w:color="auto"/>
                <w:bottom w:val="none" w:sz="0" w:space="0" w:color="auto"/>
                <w:right w:val="none" w:sz="0" w:space="0" w:color="auto"/>
              </w:divBdr>
            </w:div>
            <w:div w:id="1253585928">
              <w:marLeft w:val="0"/>
              <w:marRight w:val="0"/>
              <w:marTop w:val="0"/>
              <w:marBottom w:val="60"/>
              <w:divBdr>
                <w:top w:val="none" w:sz="0" w:space="0" w:color="auto"/>
                <w:left w:val="none" w:sz="0" w:space="0" w:color="auto"/>
                <w:bottom w:val="none" w:sz="0" w:space="0" w:color="auto"/>
                <w:right w:val="none" w:sz="0" w:space="0" w:color="auto"/>
              </w:divBdr>
            </w:div>
            <w:div w:id="961618542">
              <w:marLeft w:val="0"/>
              <w:marRight w:val="0"/>
              <w:marTop w:val="0"/>
              <w:marBottom w:val="60"/>
              <w:divBdr>
                <w:top w:val="none" w:sz="0" w:space="0" w:color="auto"/>
                <w:left w:val="none" w:sz="0" w:space="0" w:color="auto"/>
                <w:bottom w:val="none" w:sz="0" w:space="0" w:color="auto"/>
                <w:right w:val="none" w:sz="0" w:space="0" w:color="auto"/>
              </w:divBdr>
            </w:div>
            <w:div w:id="1880044398">
              <w:marLeft w:val="0"/>
              <w:marRight w:val="0"/>
              <w:marTop w:val="0"/>
              <w:marBottom w:val="60"/>
              <w:divBdr>
                <w:top w:val="none" w:sz="0" w:space="0" w:color="auto"/>
                <w:left w:val="none" w:sz="0" w:space="0" w:color="auto"/>
                <w:bottom w:val="none" w:sz="0" w:space="0" w:color="auto"/>
                <w:right w:val="none" w:sz="0" w:space="0" w:color="auto"/>
              </w:divBdr>
            </w:div>
            <w:div w:id="448353764">
              <w:marLeft w:val="0"/>
              <w:marRight w:val="0"/>
              <w:marTop w:val="0"/>
              <w:marBottom w:val="60"/>
              <w:divBdr>
                <w:top w:val="none" w:sz="0" w:space="0" w:color="auto"/>
                <w:left w:val="none" w:sz="0" w:space="0" w:color="auto"/>
                <w:bottom w:val="none" w:sz="0" w:space="0" w:color="auto"/>
                <w:right w:val="none" w:sz="0" w:space="0" w:color="auto"/>
              </w:divBdr>
            </w:div>
            <w:div w:id="457649549">
              <w:marLeft w:val="0"/>
              <w:marRight w:val="0"/>
              <w:marTop w:val="0"/>
              <w:marBottom w:val="60"/>
              <w:divBdr>
                <w:top w:val="none" w:sz="0" w:space="0" w:color="auto"/>
                <w:left w:val="none" w:sz="0" w:space="0" w:color="auto"/>
                <w:bottom w:val="none" w:sz="0" w:space="0" w:color="auto"/>
                <w:right w:val="none" w:sz="0" w:space="0" w:color="auto"/>
              </w:divBdr>
            </w:div>
            <w:div w:id="126819254">
              <w:marLeft w:val="0"/>
              <w:marRight w:val="0"/>
              <w:marTop w:val="0"/>
              <w:marBottom w:val="60"/>
              <w:divBdr>
                <w:top w:val="none" w:sz="0" w:space="0" w:color="auto"/>
                <w:left w:val="none" w:sz="0" w:space="0" w:color="auto"/>
                <w:bottom w:val="none" w:sz="0" w:space="0" w:color="auto"/>
                <w:right w:val="none" w:sz="0" w:space="0" w:color="auto"/>
              </w:divBdr>
            </w:div>
            <w:div w:id="316150910">
              <w:marLeft w:val="0"/>
              <w:marRight w:val="0"/>
              <w:marTop w:val="0"/>
              <w:marBottom w:val="60"/>
              <w:divBdr>
                <w:top w:val="none" w:sz="0" w:space="0" w:color="auto"/>
                <w:left w:val="none" w:sz="0" w:space="0" w:color="auto"/>
                <w:bottom w:val="none" w:sz="0" w:space="0" w:color="auto"/>
                <w:right w:val="none" w:sz="0" w:space="0" w:color="auto"/>
              </w:divBdr>
            </w:div>
            <w:div w:id="859782916">
              <w:marLeft w:val="0"/>
              <w:marRight w:val="0"/>
              <w:marTop w:val="0"/>
              <w:marBottom w:val="60"/>
              <w:divBdr>
                <w:top w:val="none" w:sz="0" w:space="0" w:color="auto"/>
                <w:left w:val="none" w:sz="0" w:space="0" w:color="auto"/>
                <w:bottom w:val="none" w:sz="0" w:space="0" w:color="auto"/>
                <w:right w:val="none" w:sz="0" w:space="0" w:color="auto"/>
              </w:divBdr>
            </w:div>
            <w:div w:id="194537149">
              <w:marLeft w:val="0"/>
              <w:marRight w:val="0"/>
              <w:marTop w:val="0"/>
              <w:marBottom w:val="60"/>
              <w:divBdr>
                <w:top w:val="none" w:sz="0" w:space="0" w:color="auto"/>
                <w:left w:val="none" w:sz="0" w:space="0" w:color="auto"/>
                <w:bottom w:val="none" w:sz="0" w:space="0" w:color="auto"/>
                <w:right w:val="none" w:sz="0" w:space="0" w:color="auto"/>
              </w:divBdr>
            </w:div>
            <w:div w:id="41640456">
              <w:marLeft w:val="0"/>
              <w:marRight w:val="0"/>
              <w:marTop w:val="0"/>
              <w:marBottom w:val="60"/>
              <w:divBdr>
                <w:top w:val="none" w:sz="0" w:space="0" w:color="auto"/>
                <w:left w:val="none" w:sz="0" w:space="0" w:color="auto"/>
                <w:bottom w:val="none" w:sz="0" w:space="0" w:color="auto"/>
                <w:right w:val="none" w:sz="0" w:space="0" w:color="auto"/>
              </w:divBdr>
            </w:div>
            <w:div w:id="1808353501">
              <w:marLeft w:val="0"/>
              <w:marRight w:val="0"/>
              <w:marTop w:val="0"/>
              <w:marBottom w:val="60"/>
              <w:divBdr>
                <w:top w:val="none" w:sz="0" w:space="0" w:color="auto"/>
                <w:left w:val="none" w:sz="0" w:space="0" w:color="auto"/>
                <w:bottom w:val="none" w:sz="0" w:space="0" w:color="auto"/>
                <w:right w:val="none" w:sz="0" w:space="0" w:color="auto"/>
              </w:divBdr>
            </w:div>
            <w:div w:id="1521701941">
              <w:marLeft w:val="0"/>
              <w:marRight w:val="0"/>
              <w:marTop w:val="0"/>
              <w:marBottom w:val="60"/>
              <w:divBdr>
                <w:top w:val="none" w:sz="0" w:space="0" w:color="auto"/>
                <w:left w:val="none" w:sz="0" w:space="0" w:color="auto"/>
                <w:bottom w:val="none" w:sz="0" w:space="0" w:color="auto"/>
                <w:right w:val="none" w:sz="0" w:space="0" w:color="auto"/>
              </w:divBdr>
            </w:div>
            <w:div w:id="423845366">
              <w:marLeft w:val="0"/>
              <w:marRight w:val="0"/>
              <w:marTop w:val="0"/>
              <w:marBottom w:val="60"/>
              <w:divBdr>
                <w:top w:val="none" w:sz="0" w:space="0" w:color="auto"/>
                <w:left w:val="none" w:sz="0" w:space="0" w:color="auto"/>
                <w:bottom w:val="none" w:sz="0" w:space="0" w:color="auto"/>
                <w:right w:val="none" w:sz="0" w:space="0" w:color="auto"/>
              </w:divBdr>
            </w:div>
          </w:divsChild>
        </w:div>
        <w:div w:id="617177225">
          <w:marLeft w:val="0"/>
          <w:marRight w:val="0"/>
          <w:marTop w:val="0"/>
          <w:marBottom w:val="0"/>
          <w:divBdr>
            <w:top w:val="none" w:sz="0" w:space="0" w:color="auto"/>
            <w:left w:val="none" w:sz="0" w:space="0" w:color="auto"/>
            <w:bottom w:val="none" w:sz="0" w:space="0" w:color="auto"/>
            <w:right w:val="none" w:sz="0" w:space="0" w:color="auto"/>
          </w:divBdr>
          <w:divsChild>
            <w:div w:id="205532263">
              <w:marLeft w:val="0"/>
              <w:marRight w:val="0"/>
              <w:marTop w:val="0"/>
              <w:marBottom w:val="60"/>
              <w:divBdr>
                <w:top w:val="none" w:sz="0" w:space="0" w:color="auto"/>
                <w:left w:val="none" w:sz="0" w:space="0" w:color="auto"/>
                <w:bottom w:val="none" w:sz="0" w:space="0" w:color="auto"/>
                <w:right w:val="none" w:sz="0" w:space="0" w:color="auto"/>
              </w:divBdr>
            </w:div>
            <w:div w:id="1871143586">
              <w:marLeft w:val="0"/>
              <w:marRight w:val="0"/>
              <w:marTop w:val="0"/>
              <w:marBottom w:val="60"/>
              <w:divBdr>
                <w:top w:val="none" w:sz="0" w:space="0" w:color="auto"/>
                <w:left w:val="none" w:sz="0" w:space="0" w:color="auto"/>
                <w:bottom w:val="none" w:sz="0" w:space="0" w:color="auto"/>
                <w:right w:val="none" w:sz="0" w:space="0" w:color="auto"/>
              </w:divBdr>
            </w:div>
            <w:div w:id="120880429">
              <w:marLeft w:val="0"/>
              <w:marRight w:val="0"/>
              <w:marTop w:val="0"/>
              <w:marBottom w:val="60"/>
              <w:divBdr>
                <w:top w:val="none" w:sz="0" w:space="0" w:color="auto"/>
                <w:left w:val="none" w:sz="0" w:space="0" w:color="auto"/>
                <w:bottom w:val="none" w:sz="0" w:space="0" w:color="auto"/>
                <w:right w:val="none" w:sz="0" w:space="0" w:color="auto"/>
              </w:divBdr>
            </w:div>
            <w:div w:id="1601717331">
              <w:marLeft w:val="0"/>
              <w:marRight w:val="0"/>
              <w:marTop w:val="0"/>
              <w:marBottom w:val="60"/>
              <w:divBdr>
                <w:top w:val="none" w:sz="0" w:space="0" w:color="auto"/>
                <w:left w:val="none" w:sz="0" w:space="0" w:color="auto"/>
                <w:bottom w:val="none" w:sz="0" w:space="0" w:color="auto"/>
                <w:right w:val="none" w:sz="0" w:space="0" w:color="auto"/>
              </w:divBdr>
            </w:div>
            <w:div w:id="793796354">
              <w:marLeft w:val="0"/>
              <w:marRight w:val="0"/>
              <w:marTop w:val="0"/>
              <w:marBottom w:val="60"/>
              <w:divBdr>
                <w:top w:val="none" w:sz="0" w:space="0" w:color="auto"/>
                <w:left w:val="none" w:sz="0" w:space="0" w:color="auto"/>
                <w:bottom w:val="none" w:sz="0" w:space="0" w:color="auto"/>
                <w:right w:val="none" w:sz="0" w:space="0" w:color="auto"/>
              </w:divBdr>
            </w:div>
            <w:div w:id="2114401903">
              <w:marLeft w:val="0"/>
              <w:marRight w:val="0"/>
              <w:marTop w:val="0"/>
              <w:marBottom w:val="60"/>
              <w:divBdr>
                <w:top w:val="none" w:sz="0" w:space="0" w:color="auto"/>
                <w:left w:val="none" w:sz="0" w:space="0" w:color="auto"/>
                <w:bottom w:val="none" w:sz="0" w:space="0" w:color="auto"/>
                <w:right w:val="none" w:sz="0" w:space="0" w:color="auto"/>
              </w:divBdr>
            </w:div>
            <w:div w:id="16975811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63003878">
      <w:marLeft w:val="0"/>
      <w:marRight w:val="0"/>
      <w:marTop w:val="120"/>
      <w:marBottom w:val="120"/>
      <w:divBdr>
        <w:top w:val="none" w:sz="0" w:space="0" w:color="auto"/>
        <w:left w:val="none" w:sz="0" w:space="0" w:color="auto"/>
        <w:bottom w:val="none" w:sz="0" w:space="0" w:color="auto"/>
        <w:right w:val="none" w:sz="0" w:space="0" w:color="auto"/>
      </w:divBdr>
    </w:div>
    <w:div w:id="264775882">
      <w:marLeft w:val="0"/>
      <w:marRight w:val="0"/>
      <w:marTop w:val="0"/>
      <w:marBottom w:val="0"/>
      <w:divBdr>
        <w:top w:val="none" w:sz="0" w:space="0" w:color="auto"/>
        <w:left w:val="none" w:sz="0" w:space="0" w:color="auto"/>
        <w:bottom w:val="none" w:sz="0" w:space="0" w:color="auto"/>
        <w:right w:val="none" w:sz="0" w:space="0" w:color="auto"/>
      </w:divBdr>
      <w:divsChild>
        <w:div w:id="238097803">
          <w:marLeft w:val="0"/>
          <w:marRight w:val="0"/>
          <w:marTop w:val="0"/>
          <w:marBottom w:val="0"/>
          <w:divBdr>
            <w:top w:val="none" w:sz="0" w:space="0" w:color="auto"/>
            <w:left w:val="none" w:sz="0" w:space="0" w:color="auto"/>
            <w:bottom w:val="none" w:sz="0" w:space="0" w:color="auto"/>
            <w:right w:val="none" w:sz="0" w:space="0" w:color="auto"/>
          </w:divBdr>
        </w:div>
      </w:divsChild>
    </w:div>
    <w:div w:id="270211348">
      <w:marLeft w:val="0"/>
      <w:marRight w:val="0"/>
      <w:marTop w:val="0"/>
      <w:marBottom w:val="240"/>
      <w:divBdr>
        <w:top w:val="none" w:sz="0" w:space="0" w:color="auto"/>
        <w:left w:val="none" w:sz="0" w:space="0" w:color="auto"/>
        <w:bottom w:val="none" w:sz="0" w:space="0" w:color="auto"/>
        <w:right w:val="none" w:sz="0" w:space="0" w:color="auto"/>
      </w:divBdr>
    </w:div>
    <w:div w:id="272641116">
      <w:marLeft w:val="0"/>
      <w:marRight w:val="0"/>
      <w:marTop w:val="0"/>
      <w:marBottom w:val="0"/>
      <w:divBdr>
        <w:top w:val="none" w:sz="0" w:space="0" w:color="auto"/>
        <w:left w:val="none" w:sz="0" w:space="0" w:color="auto"/>
        <w:bottom w:val="none" w:sz="0" w:space="0" w:color="auto"/>
        <w:right w:val="none" w:sz="0" w:space="0" w:color="auto"/>
      </w:divBdr>
    </w:div>
    <w:div w:id="273290055">
      <w:marLeft w:val="0"/>
      <w:marRight w:val="0"/>
      <w:marTop w:val="0"/>
      <w:marBottom w:val="180"/>
      <w:divBdr>
        <w:top w:val="none" w:sz="0" w:space="0" w:color="auto"/>
        <w:left w:val="none" w:sz="0" w:space="0" w:color="auto"/>
        <w:bottom w:val="none" w:sz="0" w:space="0" w:color="auto"/>
        <w:right w:val="none" w:sz="0" w:space="0" w:color="auto"/>
      </w:divBdr>
    </w:div>
    <w:div w:id="274756915">
      <w:marLeft w:val="0"/>
      <w:marRight w:val="0"/>
      <w:marTop w:val="0"/>
      <w:marBottom w:val="240"/>
      <w:divBdr>
        <w:top w:val="none" w:sz="0" w:space="0" w:color="auto"/>
        <w:left w:val="none" w:sz="0" w:space="0" w:color="auto"/>
        <w:bottom w:val="none" w:sz="0" w:space="0" w:color="auto"/>
        <w:right w:val="none" w:sz="0" w:space="0" w:color="auto"/>
      </w:divBdr>
    </w:div>
    <w:div w:id="275454761">
      <w:marLeft w:val="0"/>
      <w:marRight w:val="0"/>
      <w:marTop w:val="0"/>
      <w:marBottom w:val="180"/>
      <w:divBdr>
        <w:top w:val="none" w:sz="0" w:space="0" w:color="auto"/>
        <w:left w:val="none" w:sz="0" w:space="0" w:color="auto"/>
        <w:bottom w:val="none" w:sz="0" w:space="0" w:color="auto"/>
        <w:right w:val="none" w:sz="0" w:space="0" w:color="auto"/>
      </w:divBdr>
    </w:div>
    <w:div w:id="277951075">
      <w:marLeft w:val="0"/>
      <w:marRight w:val="0"/>
      <w:marTop w:val="100"/>
      <w:marBottom w:val="100"/>
      <w:divBdr>
        <w:top w:val="none" w:sz="0" w:space="0" w:color="auto"/>
        <w:left w:val="none" w:sz="0" w:space="0" w:color="auto"/>
        <w:bottom w:val="none" w:sz="0" w:space="0" w:color="auto"/>
        <w:right w:val="none" w:sz="0" w:space="0" w:color="auto"/>
      </w:divBdr>
      <w:divsChild>
        <w:div w:id="570310962">
          <w:marLeft w:val="0"/>
          <w:marRight w:val="0"/>
          <w:marTop w:val="0"/>
          <w:marBottom w:val="0"/>
          <w:divBdr>
            <w:top w:val="none" w:sz="0" w:space="0" w:color="auto"/>
            <w:left w:val="none" w:sz="0" w:space="0" w:color="auto"/>
            <w:bottom w:val="none" w:sz="0" w:space="0" w:color="auto"/>
            <w:right w:val="none" w:sz="0" w:space="0" w:color="auto"/>
          </w:divBdr>
        </w:div>
        <w:div w:id="869805535">
          <w:marLeft w:val="0"/>
          <w:marRight w:val="0"/>
          <w:marTop w:val="0"/>
          <w:marBottom w:val="0"/>
          <w:divBdr>
            <w:top w:val="none" w:sz="0" w:space="0" w:color="auto"/>
            <w:left w:val="none" w:sz="0" w:space="0" w:color="auto"/>
            <w:bottom w:val="none" w:sz="0" w:space="0" w:color="auto"/>
            <w:right w:val="none" w:sz="0" w:space="0" w:color="auto"/>
          </w:divBdr>
        </w:div>
        <w:div w:id="1756778356">
          <w:marLeft w:val="0"/>
          <w:marRight w:val="0"/>
          <w:marTop w:val="0"/>
          <w:marBottom w:val="0"/>
          <w:divBdr>
            <w:top w:val="none" w:sz="0" w:space="0" w:color="auto"/>
            <w:left w:val="none" w:sz="0" w:space="0" w:color="auto"/>
            <w:bottom w:val="none" w:sz="0" w:space="0" w:color="auto"/>
            <w:right w:val="none" w:sz="0" w:space="0" w:color="auto"/>
          </w:divBdr>
        </w:div>
        <w:div w:id="1086458566">
          <w:marLeft w:val="0"/>
          <w:marRight w:val="0"/>
          <w:marTop w:val="0"/>
          <w:marBottom w:val="0"/>
          <w:divBdr>
            <w:top w:val="none" w:sz="0" w:space="0" w:color="auto"/>
            <w:left w:val="none" w:sz="0" w:space="0" w:color="auto"/>
            <w:bottom w:val="none" w:sz="0" w:space="0" w:color="auto"/>
            <w:right w:val="none" w:sz="0" w:space="0" w:color="auto"/>
          </w:divBdr>
        </w:div>
        <w:div w:id="1665281626">
          <w:marLeft w:val="0"/>
          <w:marRight w:val="0"/>
          <w:marTop w:val="0"/>
          <w:marBottom w:val="0"/>
          <w:divBdr>
            <w:top w:val="none" w:sz="0" w:space="0" w:color="auto"/>
            <w:left w:val="none" w:sz="0" w:space="0" w:color="auto"/>
            <w:bottom w:val="none" w:sz="0" w:space="0" w:color="auto"/>
            <w:right w:val="none" w:sz="0" w:space="0" w:color="auto"/>
          </w:divBdr>
        </w:div>
        <w:div w:id="1247618789">
          <w:marLeft w:val="0"/>
          <w:marRight w:val="0"/>
          <w:marTop w:val="0"/>
          <w:marBottom w:val="0"/>
          <w:divBdr>
            <w:top w:val="none" w:sz="0" w:space="0" w:color="auto"/>
            <w:left w:val="none" w:sz="0" w:space="0" w:color="auto"/>
            <w:bottom w:val="none" w:sz="0" w:space="0" w:color="auto"/>
            <w:right w:val="none" w:sz="0" w:space="0" w:color="auto"/>
          </w:divBdr>
        </w:div>
        <w:div w:id="792216303">
          <w:marLeft w:val="0"/>
          <w:marRight w:val="0"/>
          <w:marTop w:val="0"/>
          <w:marBottom w:val="0"/>
          <w:divBdr>
            <w:top w:val="none" w:sz="0" w:space="0" w:color="auto"/>
            <w:left w:val="none" w:sz="0" w:space="0" w:color="auto"/>
            <w:bottom w:val="none" w:sz="0" w:space="0" w:color="auto"/>
            <w:right w:val="none" w:sz="0" w:space="0" w:color="auto"/>
          </w:divBdr>
        </w:div>
      </w:divsChild>
    </w:div>
    <w:div w:id="278033688">
      <w:marLeft w:val="0"/>
      <w:marRight w:val="0"/>
      <w:marTop w:val="0"/>
      <w:marBottom w:val="180"/>
      <w:divBdr>
        <w:top w:val="none" w:sz="0" w:space="0" w:color="auto"/>
        <w:left w:val="none" w:sz="0" w:space="0" w:color="auto"/>
        <w:bottom w:val="none" w:sz="0" w:space="0" w:color="auto"/>
        <w:right w:val="none" w:sz="0" w:space="0" w:color="auto"/>
      </w:divBdr>
    </w:div>
    <w:div w:id="278489332">
      <w:marLeft w:val="0"/>
      <w:marRight w:val="0"/>
      <w:marTop w:val="0"/>
      <w:marBottom w:val="0"/>
      <w:divBdr>
        <w:top w:val="none" w:sz="0" w:space="0" w:color="auto"/>
        <w:left w:val="none" w:sz="0" w:space="0" w:color="auto"/>
        <w:bottom w:val="none" w:sz="0" w:space="0" w:color="auto"/>
        <w:right w:val="none" w:sz="0" w:space="0" w:color="auto"/>
      </w:divBdr>
      <w:divsChild>
        <w:div w:id="116920632">
          <w:marLeft w:val="0"/>
          <w:marRight w:val="0"/>
          <w:marTop w:val="0"/>
          <w:marBottom w:val="0"/>
          <w:divBdr>
            <w:top w:val="none" w:sz="0" w:space="0" w:color="auto"/>
            <w:left w:val="none" w:sz="0" w:space="0" w:color="auto"/>
            <w:bottom w:val="none" w:sz="0" w:space="0" w:color="auto"/>
            <w:right w:val="none" w:sz="0" w:space="0" w:color="auto"/>
          </w:divBdr>
        </w:div>
      </w:divsChild>
    </w:div>
    <w:div w:id="281155282">
      <w:marLeft w:val="0"/>
      <w:marRight w:val="0"/>
      <w:marTop w:val="120"/>
      <w:marBottom w:val="120"/>
      <w:divBdr>
        <w:top w:val="none" w:sz="0" w:space="0" w:color="auto"/>
        <w:left w:val="none" w:sz="0" w:space="0" w:color="auto"/>
        <w:bottom w:val="none" w:sz="0" w:space="0" w:color="auto"/>
        <w:right w:val="none" w:sz="0" w:space="0" w:color="auto"/>
      </w:divBdr>
    </w:div>
    <w:div w:id="282806004">
      <w:marLeft w:val="0"/>
      <w:marRight w:val="0"/>
      <w:marTop w:val="0"/>
      <w:marBottom w:val="180"/>
      <w:divBdr>
        <w:top w:val="none" w:sz="0" w:space="0" w:color="auto"/>
        <w:left w:val="none" w:sz="0" w:space="0" w:color="auto"/>
        <w:bottom w:val="none" w:sz="0" w:space="0" w:color="auto"/>
        <w:right w:val="none" w:sz="0" w:space="0" w:color="auto"/>
      </w:divBdr>
    </w:div>
    <w:div w:id="284242409">
      <w:marLeft w:val="0"/>
      <w:marRight w:val="0"/>
      <w:marTop w:val="100"/>
      <w:marBottom w:val="0"/>
      <w:divBdr>
        <w:top w:val="none" w:sz="0" w:space="0" w:color="auto"/>
        <w:left w:val="none" w:sz="0" w:space="0" w:color="auto"/>
        <w:bottom w:val="none" w:sz="0" w:space="0" w:color="auto"/>
        <w:right w:val="none" w:sz="0" w:space="0" w:color="auto"/>
      </w:divBdr>
      <w:divsChild>
        <w:div w:id="1633706544">
          <w:marLeft w:val="0"/>
          <w:marRight w:val="0"/>
          <w:marTop w:val="0"/>
          <w:marBottom w:val="0"/>
          <w:divBdr>
            <w:top w:val="none" w:sz="0" w:space="0" w:color="auto"/>
            <w:left w:val="none" w:sz="0" w:space="0" w:color="auto"/>
            <w:bottom w:val="none" w:sz="0" w:space="0" w:color="auto"/>
            <w:right w:val="none" w:sz="0" w:space="0" w:color="auto"/>
          </w:divBdr>
        </w:div>
      </w:divsChild>
    </w:div>
    <w:div w:id="285042068">
      <w:marLeft w:val="0"/>
      <w:marRight w:val="0"/>
      <w:marTop w:val="0"/>
      <w:marBottom w:val="180"/>
      <w:divBdr>
        <w:top w:val="none" w:sz="0" w:space="0" w:color="auto"/>
        <w:left w:val="none" w:sz="0" w:space="0" w:color="auto"/>
        <w:bottom w:val="none" w:sz="0" w:space="0" w:color="auto"/>
        <w:right w:val="none" w:sz="0" w:space="0" w:color="auto"/>
      </w:divBdr>
    </w:div>
    <w:div w:id="291712134">
      <w:marLeft w:val="0"/>
      <w:marRight w:val="0"/>
      <w:marTop w:val="0"/>
      <w:marBottom w:val="0"/>
      <w:divBdr>
        <w:top w:val="none" w:sz="0" w:space="0" w:color="auto"/>
        <w:left w:val="none" w:sz="0" w:space="0" w:color="auto"/>
        <w:bottom w:val="none" w:sz="0" w:space="0" w:color="auto"/>
        <w:right w:val="none" w:sz="0" w:space="0" w:color="auto"/>
      </w:divBdr>
    </w:div>
    <w:div w:id="292445155">
      <w:marLeft w:val="0"/>
      <w:marRight w:val="0"/>
      <w:marTop w:val="0"/>
      <w:marBottom w:val="0"/>
      <w:divBdr>
        <w:top w:val="none" w:sz="0" w:space="0" w:color="auto"/>
        <w:left w:val="none" w:sz="0" w:space="0" w:color="auto"/>
        <w:bottom w:val="none" w:sz="0" w:space="0" w:color="auto"/>
        <w:right w:val="none" w:sz="0" w:space="0" w:color="auto"/>
      </w:divBdr>
    </w:div>
    <w:div w:id="292519526">
      <w:marLeft w:val="0"/>
      <w:marRight w:val="0"/>
      <w:marTop w:val="0"/>
      <w:marBottom w:val="180"/>
      <w:divBdr>
        <w:top w:val="none" w:sz="0" w:space="0" w:color="auto"/>
        <w:left w:val="none" w:sz="0" w:space="0" w:color="auto"/>
        <w:bottom w:val="none" w:sz="0" w:space="0" w:color="auto"/>
        <w:right w:val="none" w:sz="0" w:space="0" w:color="auto"/>
      </w:divBdr>
    </w:div>
    <w:div w:id="292562521">
      <w:marLeft w:val="0"/>
      <w:marRight w:val="0"/>
      <w:marTop w:val="120"/>
      <w:marBottom w:val="120"/>
      <w:divBdr>
        <w:top w:val="none" w:sz="0" w:space="0" w:color="auto"/>
        <w:left w:val="none" w:sz="0" w:space="0" w:color="auto"/>
        <w:bottom w:val="none" w:sz="0" w:space="0" w:color="auto"/>
        <w:right w:val="none" w:sz="0" w:space="0" w:color="auto"/>
      </w:divBdr>
    </w:div>
    <w:div w:id="294412842">
      <w:marLeft w:val="0"/>
      <w:marRight w:val="0"/>
      <w:marTop w:val="0"/>
      <w:marBottom w:val="0"/>
      <w:divBdr>
        <w:top w:val="none" w:sz="0" w:space="0" w:color="auto"/>
        <w:left w:val="none" w:sz="0" w:space="0" w:color="auto"/>
        <w:bottom w:val="none" w:sz="0" w:space="0" w:color="auto"/>
        <w:right w:val="none" w:sz="0" w:space="0" w:color="auto"/>
      </w:divBdr>
      <w:divsChild>
        <w:div w:id="478424341">
          <w:marLeft w:val="0"/>
          <w:marRight w:val="0"/>
          <w:marTop w:val="0"/>
          <w:marBottom w:val="0"/>
          <w:divBdr>
            <w:top w:val="none" w:sz="0" w:space="0" w:color="auto"/>
            <w:left w:val="none" w:sz="0" w:space="0" w:color="auto"/>
            <w:bottom w:val="none" w:sz="0" w:space="0" w:color="auto"/>
            <w:right w:val="none" w:sz="0" w:space="0" w:color="auto"/>
          </w:divBdr>
        </w:div>
      </w:divsChild>
    </w:div>
    <w:div w:id="294413121">
      <w:marLeft w:val="0"/>
      <w:marRight w:val="0"/>
      <w:marTop w:val="180"/>
      <w:marBottom w:val="180"/>
      <w:divBdr>
        <w:top w:val="none" w:sz="0" w:space="0" w:color="auto"/>
        <w:left w:val="none" w:sz="0" w:space="0" w:color="auto"/>
        <w:bottom w:val="none" w:sz="0" w:space="0" w:color="auto"/>
        <w:right w:val="none" w:sz="0" w:space="0" w:color="auto"/>
      </w:divBdr>
    </w:div>
    <w:div w:id="296105326">
      <w:marLeft w:val="0"/>
      <w:marRight w:val="0"/>
      <w:marTop w:val="0"/>
      <w:marBottom w:val="0"/>
      <w:divBdr>
        <w:top w:val="none" w:sz="0" w:space="0" w:color="auto"/>
        <w:left w:val="none" w:sz="0" w:space="0" w:color="auto"/>
        <w:bottom w:val="none" w:sz="0" w:space="0" w:color="auto"/>
        <w:right w:val="none" w:sz="0" w:space="0" w:color="auto"/>
      </w:divBdr>
      <w:divsChild>
        <w:div w:id="149055302">
          <w:marLeft w:val="0"/>
          <w:marRight w:val="0"/>
          <w:marTop w:val="0"/>
          <w:marBottom w:val="0"/>
          <w:divBdr>
            <w:top w:val="none" w:sz="0" w:space="0" w:color="auto"/>
            <w:left w:val="none" w:sz="0" w:space="0" w:color="auto"/>
            <w:bottom w:val="none" w:sz="0" w:space="0" w:color="auto"/>
            <w:right w:val="none" w:sz="0" w:space="0" w:color="auto"/>
          </w:divBdr>
        </w:div>
      </w:divsChild>
    </w:div>
    <w:div w:id="296879163">
      <w:marLeft w:val="0"/>
      <w:marRight w:val="0"/>
      <w:marTop w:val="0"/>
      <w:marBottom w:val="0"/>
      <w:divBdr>
        <w:top w:val="none" w:sz="0" w:space="0" w:color="auto"/>
        <w:left w:val="none" w:sz="0" w:space="0" w:color="auto"/>
        <w:bottom w:val="none" w:sz="0" w:space="0" w:color="auto"/>
        <w:right w:val="none" w:sz="0" w:space="0" w:color="auto"/>
      </w:divBdr>
    </w:div>
    <w:div w:id="297494759">
      <w:marLeft w:val="0"/>
      <w:marRight w:val="0"/>
      <w:marTop w:val="100"/>
      <w:marBottom w:val="120"/>
      <w:divBdr>
        <w:top w:val="none" w:sz="0" w:space="0" w:color="auto"/>
        <w:left w:val="none" w:sz="0" w:space="0" w:color="auto"/>
        <w:bottom w:val="none" w:sz="0" w:space="0" w:color="auto"/>
        <w:right w:val="none" w:sz="0" w:space="0" w:color="auto"/>
      </w:divBdr>
    </w:div>
    <w:div w:id="300623405">
      <w:marLeft w:val="0"/>
      <w:marRight w:val="0"/>
      <w:marTop w:val="0"/>
      <w:marBottom w:val="240"/>
      <w:divBdr>
        <w:top w:val="none" w:sz="0" w:space="0" w:color="auto"/>
        <w:left w:val="none" w:sz="0" w:space="0" w:color="auto"/>
        <w:bottom w:val="none" w:sz="0" w:space="0" w:color="auto"/>
        <w:right w:val="none" w:sz="0" w:space="0" w:color="auto"/>
      </w:divBdr>
    </w:div>
    <w:div w:id="301422498">
      <w:marLeft w:val="0"/>
      <w:marRight w:val="0"/>
      <w:marTop w:val="0"/>
      <w:marBottom w:val="180"/>
      <w:divBdr>
        <w:top w:val="none" w:sz="0" w:space="0" w:color="auto"/>
        <w:left w:val="none" w:sz="0" w:space="0" w:color="auto"/>
        <w:bottom w:val="none" w:sz="0" w:space="0" w:color="auto"/>
        <w:right w:val="none" w:sz="0" w:space="0" w:color="auto"/>
      </w:divBdr>
    </w:div>
    <w:div w:id="302318963">
      <w:marLeft w:val="0"/>
      <w:marRight w:val="0"/>
      <w:marTop w:val="0"/>
      <w:marBottom w:val="240"/>
      <w:divBdr>
        <w:top w:val="none" w:sz="0" w:space="0" w:color="auto"/>
        <w:left w:val="none" w:sz="0" w:space="0" w:color="auto"/>
        <w:bottom w:val="none" w:sz="0" w:space="0" w:color="auto"/>
        <w:right w:val="none" w:sz="0" w:space="0" w:color="auto"/>
      </w:divBdr>
    </w:div>
    <w:div w:id="303051802">
      <w:marLeft w:val="0"/>
      <w:marRight w:val="0"/>
      <w:marTop w:val="180"/>
      <w:marBottom w:val="180"/>
      <w:divBdr>
        <w:top w:val="none" w:sz="0" w:space="0" w:color="auto"/>
        <w:left w:val="none" w:sz="0" w:space="0" w:color="auto"/>
        <w:bottom w:val="none" w:sz="0" w:space="0" w:color="auto"/>
        <w:right w:val="none" w:sz="0" w:space="0" w:color="auto"/>
      </w:divBdr>
    </w:div>
    <w:div w:id="303197151">
      <w:marLeft w:val="0"/>
      <w:marRight w:val="0"/>
      <w:marTop w:val="0"/>
      <w:marBottom w:val="0"/>
      <w:divBdr>
        <w:top w:val="none" w:sz="0" w:space="0" w:color="auto"/>
        <w:left w:val="none" w:sz="0" w:space="0" w:color="auto"/>
        <w:bottom w:val="none" w:sz="0" w:space="0" w:color="auto"/>
        <w:right w:val="none" w:sz="0" w:space="0" w:color="auto"/>
      </w:divBdr>
    </w:div>
    <w:div w:id="305209737">
      <w:marLeft w:val="0"/>
      <w:marRight w:val="0"/>
      <w:marTop w:val="180"/>
      <w:marBottom w:val="180"/>
      <w:divBdr>
        <w:top w:val="none" w:sz="0" w:space="0" w:color="auto"/>
        <w:left w:val="none" w:sz="0" w:space="0" w:color="auto"/>
        <w:bottom w:val="none" w:sz="0" w:space="0" w:color="auto"/>
        <w:right w:val="none" w:sz="0" w:space="0" w:color="auto"/>
      </w:divBdr>
    </w:div>
    <w:div w:id="307783828">
      <w:marLeft w:val="0"/>
      <w:marRight w:val="0"/>
      <w:marTop w:val="0"/>
      <w:marBottom w:val="0"/>
      <w:divBdr>
        <w:top w:val="none" w:sz="0" w:space="0" w:color="auto"/>
        <w:left w:val="none" w:sz="0" w:space="0" w:color="auto"/>
        <w:bottom w:val="none" w:sz="0" w:space="0" w:color="auto"/>
        <w:right w:val="none" w:sz="0" w:space="0" w:color="auto"/>
      </w:divBdr>
      <w:divsChild>
        <w:div w:id="207762720">
          <w:marLeft w:val="0"/>
          <w:marRight w:val="0"/>
          <w:marTop w:val="0"/>
          <w:marBottom w:val="0"/>
          <w:divBdr>
            <w:top w:val="none" w:sz="0" w:space="0" w:color="auto"/>
            <w:left w:val="none" w:sz="0" w:space="0" w:color="auto"/>
            <w:bottom w:val="none" w:sz="0" w:space="0" w:color="auto"/>
            <w:right w:val="none" w:sz="0" w:space="0" w:color="auto"/>
          </w:divBdr>
        </w:div>
      </w:divsChild>
    </w:div>
    <w:div w:id="311837454">
      <w:marLeft w:val="0"/>
      <w:marRight w:val="0"/>
      <w:marTop w:val="180"/>
      <w:marBottom w:val="180"/>
      <w:divBdr>
        <w:top w:val="none" w:sz="0" w:space="0" w:color="auto"/>
        <w:left w:val="none" w:sz="0" w:space="0" w:color="auto"/>
        <w:bottom w:val="none" w:sz="0" w:space="0" w:color="auto"/>
        <w:right w:val="none" w:sz="0" w:space="0" w:color="auto"/>
      </w:divBdr>
    </w:div>
    <w:div w:id="313336261">
      <w:marLeft w:val="0"/>
      <w:marRight w:val="0"/>
      <w:marTop w:val="0"/>
      <w:marBottom w:val="180"/>
      <w:divBdr>
        <w:top w:val="none" w:sz="0" w:space="0" w:color="auto"/>
        <w:left w:val="none" w:sz="0" w:space="0" w:color="auto"/>
        <w:bottom w:val="none" w:sz="0" w:space="0" w:color="auto"/>
        <w:right w:val="none" w:sz="0" w:space="0" w:color="auto"/>
      </w:divBdr>
    </w:div>
    <w:div w:id="315189248">
      <w:marLeft w:val="0"/>
      <w:marRight w:val="0"/>
      <w:marTop w:val="0"/>
      <w:marBottom w:val="0"/>
      <w:divBdr>
        <w:top w:val="none" w:sz="0" w:space="0" w:color="auto"/>
        <w:left w:val="none" w:sz="0" w:space="0" w:color="auto"/>
        <w:bottom w:val="none" w:sz="0" w:space="0" w:color="auto"/>
        <w:right w:val="none" w:sz="0" w:space="0" w:color="auto"/>
      </w:divBdr>
      <w:divsChild>
        <w:div w:id="292760002">
          <w:marLeft w:val="0"/>
          <w:marRight w:val="0"/>
          <w:marTop w:val="0"/>
          <w:marBottom w:val="0"/>
          <w:divBdr>
            <w:top w:val="none" w:sz="0" w:space="0" w:color="auto"/>
            <w:left w:val="none" w:sz="0" w:space="0" w:color="auto"/>
            <w:bottom w:val="none" w:sz="0" w:space="0" w:color="auto"/>
            <w:right w:val="none" w:sz="0" w:space="0" w:color="auto"/>
          </w:divBdr>
        </w:div>
      </w:divsChild>
    </w:div>
    <w:div w:id="317802747">
      <w:marLeft w:val="0"/>
      <w:marRight w:val="0"/>
      <w:marTop w:val="0"/>
      <w:marBottom w:val="0"/>
      <w:divBdr>
        <w:top w:val="none" w:sz="0" w:space="0" w:color="auto"/>
        <w:left w:val="none" w:sz="0" w:space="0" w:color="auto"/>
        <w:bottom w:val="none" w:sz="0" w:space="0" w:color="auto"/>
        <w:right w:val="none" w:sz="0" w:space="0" w:color="auto"/>
      </w:divBdr>
    </w:div>
    <w:div w:id="319701403">
      <w:marLeft w:val="0"/>
      <w:marRight w:val="0"/>
      <w:marTop w:val="100"/>
      <w:marBottom w:val="0"/>
      <w:divBdr>
        <w:top w:val="none" w:sz="0" w:space="0" w:color="auto"/>
        <w:left w:val="none" w:sz="0" w:space="0" w:color="auto"/>
        <w:bottom w:val="none" w:sz="0" w:space="0" w:color="auto"/>
        <w:right w:val="none" w:sz="0" w:space="0" w:color="auto"/>
      </w:divBdr>
    </w:div>
    <w:div w:id="321474385">
      <w:marLeft w:val="0"/>
      <w:marRight w:val="0"/>
      <w:marTop w:val="0"/>
      <w:marBottom w:val="180"/>
      <w:divBdr>
        <w:top w:val="none" w:sz="0" w:space="0" w:color="auto"/>
        <w:left w:val="none" w:sz="0" w:space="0" w:color="auto"/>
        <w:bottom w:val="none" w:sz="0" w:space="0" w:color="auto"/>
        <w:right w:val="none" w:sz="0" w:space="0" w:color="auto"/>
      </w:divBdr>
    </w:div>
    <w:div w:id="324406304">
      <w:marLeft w:val="0"/>
      <w:marRight w:val="0"/>
      <w:marTop w:val="0"/>
      <w:marBottom w:val="240"/>
      <w:divBdr>
        <w:top w:val="none" w:sz="0" w:space="0" w:color="auto"/>
        <w:left w:val="none" w:sz="0" w:space="0" w:color="auto"/>
        <w:bottom w:val="none" w:sz="0" w:space="0" w:color="auto"/>
        <w:right w:val="none" w:sz="0" w:space="0" w:color="auto"/>
      </w:divBdr>
    </w:div>
    <w:div w:id="325287548">
      <w:marLeft w:val="0"/>
      <w:marRight w:val="0"/>
      <w:marTop w:val="0"/>
      <w:marBottom w:val="240"/>
      <w:divBdr>
        <w:top w:val="none" w:sz="0" w:space="0" w:color="auto"/>
        <w:left w:val="none" w:sz="0" w:space="0" w:color="auto"/>
        <w:bottom w:val="none" w:sz="0" w:space="0" w:color="auto"/>
        <w:right w:val="none" w:sz="0" w:space="0" w:color="auto"/>
      </w:divBdr>
    </w:div>
    <w:div w:id="326130195">
      <w:marLeft w:val="0"/>
      <w:marRight w:val="0"/>
      <w:marTop w:val="0"/>
      <w:marBottom w:val="0"/>
      <w:divBdr>
        <w:top w:val="none" w:sz="0" w:space="0" w:color="auto"/>
        <w:left w:val="none" w:sz="0" w:space="0" w:color="auto"/>
        <w:bottom w:val="none" w:sz="0" w:space="0" w:color="auto"/>
        <w:right w:val="none" w:sz="0" w:space="0" w:color="auto"/>
      </w:divBdr>
    </w:div>
    <w:div w:id="328481221">
      <w:marLeft w:val="0"/>
      <w:marRight w:val="0"/>
      <w:marTop w:val="120"/>
      <w:marBottom w:val="120"/>
      <w:divBdr>
        <w:top w:val="none" w:sz="0" w:space="0" w:color="auto"/>
        <w:left w:val="none" w:sz="0" w:space="0" w:color="auto"/>
        <w:bottom w:val="none" w:sz="0" w:space="0" w:color="auto"/>
        <w:right w:val="none" w:sz="0" w:space="0" w:color="auto"/>
      </w:divBdr>
    </w:div>
    <w:div w:id="328599356">
      <w:marLeft w:val="0"/>
      <w:marRight w:val="0"/>
      <w:marTop w:val="180"/>
      <w:marBottom w:val="180"/>
      <w:divBdr>
        <w:top w:val="none" w:sz="0" w:space="0" w:color="auto"/>
        <w:left w:val="none" w:sz="0" w:space="0" w:color="auto"/>
        <w:bottom w:val="none" w:sz="0" w:space="0" w:color="auto"/>
        <w:right w:val="none" w:sz="0" w:space="0" w:color="auto"/>
      </w:divBdr>
    </w:div>
    <w:div w:id="328675263">
      <w:marLeft w:val="0"/>
      <w:marRight w:val="0"/>
      <w:marTop w:val="120"/>
      <w:marBottom w:val="120"/>
      <w:divBdr>
        <w:top w:val="none" w:sz="0" w:space="0" w:color="auto"/>
        <w:left w:val="none" w:sz="0" w:space="0" w:color="auto"/>
        <w:bottom w:val="none" w:sz="0" w:space="0" w:color="auto"/>
        <w:right w:val="none" w:sz="0" w:space="0" w:color="auto"/>
      </w:divBdr>
    </w:div>
    <w:div w:id="330304769">
      <w:marLeft w:val="0"/>
      <w:marRight w:val="0"/>
      <w:marTop w:val="0"/>
      <w:marBottom w:val="0"/>
      <w:divBdr>
        <w:top w:val="none" w:sz="0" w:space="0" w:color="auto"/>
        <w:left w:val="none" w:sz="0" w:space="0" w:color="auto"/>
        <w:bottom w:val="none" w:sz="0" w:space="0" w:color="auto"/>
        <w:right w:val="none" w:sz="0" w:space="0" w:color="auto"/>
      </w:divBdr>
      <w:divsChild>
        <w:div w:id="186336588">
          <w:marLeft w:val="0"/>
          <w:marRight w:val="0"/>
          <w:marTop w:val="0"/>
          <w:marBottom w:val="0"/>
          <w:divBdr>
            <w:top w:val="none" w:sz="0" w:space="0" w:color="auto"/>
            <w:left w:val="none" w:sz="0" w:space="0" w:color="auto"/>
            <w:bottom w:val="none" w:sz="0" w:space="0" w:color="auto"/>
            <w:right w:val="none" w:sz="0" w:space="0" w:color="auto"/>
          </w:divBdr>
        </w:div>
      </w:divsChild>
    </w:div>
    <w:div w:id="331758511">
      <w:marLeft w:val="0"/>
      <w:marRight w:val="0"/>
      <w:marTop w:val="0"/>
      <w:marBottom w:val="0"/>
      <w:divBdr>
        <w:top w:val="none" w:sz="0" w:space="0" w:color="auto"/>
        <w:left w:val="none" w:sz="0" w:space="0" w:color="auto"/>
        <w:bottom w:val="none" w:sz="0" w:space="0" w:color="auto"/>
        <w:right w:val="none" w:sz="0" w:space="0" w:color="auto"/>
      </w:divBdr>
      <w:divsChild>
        <w:div w:id="1604147994">
          <w:marLeft w:val="0"/>
          <w:marRight w:val="0"/>
          <w:marTop w:val="0"/>
          <w:marBottom w:val="0"/>
          <w:divBdr>
            <w:top w:val="none" w:sz="0" w:space="0" w:color="auto"/>
            <w:left w:val="none" w:sz="0" w:space="0" w:color="auto"/>
            <w:bottom w:val="none" w:sz="0" w:space="0" w:color="auto"/>
            <w:right w:val="none" w:sz="0" w:space="0" w:color="auto"/>
          </w:divBdr>
        </w:div>
      </w:divsChild>
    </w:div>
    <w:div w:id="331836415">
      <w:marLeft w:val="0"/>
      <w:marRight w:val="0"/>
      <w:marTop w:val="0"/>
      <w:marBottom w:val="180"/>
      <w:divBdr>
        <w:top w:val="none" w:sz="0" w:space="0" w:color="auto"/>
        <w:left w:val="none" w:sz="0" w:space="0" w:color="auto"/>
        <w:bottom w:val="none" w:sz="0" w:space="0" w:color="auto"/>
        <w:right w:val="none" w:sz="0" w:space="0" w:color="auto"/>
      </w:divBdr>
    </w:div>
    <w:div w:id="333260594">
      <w:marLeft w:val="0"/>
      <w:marRight w:val="0"/>
      <w:marTop w:val="0"/>
      <w:marBottom w:val="0"/>
      <w:divBdr>
        <w:top w:val="none" w:sz="0" w:space="0" w:color="auto"/>
        <w:left w:val="none" w:sz="0" w:space="0" w:color="auto"/>
        <w:bottom w:val="none" w:sz="0" w:space="0" w:color="auto"/>
        <w:right w:val="none" w:sz="0" w:space="0" w:color="auto"/>
      </w:divBdr>
    </w:div>
    <w:div w:id="334234348">
      <w:marLeft w:val="0"/>
      <w:marRight w:val="0"/>
      <w:marTop w:val="0"/>
      <w:marBottom w:val="180"/>
      <w:divBdr>
        <w:top w:val="none" w:sz="0" w:space="0" w:color="auto"/>
        <w:left w:val="none" w:sz="0" w:space="0" w:color="auto"/>
        <w:bottom w:val="none" w:sz="0" w:space="0" w:color="auto"/>
        <w:right w:val="none" w:sz="0" w:space="0" w:color="auto"/>
      </w:divBdr>
    </w:div>
    <w:div w:id="336271846">
      <w:marLeft w:val="0"/>
      <w:marRight w:val="0"/>
      <w:marTop w:val="180"/>
      <w:marBottom w:val="180"/>
      <w:divBdr>
        <w:top w:val="none" w:sz="0" w:space="0" w:color="auto"/>
        <w:left w:val="none" w:sz="0" w:space="0" w:color="auto"/>
        <w:bottom w:val="none" w:sz="0" w:space="0" w:color="auto"/>
        <w:right w:val="none" w:sz="0" w:space="0" w:color="auto"/>
      </w:divBdr>
    </w:div>
    <w:div w:id="338772280">
      <w:marLeft w:val="0"/>
      <w:marRight w:val="0"/>
      <w:marTop w:val="120"/>
      <w:marBottom w:val="120"/>
      <w:divBdr>
        <w:top w:val="none" w:sz="0" w:space="0" w:color="auto"/>
        <w:left w:val="none" w:sz="0" w:space="0" w:color="auto"/>
        <w:bottom w:val="none" w:sz="0" w:space="0" w:color="auto"/>
        <w:right w:val="none" w:sz="0" w:space="0" w:color="auto"/>
      </w:divBdr>
    </w:div>
    <w:div w:id="341474552">
      <w:marLeft w:val="0"/>
      <w:marRight w:val="0"/>
      <w:marTop w:val="0"/>
      <w:marBottom w:val="240"/>
      <w:divBdr>
        <w:top w:val="none" w:sz="0" w:space="0" w:color="auto"/>
        <w:left w:val="none" w:sz="0" w:space="0" w:color="auto"/>
        <w:bottom w:val="none" w:sz="0" w:space="0" w:color="auto"/>
        <w:right w:val="none" w:sz="0" w:space="0" w:color="auto"/>
      </w:divBdr>
    </w:div>
    <w:div w:id="342128434">
      <w:marLeft w:val="0"/>
      <w:marRight w:val="0"/>
      <w:marTop w:val="180"/>
      <w:marBottom w:val="180"/>
      <w:divBdr>
        <w:top w:val="none" w:sz="0" w:space="0" w:color="auto"/>
        <w:left w:val="none" w:sz="0" w:space="0" w:color="auto"/>
        <w:bottom w:val="none" w:sz="0" w:space="0" w:color="auto"/>
        <w:right w:val="none" w:sz="0" w:space="0" w:color="auto"/>
      </w:divBdr>
    </w:div>
    <w:div w:id="344476484">
      <w:marLeft w:val="0"/>
      <w:marRight w:val="0"/>
      <w:marTop w:val="0"/>
      <w:marBottom w:val="0"/>
      <w:divBdr>
        <w:top w:val="none" w:sz="0" w:space="0" w:color="auto"/>
        <w:left w:val="none" w:sz="0" w:space="0" w:color="auto"/>
        <w:bottom w:val="none" w:sz="0" w:space="0" w:color="auto"/>
        <w:right w:val="none" w:sz="0" w:space="0" w:color="auto"/>
      </w:divBdr>
      <w:divsChild>
        <w:div w:id="1273512842">
          <w:marLeft w:val="0"/>
          <w:marRight w:val="0"/>
          <w:marTop w:val="0"/>
          <w:marBottom w:val="0"/>
          <w:divBdr>
            <w:top w:val="none" w:sz="0" w:space="0" w:color="auto"/>
            <w:left w:val="none" w:sz="0" w:space="0" w:color="auto"/>
            <w:bottom w:val="none" w:sz="0" w:space="0" w:color="auto"/>
            <w:right w:val="none" w:sz="0" w:space="0" w:color="auto"/>
          </w:divBdr>
        </w:div>
      </w:divsChild>
    </w:div>
    <w:div w:id="345525629">
      <w:marLeft w:val="0"/>
      <w:marRight w:val="0"/>
      <w:marTop w:val="180"/>
      <w:marBottom w:val="180"/>
      <w:divBdr>
        <w:top w:val="none" w:sz="0" w:space="0" w:color="auto"/>
        <w:left w:val="none" w:sz="0" w:space="0" w:color="auto"/>
        <w:bottom w:val="none" w:sz="0" w:space="0" w:color="auto"/>
        <w:right w:val="none" w:sz="0" w:space="0" w:color="auto"/>
      </w:divBdr>
    </w:div>
    <w:div w:id="345909683">
      <w:marLeft w:val="0"/>
      <w:marRight w:val="0"/>
      <w:marTop w:val="120"/>
      <w:marBottom w:val="120"/>
      <w:divBdr>
        <w:top w:val="none" w:sz="0" w:space="0" w:color="auto"/>
        <w:left w:val="none" w:sz="0" w:space="0" w:color="auto"/>
        <w:bottom w:val="none" w:sz="0" w:space="0" w:color="auto"/>
        <w:right w:val="none" w:sz="0" w:space="0" w:color="auto"/>
      </w:divBdr>
    </w:div>
    <w:div w:id="347486041">
      <w:marLeft w:val="0"/>
      <w:marRight w:val="0"/>
      <w:marTop w:val="0"/>
      <w:marBottom w:val="240"/>
      <w:divBdr>
        <w:top w:val="none" w:sz="0" w:space="0" w:color="auto"/>
        <w:left w:val="none" w:sz="0" w:space="0" w:color="auto"/>
        <w:bottom w:val="none" w:sz="0" w:space="0" w:color="auto"/>
        <w:right w:val="none" w:sz="0" w:space="0" w:color="auto"/>
      </w:divBdr>
    </w:div>
    <w:div w:id="349642925">
      <w:marLeft w:val="0"/>
      <w:marRight w:val="0"/>
      <w:marTop w:val="100"/>
      <w:marBottom w:val="0"/>
      <w:divBdr>
        <w:top w:val="none" w:sz="0" w:space="0" w:color="auto"/>
        <w:left w:val="none" w:sz="0" w:space="0" w:color="auto"/>
        <w:bottom w:val="none" w:sz="0" w:space="0" w:color="auto"/>
        <w:right w:val="none" w:sz="0" w:space="0" w:color="auto"/>
      </w:divBdr>
      <w:divsChild>
        <w:div w:id="107283528">
          <w:marLeft w:val="0"/>
          <w:marRight w:val="0"/>
          <w:marTop w:val="0"/>
          <w:marBottom w:val="180"/>
          <w:divBdr>
            <w:top w:val="none" w:sz="0" w:space="0" w:color="auto"/>
            <w:left w:val="none" w:sz="0" w:space="0" w:color="auto"/>
            <w:bottom w:val="none" w:sz="0" w:space="0" w:color="auto"/>
            <w:right w:val="none" w:sz="0" w:space="0" w:color="auto"/>
          </w:divBdr>
        </w:div>
        <w:div w:id="1107655025">
          <w:marLeft w:val="0"/>
          <w:marRight w:val="0"/>
          <w:marTop w:val="0"/>
          <w:marBottom w:val="180"/>
          <w:divBdr>
            <w:top w:val="none" w:sz="0" w:space="0" w:color="auto"/>
            <w:left w:val="none" w:sz="0" w:space="0" w:color="auto"/>
            <w:bottom w:val="none" w:sz="0" w:space="0" w:color="auto"/>
            <w:right w:val="none" w:sz="0" w:space="0" w:color="auto"/>
          </w:divBdr>
        </w:div>
        <w:div w:id="49620665">
          <w:marLeft w:val="0"/>
          <w:marRight w:val="0"/>
          <w:marTop w:val="0"/>
          <w:marBottom w:val="180"/>
          <w:divBdr>
            <w:top w:val="none" w:sz="0" w:space="0" w:color="auto"/>
            <w:left w:val="none" w:sz="0" w:space="0" w:color="auto"/>
            <w:bottom w:val="none" w:sz="0" w:space="0" w:color="auto"/>
            <w:right w:val="none" w:sz="0" w:space="0" w:color="auto"/>
          </w:divBdr>
        </w:div>
        <w:div w:id="723211030">
          <w:marLeft w:val="0"/>
          <w:marRight w:val="0"/>
          <w:marTop w:val="0"/>
          <w:marBottom w:val="180"/>
          <w:divBdr>
            <w:top w:val="none" w:sz="0" w:space="0" w:color="auto"/>
            <w:left w:val="none" w:sz="0" w:space="0" w:color="auto"/>
            <w:bottom w:val="none" w:sz="0" w:space="0" w:color="auto"/>
            <w:right w:val="none" w:sz="0" w:space="0" w:color="auto"/>
          </w:divBdr>
        </w:div>
        <w:div w:id="141195658">
          <w:marLeft w:val="0"/>
          <w:marRight w:val="0"/>
          <w:marTop w:val="0"/>
          <w:marBottom w:val="180"/>
          <w:divBdr>
            <w:top w:val="none" w:sz="0" w:space="0" w:color="auto"/>
            <w:left w:val="none" w:sz="0" w:space="0" w:color="auto"/>
            <w:bottom w:val="none" w:sz="0" w:space="0" w:color="auto"/>
            <w:right w:val="none" w:sz="0" w:space="0" w:color="auto"/>
          </w:divBdr>
        </w:div>
      </w:divsChild>
    </w:div>
    <w:div w:id="350256206">
      <w:marLeft w:val="0"/>
      <w:marRight w:val="0"/>
      <w:marTop w:val="0"/>
      <w:marBottom w:val="0"/>
      <w:divBdr>
        <w:top w:val="none" w:sz="0" w:space="0" w:color="auto"/>
        <w:left w:val="none" w:sz="0" w:space="0" w:color="auto"/>
        <w:bottom w:val="none" w:sz="0" w:space="0" w:color="auto"/>
        <w:right w:val="none" w:sz="0" w:space="0" w:color="auto"/>
      </w:divBdr>
      <w:divsChild>
        <w:div w:id="1826698851">
          <w:marLeft w:val="0"/>
          <w:marRight w:val="0"/>
          <w:marTop w:val="0"/>
          <w:marBottom w:val="0"/>
          <w:divBdr>
            <w:top w:val="none" w:sz="0" w:space="0" w:color="auto"/>
            <w:left w:val="none" w:sz="0" w:space="0" w:color="auto"/>
            <w:bottom w:val="none" w:sz="0" w:space="0" w:color="auto"/>
            <w:right w:val="none" w:sz="0" w:space="0" w:color="auto"/>
          </w:divBdr>
        </w:div>
      </w:divsChild>
    </w:div>
    <w:div w:id="351608555">
      <w:marLeft w:val="0"/>
      <w:marRight w:val="0"/>
      <w:marTop w:val="0"/>
      <w:marBottom w:val="0"/>
      <w:divBdr>
        <w:top w:val="none" w:sz="0" w:space="0" w:color="auto"/>
        <w:left w:val="none" w:sz="0" w:space="0" w:color="auto"/>
        <w:bottom w:val="none" w:sz="0" w:space="0" w:color="auto"/>
        <w:right w:val="none" w:sz="0" w:space="0" w:color="auto"/>
      </w:divBdr>
    </w:div>
    <w:div w:id="352534310">
      <w:marLeft w:val="0"/>
      <w:marRight w:val="0"/>
      <w:marTop w:val="120"/>
      <w:marBottom w:val="120"/>
      <w:divBdr>
        <w:top w:val="none" w:sz="0" w:space="0" w:color="auto"/>
        <w:left w:val="none" w:sz="0" w:space="0" w:color="auto"/>
        <w:bottom w:val="none" w:sz="0" w:space="0" w:color="auto"/>
        <w:right w:val="none" w:sz="0" w:space="0" w:color="auto"/>
      </w:divBdr>
    </w:div>
    <w:div w:id="353112274">
      <w:marLeft w:val="0"/>
      <w:marRight w:val="0"/>
      <w:marTop w:val="0"/>
      <w:marBottom w:val="0"/>
      <w:divBdr>
        <w:top w:val="none" w:sz="0" w:space="0" w:color="auto"/>
        <w:left w:val="none" w:sz="0" w:space="0" w:color="auto"/>
        <w:bottom w:val="none" w:sz="0" w:space="0" w:color="auto"/>
        <w:right w:val="none" w:sz="0" w:space="0" w:color="auto"/>
      </w:divBdr>
      <w:divsChild>
        <w:div w:id="946738278">
          <w:marLeft w:val="0"/>
          <w:marRight w:val="0"/>
          <w:marTop w:val="0"/>
          <w:marBottom w:val="0"/>
          <w:divBdr>
            <w:top w:val="none" w:sz="0" w:space="0" w:color="auto"/>
            <w:left w:val="none" w:sz="0" w:space="0" w:color="auto"/>
            <w:bottom w:val="none" w:sz="0" w:space="0" w:color="auto"/>
            <w:right w:val="none" w:sz="0" w:space="0" w:color="auto"/>
          </w:divBdr>
        </w:div>
      </w:divsChild>
    </w:div>
    <w:div w:id="354160709">
      <w:marLeft w:val="0"/>
      <w:marRight w:val="0"/>
      <w:marTop w:val="180"/>
      <w:marBottom w:val="180"/>
      <w:divBdr>
        <w:top w:val="none" w:sz="0" w:space="0" w:color="auto"/>
        <w:left w:val="none" w:sz="0" w:space="0" w:color="auto"/>
        <w:bottom w:val="none" w:sz="0" w:space="0" w:color="auto"/>
        <w:right w:val="none" w:sz="0" w:space="0" w:color="auto"/>
      </w:divBdr>
    </w:div>
    <w:div w:id="354616709">
      <w:marLeft w:val="0"/>
      <w:marRight w:val="0"/>
      <w:marTop w:val="0"/>
      <w:marBottom w:val="0"/>
      <w:divBdr>
        <w:top w:val="none" w:sz="0" w:space="0" w:color="auto"/>
        <w:left w:val="none" w:sz="0" w:space="0" w:color="auto"/>
        <w:bottom w:val="none" w:sz="0" w:space="0" w:color="auto"/>
        <w:right w:val="none" w:sz="0" w:space="0" w:color="auto"/>
      </w:divBdr>
      <w:divsChild>
        <w:div w:id="1465612904">
          <w:marLeft w:val="0"/>
          <w:marRight w:val="0"/>
          <w:marTop w:val="0"/>
          <w:marBottom w:val="0"/>
          <w:divBdr>
            <w:top w:val="none" w:sz="0" w:space="0" w:color="auto"/>
            <w:left w:val="none" w:sz="0" w:space="0" w:color="auto"/>
            <w:bottom w:val="none" w:sz="0" w:space="0" w:color="auto"/>
            <w:right w:val="none" w:sz="0" w:space="0" w:color="auto"/>
          </w:divBdr>
        </w:div>
      </w:divsChild>
    </w:div>
    <w:div w:id="354772627">
      <w:marLeft w:val="0"/>
      <w:marRight w:val="0"/>
      <w:marTop w:val="0"/>
      <w:marBottom w:val="0"/>
      <w:divBdr>
        <w:top w:val="none" w:sz="0" w:space="0" w:color="auto"/>
        <w:left w:val="none" w:sz="0" w:space="0" w:color="auto"/>
        <w:bottom w:val="none" w:sz="0" w:space="0" w:color="auto"/>
        <w:right w:val="none" w:sz="0" w:space="0" w:color="auto"/>
      </w:divBdr>
    </w:div>
    <w:div w:id="354889904">
      <w:marLeft w:val="0"/>
      <w:marRight w:val="0"/>
      <w:marTop w:val="0"/>
      <w:marBottom w:val="0"/>
      <w:divBdr>
        <w:top w:val="none" w:sz="0" w:space="0" w:color="auto"/>
        <w:left w:val="none" w:sz="0" w:space="0" w:color="auto"/>
        <w:bottom w:val="none" w:sz="0" w:space="0" w:color="auto"/>
        <w:right w:val="none" w:sz="0" w:space="0" w:color="auto"/>
      </w:divBdr>
      <w:divsChild>
        <w:div w:id="1626698373">
          <w:marLeft w:val="0"/>
          <w:marRight w:val="0"/>
          <w:marTop w:val="0"/>
          <w:marBottom w:val="0"/>
          <w:divBdr>
            <w:top w:val="none" w:sz="0" w:space="0" w:color="auto"/>
            <w:left w:val="none" w:sz="0" w:space="0" w:color="auto"/>
            <w:bottom w:val="none" w:sz="0" w:space="0" w:color="auto"/>
            <w:right w:val="none" w:sz="0" w:space="0" w:color="auto"/>
          </w:divBdr>
        </w:div>
      </w:divsChild>
    </w:div>
    <w:div w:id="355153515">
      <w:marLeft w:val="0"/>
      <w:marRight w:val="0"/>
      <w:marTop w:val="0"/>
      <w:marBottom w:val="240"/>
      <w:divBdr>
        <w:top w:val="none" w:sz="0" w:space="0" w:color="auto"/>
        <w:left w:val="none" w:sz="0" w:space="0" w:color="auto"/>
        <w:bottom w:val="none" w:sz="0" w:space="0" w:color="auto"/>
        <w:right w:val="none" w:sz="0" w:space="0" w:color="auto"/>
      </w:divBdr>
    </w:div>
    <w:div w:id="357509020">
      <w:marLeft w:val="0"/>
      <w:marRight w:val="0"/>
      <w:marTop w:val="0"/>
      <w:marBottom w:val="0"/>
      <w:divBdr>
        <w:top w:val="none" w:sz="0" w:space="0" w:color="auto"/>
        <w:left w:val="none" w:sz="0" w:space="0" w:color="auto"/>
        <w:bottom w:val="none" w:sz="0" w:space="0" w:color="auto"/>
        <w:right w:val="none" w:sz="0" w:space="0" w:color="auto"/>
      </w:divBdr>
    </w:div>
    <w:div w:id="359816268">
      <w:marLeft w:val="0"/>
      <w:marRight w:val="0"/>
      <w:marTop w:val="0"/>
      <w:marBottom w:val="0"/>
      <w:divBdr>
        <w:top w:val="none" w:sz="0" w:space="0" w:color="auto"/>
        <w:left w:val="none" w:sz="0" w:space="0" w:color="auto"/>
        <w:bottom w:val="none" w:sz="0" w:space="0" w:color="auto"/>
        <w:right w:val="none" w:sz="0" w:space="0" w:color="auto"/>
      </w:divBdr>
      <w:divsChild>
        <w:div w:id="643390291">
          <w:marLeft w:val="0"/>
          <w:marRight w:val="0"/>
          <w:marTop w:val="0"/>
          <w:marBottom w:val="0"/>
          <w:divBdr>
            <w:top w:val="none" w:sz="0" w:space="0" w:color="auto"/>
            <w:left w:val="none" w:sz="0" w:space="0" w:color="auto"/>
            <w:bottom w:val="none" w:sz="0" w:space="0" w:color="auto"/>
            <w:right w:val="none" w:sz="0" w:space="0" w:color="auto"/>
          </w:divBdr>
        </w:div>
      </w:divsChild>
    </w:div>
    <w:div w:id="360210870">
      <w:marLeft w:val="0"/>
      <w:marRight w:val="0"/>
      <w:marTop w:val="120"/>
      <w:marBottom w:val="120"/>
      <w:divBdr>
        <w:top w:val="none" w:sz="0" w:space="0" w:color="auto"/>
        <w:left w:val="none" w:sz="0" w:space="0" w:color="auto"/>
        <w:bottom w:val="none" w:sz="0" w:space="0" w:color="auto"/>
        <w:right w:val="none" w:sz="0" w:space="0" w:color="auto"/>
      </w:divBdr>
    </w:div>
    <w:div w:id="360937000">
      <w:marLeft w:val="0"/>
      <w:marRight w:val="0"/>
      <w:marTop w:val="0"/>
      <w:marBottom w:val="0"/>
      <w:divBdr>
        <w:top w:val="none" w:sz="0" w:space="0" w:color="auto"/>
        <w:left w:val="none" w:sz="0" w:space="0" w:color="auto"/>
        <w:bottom w:val="none" w:sz="0" w:space="0" w:color="auto"/>
        <w:right w:val="none" w:sz="0" w:space="0" w:color="auto"/>
      </w:divBdr>
    </w:div>
    <w:div w:id="362678999">
      <w:marLeft w:val="0"/>
      <w:marRight w:val="0"/>
      <w:marTop w:val="0"/>
      <w:marBottom w:val="0"/>
      <w:divBdr>
        <w:top w:val="none" w:sz="0" w:space="0" w:color="auto"/>
        <w:left w:val="none" w:sz="0" w:space="0" w:color="auto"/>
        <w:bottom w:val="none" w:sz="0" w:space="0" w:color="auto"/>
        <w:right w:val="none" w:sz="0" w:space="0" w:color="auto"/>
      </w:divBdr>
      <w:divsChild>
        <w:div w:id="1931231424">
          <w:marLeft w:val="0"/>
          <w:marRight w:val="0"/>
          <w:marTop w:val="0"/>
          <w:marBottom w:val="0"/>
          <w:divBdr>
            <w:top w:val="none" w:sz="0" w:space="0" w:color="auto"/>
            <w:left w:val="none" w:sz="0" w:space="0" w:color="auto"/>
            <w:bottom w:val="none" w:sz="0" w:space="0" w:color="auto"/>
            <w:right w:val="none" w:sz="0" w:space="0" w:color="auto"/>
          </w:divBdr>
        </w:div>
      </w:divsChild>
    </w:div>
    <w:div w:id="362681863">
      <w:marLeft w:val="0"/>
      <w:marRight w:val="0"/>
      <w:marTop w:val="100"/>
      <w:marBottom w:val="0"/>
      <w:divBdr>
        <w:top w:val="none" w:sz="0" w:space="0" w:color="auto"/>
        <w:left w:val="none" w:sz="0" w:space="0" w:color="auto"/>
        <w:bottom w:val="none" w:sz="0" w:space="0" w:color="auto"/>
        <w:right w:val="none" w:sz="0" w:space="0" w:color="auto"/>
      </w:divBdr>
    </w:div>
    <w:div w:id="363099700">
      <w:marLeft w:val="0"/>
      <w:marRight w:val="0"/>
      <w:marTop w:val="0"/>
      <w:marBottom w:val="0"/>
      <w:divBdr>
        <w:top w:val="none" w:sz="0" w:space="0" w:color="auto"/>
        <w:left w:val="none" w:sz="0" w:space="0" w:color="auto"/>
        <w:bottom w:val="none" w:sz="0" w:space="0" w:color="auto"/>
        <w:right w:val="none" w:sz="0" w:space="0" w:color="auto"/>
      </w:divBdr>
    </w:div>
    <w:div w:id="363140214">
      <w:marLeft w:val="0"/>
      <w:marRight w:val="0"/>
      <w:marTop w:val="0"/>
      <w:marBottom w:val="240"/>
      <w:divBdr>
        <w:top w:val="none" w:sz="0" w:space="0" w:color="auto"/>
        <w:left w:val="none" w:sz="0" w:space="0" w:color="auto"/>
        <w:bottom w:val="none" w:sz="0" w:space="0" w:color="auto"/>
        <w:right w:val="none" w:sz="0" w:space="0" w:color="auto"/>
      </w:divBdr>
    </w:div>
    <w:div w:id="363363719">
      <w:marLeft w:val="0"/>
      <w:marRight w:val="0"/>
      <w:marTop w:val="180"/>
      <w:marBottom w:val="180"/>
      <w:divBdr>
        <w:top w:val="none" w:sz="0" w:space="0" w:color="auto"/>
        <w:left w:val="none" w:sz="0" w:space="0" w:color="auto"/>
        <w:bottom w:val="none" w:sz="0" w:space="0" w:color="auto"/>
        <w:right w:val="none" w:sz="0" w:space="0" w:color="auto"/>
      </w:divBdr>
    </w:div>
    <w:div w:id="364064452">
      <w:marLeft w:val="0"/>
      <w:marRight w:val="0"/>
      <w:marTop w:val="120"/>
      <w:marBottom w:val="180"/>
      <w:divBdr>
        <w:top w:val="none" w:sz="0" w:space="0" w:color="auto"/>
        <w:left w:val="none" w:sz="0" w:space="0" w:color="auto"/>
        <w:bottom w:val="none" w:sz="0" w:space="0" w:color="auto"/>
        <w:right w:val="none" w:sz="0" w:space="0" w:color="auto"/>
      </w:divBdr>
    </w:div>
    <w:div w:id="365910049">
      <w:marLeft w:val="0"/>
      <w:marRight w:val="0"/>
      <w:marTop w:val="0"/>
      <w:marBottom w:val="0"/>
      <w:divBdr>
        <w:top w:val="none" w:sz="0" w:space="0" w:color="auto"/>
        <w:left w:val="none" w:sz="0" w:space="0" w:color="auto"/>
        <w:bottom w:val="none" w:sz="0" w:space="0" w:color="auto"/>
        <w:right w:val="none" w:sz="0" w:space="0" w:color="auto"/>
      </w:divBdr>
      <w:divsChild>
        <w:div w:id="1273709767">
          <w:marLeft w:val="0"/>
          <w:marRight w:val="0"/>
          <w:marTop w:val="0"/>
          <w:marBottom w:val="0"/>
          <w:divBdr>
            <w:top w:val="none" w:sz="0" w:space="0" w:color="auto"/>
            <w:left w:val="none" w:sz="0" w:space="0" w:color="auto"/>
            <w:bottom w:val="none" w:sz="0" w:space="0" w:color="auto"/>
            <w:right w:val="none" w:sz="0" w:space="0" w:color="auto"/>
          </w:divBdr>
        </w:div>
      </w:divsChild>
    </w:div>
    <w:div w:id="366687725">
      <w:marLeft w:val="0"/>
      <w:marRight w:val="0"/>
      <w:marTop w:val="0"/>
      <w:marBottom w:val="240"/>
      <w:divBdr>
        <w:top w:val="none" w:sz="0" w:space="0" w:color="auto"/>
        <w:left w:val="none" w:sz="0" w:space="0" w:color="auto"/>
        <w:bottom w:val="none" w:sz="0" w:space="0" w:color="auto"/>
        <w:right w:val="none" w:sz="0" w:space="0" w:color="auto"/>
      </w:divBdr>
    </w:div>
    <w:div w:id="368074258">
      <w:marLeft w:val="0"/>
      <w:marRight w:val="0"/>
      <w:marTop w:val="0"/>
      <w:marBottom w:val="0"/>
      <w:divBdr>
        <w:top w:val="none" w:sz="0" w:space="0" w:color="auto"/>
        <w:left w:val="none" w:sz="0" w:space="0" w:color="auto"/>
        <w:bottom w:val="none" w:sz="0" w:space="0" w:color="auto"/>
        <w:right w:val="none" w:sz="0" w:space="0" w:color="auto"/>
      </w:divBdr>
    </w:div>
    <w:div w:id="368384515">
      <w:marLeft w:val="0"/>
      <w:marRight w:val="0"/>
      <w:marTop w:val="0"/>
      <w:marBottom w:val="0"/>
      <w:divBdr>
        <w:top w:val="none" w:sz="0" w:space="0" w:color="auto"/>
        <w:left w:val="none" w:sz="0" w:space="0" w:color="auto"/>
        <w:bottom w:val="none" w:sz="0" w:space="0" w:color="auto"/>
        <w:right w:val="none" w:sz="0" w:space="0" w:color="auto"/>
      </w:divBdr>
      <w:divsChild>
        <w:div w:id="126775298">
          <w:marLeft w:val="0"/>
          <w:marRight w:val="0"/>
          <w:marTop w:val="0"/>
          <w:marBottom w:val="0"/>
          <w:divBdr>
            <w:top w:val="none" w:sz="0" w:space="0" w:color="auto"/>
            <w:left w:val="none" w:sz="0" w:space="0" w:color="auto"/>
            <w:bottom w:val="none" w:sz="0" w:space="0" w:color="auto"/>
            <w:right w:val="none" w:sz="0" w:space="0" w:color="auto"/>
          </w:divBdr>
        </w:div>
      </w:divsChild>
    </w:div>
    <w:div w:id="369233712">
      <w:marLeft w:val="0"/>
      <w:marRight w:val="0"/>
      <w:marTop w:val="120"/>
      <w:marBottom w:val="120"/>
      <w:divBdr>
        <w:top w:val="none" w:sz="0" w:space="0" w:color="auto"/>
        <w:left w:val="none" w:sz="0" w:space="0" w:color="auto"/>
        <w:bottom w:val="none" w:sz="0" w:space="0" w:color="auto"/>
        <w:right w:val="none" w:sz="0" w:space="0" w:color="auto"/>
      </w:divBdr>
    </w:div>
    <w:div w:id="369769303">
      <w:marLeft w:val="0"/>
      <w:marRight w:val="0"/>
      <w:marTop w:val="0"/>
      <w:marBottom w:val="0"/>
      <w:divBdr>
        <w:top w:val="none" w:sz="0" w:space="0" w:color="auto"/>
        <w:left w:val="none" w:sz="0" w:space="0" w:color="auto"/>
        <w:bottom w:val="none" w:sz="0" w:space="0" w:color="auto"/>
        <w:right w:val="none" w:sz="0" w:space="0" w:color="auto"/>
      </w:divBdr>
      <w:divsChild>
        <w:div w:id="1639650796">
          <w:marLeft w:val="0"/>
          <w:marRight w:val="0"/>
          <w:marTop w:val="0"/>
          <w:marBottom w:val="0"/>
          <w:divBdr>
            <w:top w:val="none" w:sz="0" w:space="0" w:color="auto"/>
            <w:left w:val="none" w:sz="0" w:space="0" w:color="auto"/>
            <w:bottom w:val="none" w:sz="0" w:space="0" w:color="auto"/>
            <w:right w:val="none" w:sz="0" w:space="0" w:color="auto"/>
          </w:divBdr>
        </w:div>
      </w:divsChild>
    </w:div>
    <w:div w:id="371157809">
      <w:marLeft w:val="0"/>
      <w:marRight w:val="0"/>
      <w:marTop w:val="120"/>
      <w:marBottom w:val="120"/>
      <w:divBdr>
        <w:top w:val="none" w:sz="0" w:space="0" w:color="auto"/>
        <w:left w:val="none" w:sz="0" w:space="0" w:color="auto"/>
        <w:bottom w:val="none" w:sz="0" w:space="0" w:color="auto"/>
        <w:right w:val="none" w:sz="0" w:space="0" w:color="auto"/>
      </w:divBdr>
    </w:div>
    <w:div w:id="371226322">
      <w:marLeft w:val="0"/>
      <w:marRight w:val="0"/>
      <w:marTop w:val="180"/>
      <w:marBottom w:val="180"/>
      <w:divBdr>
        <w:top w:val="none" w:sz="0" w:space="0" w:color="auto"/>
        <w:left w:val="none" w:sz="0" w:space="0" w:color="auto"/>
        <w:bottom w:val="none" w:sz="0" w:space="0" w:color="auto"/>
        <w:right w:val="none" w:sz="0" w:space="0" w:color="auto"/>
      </w:divBdr>
    </w:div>
    <w:div w:id="374500511">
      <w:marLeft w:val="0"/>
      <w:marRight w:val="0"/>
      <w:marTop w:val="100"/>
      <w:marBottom w:val="0"/>
      <w:divBdr>
        <w:top w:val="none" w:sz="0" w:space="0" w:color="auto"/>
        <w:left w:val="none" w:sz="0" w:space="0" w:color="auto"/>
        <w:bottom w:val="none" w:sz="0" w:space="0" w:color="auto"/>
        <w:right w:val="none" w:sz="0" w:space="0" w:color="auto"/>
      </w:divBdr>
      <w:divsChild>
        <w:div w:id="791478452">
          <w:marLeft w:val="0"/>
          <w:marRight w:val="0"/>
          <w:marTop w:val="0"/>
          <w:marBottom w:val="0"/>
          <w:divBdr>
            <w:top w:val="none" w:sz="0" w:space="0" w:color="auto"/>
            <w:left w:val="none" w:sz="0" w:space="0" w:color="auto"/>
            <w:bottom w:val="none" w:sz="0" w:space="0" w:color="auto"/>
            <w:right w:val="none" w:sz="0" w:space="0" w:color="auto"/>
          </w:divBdr>
        </w:div>
        <w:div w:id="1869098065">
          <w:marLeft w:val="0"/>
          <w:marRight w:val="0"/>
          <w:marTop w:val="0"/>
          <w:marBottom w:val="0"/>
          <w:divBdr>
            <w:top w:val="none" w:sz="0" w:space="0" w:color="auto"/>
            <w:left w:val="none" w:sz="0" w:space="0" w:color="auto"/>
            <w:bottom w:val="none" w:sz="0" w:space="0" w:color="auto"/>
            <w:right w:val="none" w:sz="0" w:space="0" w:color="auto"/>
          </w:divBdr>
        </w:div>
      </w:divsChild>
    </w:div>
    <w:div w:id="376320386">
      <w:marLeft w:val="0"/>
      <w:marRight w:val="0"/>
      <w:marTop w:val="180"/>
      <w:marBottom w:val="180"/>
      <w:divBdr>
        <w:top w:val="none" w:sz="0" w:space="0" w:color="auto"/>
        <w:left w:val="none" w:sz="0" w:space="0" w:color="auto"/>
        <w:bottom w:val="none" w:sz="0" w:space="0" w:color="auto"/>
        <w:right w:val="none" w:sz="0" w:space="0" w:color="auto"/>
      </w:divBdr>
    </w:div>
    <w:div w:id="378673627">
      <w:marLeft w:val="0"/>
      <w:marRight w:val="0"/>
      <w:marTop w:val="180"/>
      <w:marBottom w:val="180"/>
      <w:divBdr>
        <w:top w:val="none" w:sz="0" w:space="0" w:color="auto"/>
        <w:left w:val="none" w:sz="0" w:space="0" w:color="auto"/>
        <w:bottom w:val="none" w:sz="0" w:space="0" w:color="auto"/>
        <w:right w:val="none" w:sz="0" w:space="0" w:color="auto"/>
      </w:divBdr>
    </w:div>
    <w:div w:id="382946286">
      <w:marLeft w:val="0"/>
      <w:marRight w:val="0"/>
      <w:marTop w:val="180"/>
      <w:marBottom w:val="180"/>
      <w:divBdr>
        <w:top w:val="none" w:sz="0" w:space="0" w:color="auto"/>
        <w:left w:val="none" w:sz="0" w:space="0" w:color="auto"/>
        <w:bottom w:val="none" w:sz="0" w:space="0" w:color="auto"/>
        <w:right w:val="none" w:sz="0" w:space="0" w:color="auto"/>
      </w:divBdr>
    </w:div>
    <w:div w:id="383220645">
      <w:marLeft w:val="0"/>
      <w:marRight w:val="0"/>
      <w:marTop w:val="0"/>
      <w:marBottom w:val="0"/>
      <w:divBdr>
        <w:top w:val="none" w:sz="0" w:space="0" w:color="auto"/>
        <w:left w:val="none" w:sz="0" w:space="0" w:color="auto"/>
        <w:bottom w:val="none" w:sz="0" w:space="0" w:color="auto"/>
        <w:right w:val="none" w:sz="0" w:space="0" w:color="auto"/>
      </w:divBdr>
    </w:div>
    <w:div w:id="384765672">
      <w:marLeft w:val="0"/>
      <w:marRight w:val="0"/>
      <w:marTop w:val="180"/>
      <w:marBottom w:val="180"/>
      <w:divBdr>
        <w:top w:val="none" w:sz="0" w:space="0" w:color="auto"/>
        <w:left w:val="none" w:sz="0" w:space="0" w:color="auto"/>
        <w:bottom w:val="none" w:sz="0" w:space="0" w:color="auto"/>
        <w:right w:val="none" w:sz="0" w:space="0" w:color="auto"/>
      </w:divBdr>
    </w:div>
    <w:div w:id="384986154">
      <w:marLeft w:val="0"/>
      <w:marRight w:val="0"/>
      <w:marTop w:val="0"/>
      <w:marBottom w:val="0"/>
      <w:divBdr>
        <w:top w:val="none" w:sz="0" w:space="0" w:color="auto"/>
        <w:left w:val="none" w:sz="0" w:space="0" w:color="auto"/>
        <w:bottom w:val="none" w:sz="0" w:space="0" w:color="auto"/>
        <w:right w:val="none" w:sz="0" w:space="0" w:color="auto"/>
      </w:divBdr>
    </w:div>
    <w:div w:id="385645283">
      <w:marLeft w:val="0"/>
      <w:marRight w:val="0"/>
      <w:marTop w:val="0"/>
      <w:marBottom w:val="240"/>
      <w:divBdr>
        <w:top w:val="none" w:sz="0" w:space="0" w:color="auto"/>
        <w:left w:val="none" w:sz="0" w:space="0" w:color="auto"/>
        <w:bottom w:val="none" w:sz="0" w:space="0" w:color="auto"/>
        <w:right w:val="none" w:sz="0" w:space="0" w:color="auto"/>
      </w:divBdr>
    </w:div>
    <w:div w:id="386687023">
      <w:marLeft w:val="0"/>
      <w:marRight w:val="0"/>
      <w:marTop w:val="0"/>
      <w:marBottom w:val="0"/>
      <w:divBdr>
        <w:top w:val="none" w:sz="0" w:space="0" w:color="auto"/>
        <w:left w:val="none" w:sz="0" w:space="0" w:color="auto"/>
        <w:bottom w:val="none" w:sz="0" w:space="0" w:color="auto"/>
        <w:right w:val="none" w:sz="0" w:space="0" w:color="auto"/>
      </w:divBdr>
      <w:divsChild>
        <w:div w:id="867991061">
          <w:marLeft w:val="0"/>
          <w:marRight w:val="0"/>
          <w:marTop w:val="0"/>
          <w:marBottom w:val="0"/>
          <w:divBdr>
            <w:top w:val="none" w:sz="0" w:space="0" w:color="auto"/>
            <w:left w:val="none" w:sz="0" w:space="0" w:color="auto"/>
            <w:bottom w:val="none" w:sz="0" w:space="0" w:color="auto"/>
            <w:right w:val="none" w:sz="0" w:space="0" w:color="auto"/>
          </w:divBdr>
        </w:div>
      </w:divsChild>
    </w:div>
    <w:div w:id="386687069">
      <w:marLeft w:val="0"/>
      <w:marRight w:val="0"/>
      <w:marTop w:val="180"/>
      <w:marBottom w:val="180"/>
      <w:divBdr>
        <w:top w:val="none" w:sz="0" w:space="0" w:color="auto"/>
        <w:left w:val="none" w:sz="0" w:space="0" w:color="auto"/>
        <w:bottom w:val="none" w:sz="0" w:space="0" w:color="auto"/>
        <w:right w:val="none" w:sz="0" w:space="0" w:color="auto"/>
      </w:divBdr>
    </w:div>
    <w:div w:id="388267799">
      <w:marLeft w:val="0"/>
      <w:marRight w:val="0"/>
      <w:marTop w:val="0"/>
      <w:marBottom w:val="0"/>
      <w:divBdr>
        <w:top w:val="none" w:sz="0" w:space="0" w:color="auto"/>
        <w:left w:val="none" w:sz="0" w:space="0" w:color="auto"/>
        <w:bottom w:val="none" w:sz="0" w:space="0" w:color="auto"/>
        <w:right w:val="none" w:sz="0" w:space="0" w:color="auto"/>
      </w:divBdr>
    </w:div>
    <w:div w:id="389890854">
      <w:marLeft w:val="0"/>
      <w:marRight w:val="0"/>
      <w:marTop w:val="0"/>
      <w:marBottom w:val="0"/>
      <w:divBdr>
        <w:top w:val="none" w:sz="0" w:space="0" w:color="auto"/>
        <w:left w:val="none" w:sz="0" w:space="0" w:color="auto"/>
        <w:bottom w:val="none" w:sz="0" w:space="0" w:color="auto"/>
        <w:right w:val="none" w:sz="0" w:space="0" w:color="auto"/>
      </w:divBdr>
      <w:divsChild>
        <w:div w:id="945884972">
          <w:marLeft w:val="0"/>
          <w:marRight w:val="0"/>
          <w:marTop w:val="0"/>
          <w:marBottom w:val="0"/>
          <w:divBdr>
            <w:top w:val="none" w:sz="0" w:space="0" w:color="auto"/>
            <w:left w:val="none" w:sz="0" w:space="0" w:color="auto"/>
            <w:bottom w:val="none" w:sz="0" w:space="0" w:color="auto"/>
            <w:right w:val="none" w:sz="0" w:space="0" w:color="auto"/>
          </w:divBdr>
        </w:div>
      </w:divsChild>
    </w:div>
    <w:div w:id="391076279">
      <w:marLeft w:val="0"/>
      <w:marRight w:val="0"/>
      <w:marTop w:val="180"/>
      <w:marBottom w:val="180"/>
      <w:divBdr>
        <w:top w:val="none" w:sz="0" w:space="0" w:color="auto"/>
        <w:left w:val="none" w:sz="0" w:space="0" w:color="auto"/>
        <w:bottom w:val="none" w:sz="0" w:space="0" w:color="auto"/>
        <w:right w:val="none" w:sz="0" w:space="0" w:color="auto"/>
      </w:divBdr>
    </w:div>
    <w:div w:id="392430235">
      <w:marLeft w:val="0"/>
      <w:marRight w:val="0"/>
      <w:marTop w:val="120"/>
      <w:marBottom w:val="120"/>
      <w:divBdr>
        <w:top w:val="none" w:sz="0" w:space="0" w:color="auto"/>
        <w:left w:val="none" w:sz="0" w:space="0" w:color="auto"/>
        <w:bottom w:val="none" w:sz="0" w:space="0" w:color="auto"/>
        <w:right w:val="none" w:sz="0" w:space="0" w:color="auto"/>
      </w:divBdr>
    </w:div>
    <w:div w:id="395786278">
      <w:marLeft w:val="0"/>
      <w:marRight w:val="0"/>
      <w:marTop w:val="0"/>
      <w:marBottom w:val="240"/>
      <w:divBdr>
        <w:top w:val="none" w:sz="0" w:space="0" w:color="auto"/>
        <w:left w:val="none" w:sz="0" w:space="0" w:color="auto"/>
        <w:bottom w:val="none" w:sz="0" w:space="0" w:color="auto"/>
        <w:right w:val="none" w:sz="0" w:space="0" w:color="auto"/>
      </w:divBdr>
    </w:div>
    <w:div w:id="395980024">
      <w:marLeft w:val="0"/>
      <w:marRight w:val="0"/>
      <w:marTop w:val="100"/>
      <w:marBottom w:val="0"/>
      <w:divBdr>
        <w:top w:val="none" w:sz="0" w:space="0" w:color="auto"/>
        <w:left w:val="none" w:sz="0" w:space="0" w:color="auto"/>
        <w:bottom w:val="none" w:sz="0" w:space="0" w:color="auto"/>
        <w:right w:val="none" w:sz="0" w:space="0" w:color="auto"/>
      </w:divBdr>
    </w:div>
    <w:div w:id="398019235">
      <w:marLeft w:val="0"/>
      <w:marRight w:val="0"/>
      <w:marTop w:val="0"/>
      <w:marBottom w:val="180"/>
      <w:divBdr>
        <w:top w:val="none" w:sz="0" w:space="0" w:color="auto"/>
        <w:left w:val="none" w:sz="0" w:space="0" w:color="auto"/>
        <w:bottom w:val="none" w:sz="0" w:space="0" w:color="auto"/>
        <w:right w:val="none" w:sz="0" w:space="0" w:color="auto"/>
      </w:divBdr>
    </w:div>
    <w:div w:id="399137980">
      <w:marLeft w:val="0"/>
      <w:marRight w:val="0"/>
      <w:marTop w:val="0"/>
      <w:marBottom w:val="0"/>
      <w:divBdr>
        <w:top w:val="none" w:sz="0" w:space="0" w:color="auto"/>
        <w:left w:val="none" w:sz="0" w:space="0" w:color="auto"/>
        <w:bottom w:val="none" w:sz="0" w:space="0" w:color="auto"/>
        <w:right w:val="none" w:sz="0" w:space="0" w:color="auto"/>
      </w:divBdr>
    </w:div>
    <w:div w:id="400250250">
      <w:marLeft w:val="0"/>
      <w:marRight w:val="0"/>
      <w:marTop w:val="240"/>
      <w:marBottom w:val="0"/>
      <w:divBdr>
        <w:top w:val="none" w:sz="0" w:space="0" w:color="auto"/>
        <w:left w:val="none" w:sz="0" w:space="0" w:color="auto"/>
        <w:bottom w:val="none" w:sz="0" w:space="0" w:color="auto"/>
        <w:right w:val="none" w:sz="0" w:space="0" w:color="auto"/>
      </w:divBdr>
    </w:div>
    <w:div w:id="400566773">
      <w:marLeft w:val="0"/>
      <w:marRight w:val="0"/>
      <w:marTop w:val="0"/>
      <w:marBottom w:val="240"/>
      <w:divBdr>
        <w:top w:val="none" w:sz="0" w:space="0" w:color="auto"/>
        <w:left w:val="none" w:sz="0" w:space="0" w:color="auto"/>
        <w:bottom w:val="none" w:sz="0" w:space="0" w:color="auto"/>
        <w:right w:val="none" w:sz="0" w:space="0" w:color="auto"/>
      </w:divBdr>
    </w:div>
    <w:div w:id="401408567">
      <w:marLeft w:val="0"/>
      <w:marRight w:val="0"/>
      <w:marTop w:val="0"/>
      <w:marBottom w:val="180"/>
      <w:divBdr>
        <w:top w:val="none" w:sz="0" w:space="0" w:color="auto"/>
        <w:left w:val="none" w:sz="0" w:space="0" w:color="auto"/>
        <w:bottom w:val="none" w:sz="0" w:space="0" w:color="auto"/>
        <w:right w:val="none" w:sz="0" w:space="0" w:color="auto"/>
      </w:divBdr>
    </w:div>
    <w:div w:id="402796629">
      <w:marLeft w:val="0"/>
      <w:marRight w:val="0"/>
      <w:marTop w:val="0"/>
      <w:marBottom w:val="0"/>
      <w:divBdr>
        <w:top w:val="none" w:sz="0" w:space="0" w:color="auto"/>
        <w:left w:val="none" w:sz="0" w:space="0" w:color="auto"/>
        <w:bottom w:val="none" w:sz="0" w:space="0" w:color="auto"/>
        <w:right w:val="none" w:sz="0" w:space="0" w:color="auto"/>
      </w:divBdr>
    </w:div>
    <w:div w:id="407195671">
      <w:marLeft w:val="0"/>
      <w:marRight w:val="0"/>
      <w:marTop w:val="0"/>
      <w:marBottom w:val="0"/>
      <w:divBdr>
        <w:top w:val="none" w:sz="0" w:space="0" w:color="auto"/>
        <w:left w:val="none" w:sz="0" w:space="0" w:color="auto"/>
        <w:bottom w:val="none" w:sz="0" w:space="0" w:color="auto"/>
        <w:right w:val="none" w:sz="0" w:space="0" w:color="auto"/>
      </w:divBdr>
    </w:div>
    <w:div w:id="408776729">
      <w:marLeft w:val="0"/>
      <w:marRight w:val="0"/>
      <w:marTop w:val="0"/>
      <w:marBottom w:val="180"/>
      <w:divBdr>
        <w:top w:val="none" w:sz="0" w:space="0" w:color="auto"/>
        <w:left w:val="none" w:sz="0" w:space="0" w:color="auto"/>
        <w:bottom w:val="none" w:sz="0" w:space="0" w:color="auto"/>
        <w:right w:val="none" w:sz="0" w:space="0" w:color="auto"/>
      </w:divBdr>
    </w:div>
    <w:div w:id="409161408">
      <w:marLeft w:val="0"/>
      <w:marRight w:val="0"/>
      <w:marTop w:val="0"/>
      <w:marBottom w:val="0"/>
      <w:divBdr>
        <w:top w:val="none" w:sz="0" w:space="0" w:color="auto"/>
        <w:left w:val="none" w:sz="0" w:space="0" w:color="auto"/>
        <w:bottom w:val="none" w:sz="0" w:space="0" w:color="auto"/>
        <w:right w:val="none" w:sz="0" w:space="0" w:color="auto"/>
      </w:divBdr>
      <w:divsChild>
        <w:div w:id="313922078">
          <w:marLeft w:val="0"/>
          <w:marRight w:val="0"/>
          <w:marTop w:val="0"/>
          <w:marBottom w:val="0"/>
          <w:divBdr>
            <w:top w:val="none" w:sz="0" w:space="0" w:color="auto"/>
            <w:left w:val="none" w:sz="0" w:space="0" w:color="auto"/>
            <w:bottom w:val="none" w:sz="0" w:space="0" w:color="auto"/>
            <w:right w:val="none" w:sz="0" w:space="0" w:color="auto"/>
          </w:divBdr>
        </w:div>
      </w:divsChild>
    </w:div>
    <w:div w:id="410273560">
      <w:marLeft w:val="0"/>
      <w:marRight w:val="0"/>
      <w:marTop w:val="180"/>
      <w:marBottom w:val="180"/>
      <w:divBdr>
        <w:top w:val="none" w:sz="0" w:space="0" w:color="auto"/>
        <w:left w:val="none" w:sz="0" w:space="0" w:color="auto"/>
        <w:bottom w:val="none" w:sz="0" w:space="0" w:color="auto"/>
        <w:right w:val="none" w:sz="0" w:space="0" w:color="auto"/>
      </w:divBdr>
    </w:div>
    <w:div w:id="412701694">
      <w:marLeft w:val="0"/>
      <w:marRight w:val="0"/>
      <w:marTop w:val="180"/>
      <w:marBottom w:val="180"/>
      <w:divBdr>
        <w:top w:val="none" w:sz="0" w:space="0" w:color="auto"/>
        <w:left w:val="none" w:sz="0" w:space="0" w:color="auto"/>
        <w:bottom w:val="none" w:sz="0" w:space="0" w:color="auto"/>
        <w:right w:val="none" w:sz="0" w:space="0" w:color="auto"/>
      </w:divBdr>
    </w:div>
    <w:div w:id="413892036">
      <w:marLeft w:val="0"/>
      <w:marRight w:val="0"/>
      <w:marTop w:val="0"/>
      <w:marBottom w:val="240"/>
      <w:divBdr>
        <w:top w:val="none" w:sz="0" w:space="0" w:color="auto"/>
        <w:left w:val="none" w:sz="0" w:space="0" w:color="auto"/>
        <w:bottom w:val="none" w:sz="0" w:space="0" w:color="auto"/>
        <w:right w:val="none" w:sz="0" w:space="0" w:color="auto"/>
      </w:divBdr>
    </w:div>
    <w:div w:id="415514632">
      <w:marLeft w:val="0"/>
      <w:marRight w:val="0"/>
      <w:marTop w:val="0"/>
      <w:marBottom w:val="0"/>
      <w:divBdr>
        <w:top w:val="none" w:sz="0" w:space="0" w:color="auto"/>
        <w:left w:val="none" w:sz="0" w:space="0" w:color="auto"/>
        <w:bottom w:val="none" w:sz="0" w:space="0" w:color="auto"/>
        <w:right w:val="none" w:sz="0" w:space="0" w:color="auto"/>
      </w:divBdr>
      <w:divsChild>
        <w:div w:id="1269577919">
          <w:marLeft w:val="0"/>
          <w:marRight w:val="0"/>
          <w:marTop w:val="0"/>
          <w:marBottom w:val="0"/>
          <w:divBdr>
            <w:top w:val="none" w:sz="0" w:space="0" w:color="auto"/>
            <w:left w:val="none" w:sz="0" w:space="0" w:color="auto"/>
            <w:bottom w:val="none" w:sz="0" w:space="0" w:color="auto"/>
            <w:right w:val="none" w:sz="0" w:space="0" w:color="auto"/>
          </w:divBdr>
        </w:div>
      </w:divsChild>
    </w:div>
    <w:div w:id="418987333">
      <w:marLeft w:val="0"/>
      <w:marRight w:val="0"/>
      <w:marTop w:val="120"/>
      <w:marBottom w:val="120"/>
      <w:divBdr>
        <w:top w:val="none" w:sz="0" w:space="0" w:color="auto"/>
        <w:left w:val="none" w:sz="0" w:space="0" w:color="auto"/>
        <w:bottom w:val="none" w:sz="0" w:space="0" w:color="auto"/>
        <w:right w:val="none" w:sz="0" w:space="0" w:color="auto"/>
      </w:divBdr>
    </w:div>
    <w:div w:id="419913003">
      <w:marLeft w:val="0"/>
      <w:marRight w:val="0"/>
      <w:marTop w:val="180"/>
      <w:marBottom w:val="180"/>
      <w:divBdr>
        <w:top w:val="none" w:sz="0" w:space="0" w:color="auto"/>
        <w:left w:val="none" w:sz="0" w:space="0" w:color="auto"/>
        <w:bottom w:val="none" w:sz="0" w:space="0" w:color="auto"/>
        <w:right w:val="none" w:sz="0" w:space="0" w:color="auto"/>
      </w:divBdr>
    </w:div>
    <w:div w:id="420413836">
      <w:marLeft w:val="0"/>
      <w:marRight w:val="0"/>
      <w:marTop w:val="180"/>
      <w:marBottom w:val="180"/>
      <w:divBdr>
        <w:top w:val="none" w:sz="0" w:space="0" w:color="auto"/>
        <w:left w:val="none" w:sz="0" w:space="0" w:color="auto"/>
        <w:bottom w:val="none" w:sz="0" w:space="0" w:color="auto"/>
        <w:right w:val="none" w:sz="0" w:space="0" w:color="auto"/>
      </w:divBdr>
    </w:div>
    <w:div w:id="422535248">
      <w:marLeft w:val="0"/>
      <w:marRight w:val="0"/>
      <w:marTop w:val="0"/>
      <w:marBottom w:val="0"/>
      <w:divBdr>
        <w:top w:val="none" w:sz="0" w:space="0" w:color="auto"/>
        <w:left w:val="none" w:sz="0" w:space="0" w:color="auto"/>
        <w:bottom w:val="none" w:sz="0" w:space="0" w:color="auto"/>
        <w:right w:val="none" w:sz="0" w:space="0" w:color="auto"/>
      </w:divBdr>
    </w:div>
    <w:div w:id="426657988">
      <w:marLeft w:val="0"/>
      <w:marRight w:val="0"/>
      <w:marTop w:val="0"/>
      <w:marBottom w:val="0"/>
      <w:divBdr>
        <w:top w:val="none" w:sz="0" w:space="0" w:color="auto"/>
        <w:left w:val="none" w:sz="0" w:space="0" w:color="auto"/>
        <w:bottom w:val="none" w:sz="0" w:space="0" w:color="auto"/>
        <w:right w:val="none" w:sz="0" w:space="0" w:color="auto"/>
      </w:divBdr>
    </w:div>
    <w:div w:id="430393205">
      <w:marLeft w:val="0"/>
      <w:marRight w:val="0"/>
      <w:marTop w:val="0"/>
      <w:marBottom w:val="240"/>
      <w:divBdr>
        <w:top w:val="none" w:sz="0" w:space="0" w:color="auto"/>
        <w:left w:val="none" w:sz="0" w:space="0" w:color="auto"/>
        <w:bottom w:val="none" w:sz="0" w:space="0" w:color="auto"/>
        <w:right w:val="none" w:sz="0" w:space="0" w:color="auto"/>
      </w:divBdr>
    </w:div>
    <w:div w:id="432286484">
      <w:marLeft w:val="0"/>
      <w:marRight w:val="0"/>
      <w:marTop w:val="0"/>
      <w:marBottom w:val="0"/>
      <w:divBdr>
        <w:top w:val="none" w:sz="0" w:space="0" w:color="auto"/>
        <w:left w:val="none" w:sz="0" w:space="0" w:color="auto"/>
        <w:bottom w:val="none" w:sz="0" w:space="0" w:color="auto"/>
        <w:right w:val="none" w:sz="0" w:space="0" w:color="auto"/>
      </w:divBdr>
      <w:divsChild>
        <w:div w:id="1067456664">
          <w:marLeft w:val="0"/>
          <w:marRight w:val="0"/>
          <w:marTop w:val="0"/>
          <w:marBottom w:val="0"/>
          <w:divBdr>
            <w:top w:val="none" w:sz="0" w:space="0" w:color="auto"/>
            <w:left w:val="none" w:sz="0" w:space="0" w:color="auto"/>
            <w:bottom w:val="none" w:sz="0" w:space="0" w:color="auto"/>
            <w:right w:val="none" w:sz="0" w:space="0" w:color="auto"/>
          </w:divBdr>
        </w:div>
      </w:divsChild>
    </w:div>
    <w:div w:id="434441202">
      <w:marLeft w:val="0"/>
      <w:marRight w:val="0"/>
      <w:marTop w:val="0"/>
      <w:marBottom w:val="60"/>
      <w:divBdr>
        <w:top w:val="none" w:sz="0" w:space="0" w:color="auto"/>
        <w:left w:val="none" w:sz="0" w:space="0" w:color="auto"/>
        <w:bottom w:val="none" w:sz="0" w:space="0" w:color="auto"/>
        <w:right w:val="none" w:sz="0" w:space="0" w:color="auto"/>
      </w:divBdr>
    </w:div>
    <w:div w:id="436173874">
      <w:marLeft w:val="0"/>
      <w:marRight w:val="0"/>
      <w:marTop w:val="180"/>
      <w:marBottom w:val="180"/>
      <w:divBdr>
        <w:top w:val="none" w:sz="0" w:space="0" w:color="auto"/>
        <w:left w:val="none" w:sz="0" w:space="0" w:color="auto"/>
        <w:bottom w:val="none" w:sz="0" w:space="0" w:color="auto"/>
        <w:right w:val="none" w:sz="0" w:space="0" w:color="auto"/>
      </w:divBdr>
    </w:div>
    <w:div w:id="436828777">
      <w:marLeft w:val="0"/>
      <w:marRight w:val="0"/>
      <w:marTop w:val="120"/>
      <w:marBottom w:val="120"/>
      <w:divBdr>
        <w:top w:val="none" w:sz="0" w:space="0" w:color="auto"/>
        <w:left w:val="none" w:sz="0" w:space="0" w:color="auto"/>
        <w:bottom w:val="none" w:sz="0" w:space="0" w:color="auto"/>
        <w:right w:val="none" w:sz="0" w:space="0" w:color="auto"/>
      </w:divBdr>
    </w:div>
    <w:div w:id="438336994">
      <w:marLeft w:val="0"/>
      <w:marRight w:val="0"/>
      <w:marTop w:val="0"/>
      <w:marBottom w:val="0"/>
      <w:divBdr>
        <w:top w:val="none" w:sz="0" w:space="0" w:color="auto"/>
        <w:left w:val="none" w:sz="0" w:space="0" w:color="auto"/>
        <w:bottom w:val="none" w:sz="0" w:space="0" w:color="auto"/>
        <w:right w:val="none" w:sz="0" w:space="0" w:color="auto"/>
      </w:divBdr>
      <w:divsChild>
        <w:div w:id="492844190">
          <w:marLeft w:val="0"/>
          <w:marRight w:val="0"/>
          <w:marTop w:val="0"/>
          <w:marBottom w:val="0"/>
          <w:divBdr>
            <w:top w:val="none" w:sz="0" w:space="0" w:color="auto"/>
            <w:left w:val="none" w:sz="0" w:space="0" w:color="auto"/>
            <w:bottom w:val="none" w:sz="0" w:space="0" w:color="auto"/>
            <w:right w:val="none" w:sz="0" w:space="0" w:color="auto"/>
          </w:divBdr>
        </w:div>
      </w:divsChild>
    </w:div>
    <w:div w:id="443233617">
      <w:marLeft w:val="0"/>
      <w:marRight w:val="0"/>
      <w:marTop w:val="120"/>
      <w:marBottom w:val="240"/>
      <w:divBdr>
        <w:top w:val="none" w:sz="0" w:space="0" w:color="auto"/>
        <w:left w:val="none" w:sz="0" w:space="0" w:color="auto"/>
        <w:bottom w:val="none" w:sz="0" w:space="0" w:color="auto"/>
        <w:right w:val="none" w:sz="0" w:space="0" w:color="auto"/>
      </w:divBdr>
    </w:div>
    <w:div w:id="448429915">
      <w:marLeft w:val="0"/>
      <w:marRight w:val="0"/>
      <w:marTop w:val="0"/>
      <w:marBottom w:val="0"/>
      <w:divBdr>
        <w:top w:val="none" w:sz="0" w:space="0" w:color="auto"/>
        <w:left w:val="none" w:sz="0" w:space="0" w:color="auto"/>
        <w:bottom w:val="none" w:sz="0" w:space="0" w:color="auto"/>
        <w:right w:val="none" w:sz="0" w:space="0" w:color="auto"/>
      </w:divBdr>
    </w:div>
    <w:div w:id="451091603">
      <w:marLeft w:val="0"/>
      <w:marRight w:val="0"/>
      <w:marTop w:val="0"/>
      <w:marBottom w:val="0"/>
      <w:divBdr>
        <w:top w:val="none" w:sz="0" w:space="0" w:color="auto"/>
        <w:left w:val="none" w:sz="0" w:space="0" w:color="auto"/>
        <w:bottom w:val="none" w:sz="0" w:space="0" w:color="auto"/>
        <w:right w:val="none" w:sz="0" w:space="0" w:color="auto"/>
      </w:divBdr>
      <w:divsChild>
        <w:div w:id="1642812109">
          <w:marLeft w:val="0"/>
          <w:marRight w:val="0"/>
          <w:marTop w:val="0"/>
          <w:marBottom w:val="0"/>
          <w:divBdr>
            <w:top w:val="none" w:sz="0" w:space="0" w:color="auto"/>
            <w:left w:val="none" w:sz="0" w:space="0" w:color="auto"/>
            <w:bottom w:val="none" w:sz="0" w:space="0" w:color="auto"/>
            <w:right w:val="none" w:sz="0" w:space="0" w:color="auto"/>
          </w:divBdr>
        </w:div>
      </w:divsChild>
    </w:div>
    <w:div w:id="451243253">
      <w:marLeft w:val="0"/>
      <w:marRight w:val="0"/>
      <w:marTop w:val="0"/>
      <w:marBottom w:val="180"/>
      <w:divBdr>
        <w:top w:val="none" w:sz="0" w:space="0" w:color="auto"/>
        <w:left w:val="none" w:sz="0" w:space="0" w:color="auto"/>
        <w:bottom w:val="none" w:sz="0" w:space="0" w:color="auto"/>
        <w:right w:val="none" w:sz="0" w:space="0" w:color="auto"/>
      </w:divBdr>
    </w:div>
    <w:div w:id="451947887">
      <w:marLeft w:val="0"/>
      <w:marRight w:val="0"/>
      <w:marTop w:val="120"/>
      <w:marBottom w:val="120"/>
      <w:divBdr>
        <w:top w:val="none" w:sz="0" w:space="0" w:color="auto"/>
        <w:left w:val="none" w:sz="0" w:space="0" w:color="auto"/>
        <w:bottom w:val="none" w:sz="0" w:space="0" w:color="auto"/>
        <w:right w:val="none" w:sz="0" w:space="0" w:color="auto"/>
      </w:divBdr>
    </w:div>
    <w:div w:id="452755029">
      <w:marLeft w:val="0"/>
      <w:marRight w:val="0"/>
      <w:marTop w:val="120"/>
      <w:marBottom w:val="120"/>
      <w:divBdr>
        <w:top w:val="none" w:sz="0" w:space="0" w:color="auto"/>
        <w:left w:val="none" w:sz="0" w:space="0" w:color="auto"/>
        <w:bottom w:val="none" w:sz="0" w:space="0" w:color="auto"/>
        <w:right w:val="none" w:sz="0" w:space="0" w:color="auto"/>
      </w:divBdr>
    </w:div>
    <w:div w:id="453905874">
      <w:marLeft w:val="0"/>
      <w:marRight w:val="0"/>
      <w:marTop w:val="0"/>
      <w:marBottom w:val="0"/>
      <w:divBdr>
        <w:top w:val="none" w:sz="0" w:space="0" w:color="auto"/>
        <w:left w:val="none" w:sz="0" w:space="0" w:color="auto"/>
        <w:bottom w:val="none" w:sz="0" w:space="0" w:color="auto"/>
        <w:right w:val="none" w:sz="0" w:space="0" w:color="auto"/>
      </w:divBdr>
    </w:div>
    <w:div w:id="456529488">
      <w:marLeft w:val="0"/>
      <w:marRight w:val="0"/>
      <w:marTop w:val="0"/>
      <w:marBottom w:val="180"/>
      <w:divBdr>
        <w:top w:val="none" w:sz="0" w:space="0" w:color="auto"/>
        <w:left w:val="none" w:sz="0" w:space="0" w:color="auto"/>
        <w:bottom w:val="none" w:sz="0" w:space="0" w:color="auto"/>
        <w:right w:val="none" w:sz="0" w:space="0" w:color="auto"/>
      </w:divBdr>
    </w:div>
    <w:div w:id="456606489">
      <w:marLeft w:val="0"/>
      <w:marRight w:val="0"/>
      <w:marTop w:val="0"/>
      <w:marBottom w:val="240"/>
      <w:divBdr>
        <w:top w:val="none" w:sz="0" w:space="0" w:color="auto"/>
        <w:left w:val="none" w:sz="0" w:space="0" w:color="auto"/>
        <w:bottom w:val="none" w:sz="0" w:space="0" w:color="auto"/>
        <w:right w:val="none" w:sz="0" w:space="0" w:color="auto"/>
      </w:divBdr>
    </w:div>
    <w:div w:id="460466944">
      <w:marLeft w:val="0"/>
      <w:marRight w:val="0"/>
      <w:marTop w:val="0"/>
      <w:marBottom w:val="0"/>
      <w:divBdr>
        <w:top w:val="none" w:sz="0" w:space="0" w:color="auto"/>
        <w:left w:val="none" w:sz="0" w:space="0" w:color="auto"/>
        <w:bottom w:val="none" w:sz="0" w:space="0" w:color="auto"/>
        <w:right w:val="none" w:sz="0" w:space="0" w:color="auto"/>
      </w:divBdr>
    </w:div>
    <w:div w:id="462964783">
      <w:marLeft w:val="0"/>
      <w:marRight w:val="0"/>
      <w:marTop w:val="0"/>
      <w:marBottom w:val="180"/>
      <w:divBdr>
        <w:top w:val="none" w:sz="0" w:space="0" w:color="auto"/>
        <w:left w:val="none" w:sz="0" w:space="0" w:color="auto"/>
        <w:bottom w:val="none" w:sz="0" w:space="0" w:color="auto"/>
        <w:right w:val="none" w:sz="0" w:space="0" w:color="auto"/>
      </w:divBdr>
    </w:div>
    <w:div w:id="463430635">
      <w:marLeft w:val="0"/>
      <w:marRight w:val="0"/>
      <w:marTop w:val="0"/>
      <w:marBottom w:val="60"/>
      <w:divBdr>
        <w:top w:val="none" w:sz="0" w:space="0" w:color="auto"/>
        <w:left w:val="none" w:sz="0" w:space="0" w:color="auto"/>
        <w:bottom w:val="none" w:sz="0" w:space="0" w:color="auto"/>
        <w:right w:val="none" w:sz="0" w:space="0" w:color="auto"/>
      </w:divBdr>
    </w:div>
    <w:div w:id="463431168">
      <w:marLeft w:val="0"/>
      <w:marRight w:val="0"/>
      <w:marTop w:val="100"/>
      <w:marBottom w:val="0"/>
      <w:divBdr>
        <w:top w:val="none" w:sz="0" w:space="0" w:color="auto"/>
        <w:left w:val="none" w:sz="0" w:space="0" w:color="auto"/>
        <w:bottom w:val="none" w:sz="0" w:space="0" w:color="auto"/>
        <w:right w:val="none" w:sz="0" w:space="0" w:color="auto"/>
      </w:divBdr>
    </w:div>
    <w:div w:id="464003678">
      <w:marLeft w:val="0"/>
      <w:marRight w:val="0"/>
      <w:marTop w:val="0"/>
      <w:marBottom w:val="0"/>
      <w:divBdr>
        <w:top w:val="none" w:sz="0" w:space="0" w:color="auto"/>
        <w:left w:val="none" w:sz="0" w:space="0" w:color="auto"/>
        <w:bottom w:val="none" w:sz="0" w:space="0" w:color="auto"/>
        <w:right w:val="none" w:sz="0" w:space="0" w:color="auto"/>
      </w:divBdr>
    </w:div>
    <w:div w:id="465317267">
      <w:marLeft w:val="0"/>
      <w:marRight w:val="0"/>
      <w:marTop w:val="120"/>
      <w:marBottom w:val="120"/>
      <w:divBdr>
        <w:top w:val="none" w:sz="0" w:space="0" w:color="auto"/>
        <w:left w:val="none" w:sz="0" w:space="0" w:color="auto"/>
        <w:bottom w:val="none" w:sz="0" w:space="0" w:color="auto"/>
        <w:right w:val="none" w:sz="0" w:space="0" w:color="auto"/>
      </w:divBdr>
    </w:div>
    <w:div w:id="465465420">
      <w:marLeft w:val="0"/>
      <w:marRight w:val="0"/>
      <w:marTop w:val="0"/>
      <w:marBottom w:val="240"/>
      <w:divBdr>
        <w:top w:val="none" w:sz="0" w:space="0" w:color="auto"/>
        <w:left w:val="none" w:sz="0" w:space="0" w:color="auto"/>
        <w:bottom w:val="none" w:sz="0" w:space="0" w:color="auto"/>
        <w:right w:val="none" w:sz="0" w:space="0" w:color="auto"/>
      </w:divBdr>
    </w:div>
    <w:div w:id="467550899">
      <w:marLeft w:val="0"/>
      <w:marRight w:val="0"/>
      <w:marTop w:val="0"/>
      <w:marBottom w:val="0"/>
      <w:divBdr>
        <w:top w:val="none" w:sz="0" w:space="0" w:color="auto"/>
        <w:left w:val="none" w:sz="0" w:space="0" w:color="auto"/>
        <w:bottom w:val="none" w:sz="0" w:space="0" w:color="auto"/>
        <w:right w:val="none" w:sz="0" w:space="0" w:color="auto"/>
      </w:divBdr>
    </w:div>
    <w:div w:id="469446334">
      <w:marLeft w:val="0"/>
      <w:marRight w:val="0"/>
      <w:marTop w:val="0"/>
      <w:marBottom w:val="0"/>
      <w:divBdr>
        <w:top w:val="none" w:sz="0" w:space="0" w:color="auto"/>
        <w:left w:val="none" w:sz="0" w:space="0" w:color="auto"/>
        <w:bottom w:val="none" w:sz="0" w:space="0" w:color="auto"/>
        <w:right w:val="none" w:sz="0" w:space="0" w:color="auto"/>
      </w:divBdr>
    </w:div>
    <w:div w:id="469789253">
      <w:marLeft w:val="0"/>
      <w:marRight w:val="0"/>
      <w:marTop w:val="0"/>
      <w:marBottom w:val="0"/>
      <w:divBdr>
        <w:top w:val="none" w:sz="0" w:space="0" w:color="auto"/>
        <w:left w:val="none" w:sz="0" w:space="0" w:color="auto"/>
        <w:bottom w:val="none" w:sz="0" w:space="0" w:color="auto"/>
        <w:right w:val="none" w:sz="0" w:space="0" w:color="auto"/>
      </w:divBdr>
      <w:divsChild>
        <w:div w:id="706686009">
          <w:marLeft w:val="0"/>
          <w:marRight w:val="0"/>
          <w:marTop w:val="0"/>
          <w:marBottom w:val="0"/>
          <w:divBdr>
            <w:top w:val="none" w:sz="0" w:space="0" w:color="auto"/>
            <w:left w:val="none" w:sz="0" w:space="0" w:color="auto"/>
            <w:bottom w:val="none" w:sz="0" w:space="0" w:color="auto"/>
            <w:right w:val="none" w:sz="0" w:space="0" w:color="auto"/>
          </w:divBdr>
        </w:div>
      </w:divsChild>
    </w:div>
    <w:div w:id="471600019">
      <w:marLeft w:val="0"/>
      <w:marRight w:val="0"/>
      <w:marTop w:val="180"/>
      <w:marBottom w:val="180"/>
      <w:divBdr>
        <w:top w:val="none" w:sz="0" w:space="0" w:color="auto"/>
        <w:left w:val="none" w:sz="0" w:space="0" w:color="auto"/>
        <w:bottom w:val="none" w:sz="0" w:space="0" w:color="auto"/>
        <w:right w:val="none" w:sz="0" w:space="0" w:color="auto"/>
      </w:divBdr>
    </w:div>
    <w:div w:id="471678397">
      <w:marLeft w:val="0"/>
      <w:marRight w:val="0"/>
      <w:marTop w:val="180"/>
      <w:marBottom w:val="180"/>
      <w:divBdr>
        <w:top w:val="none" w:sz="0" w:space="0" w:color="auto"/>
        <w:left w:val="none" w:sz="0" w:space="0" w:color="auto"/>
        <w:bottom w:val="none" w:sz="0" w:space="0" w:color="auto"/>
        <w:right w:val="none" w:sz="0" w:space="0" w:color="auto"/>
      </w:divBdr>
    </w:div>
    <w:div w:id="472984005">
      <w:marLeft w:val="0"/>
      <w:marRight w:val="0"/>
      <w:marTop w:val="0"/>
      <w:marBottom w:val="0"/>
      <w:divBdr>
        <w:top w:val="none" w:sz="0" w:space="0" w:color="auto"/>
        <w:left w:val="none" w:sz="0" w:space="0" w:color="auto"/>
        <w:bottom w:val="none" w:sz="0" w:space="0" w:color="auto"/>
        <w:right w:val="none" w:sz="0" w:space="0" w:color="auto"/>
      </w:divBdr>
      <w:divsChild>
        <w:div w:id="1567911314">
          <w:marLeft w:val="0"/>
          <w:marRight w:val="0"/>
          <w:marTop w:val="0"/>
          <w:marBottom w:val="0"/>
          <w:divBdr>
            <w:top w:val="none" w:sz="0" w:space="0" w:color="auto"/>
            <w:left w:val="none" w:sz="0" w:space="0" w:color="auto"/>
            <w:bottom w:val="none" w:sz="0" w:space="0" w:color="auto"/>
            <w:right w:val="none" w:sz="0" w:space="0" w:color="auto"/>
          </w:divBdr>
        </w:div>
      </w:divsChild>
    </w:div>
    <w:div w:id="473564453">
      <w:marLeft w:val="0"/>
      <w:marRight w:val="0"/>
      <w:marTop w:val="0"/>
      <w:marBottom w:val="240"/>
      <w:divBdr>
        <w:top w:val="none" w:sz="0" w:space="0" w:color="auto"/>
        <w:left w:val="none" w:sz="0" w:space="0" w:color="auto"/>
        <w:bottom w:val="none" w:sz="0" w:space="0" w:color="auto"/>
        <w:right w:val="none" w:sz="0" w:space="0" w:color="auto"/>
      </w:divBdr>
    </w:div>
    <w:div w:id="473982913">
      <w:marLeft w:val="0"/>
      <w:marRight w:val="0"/>
      <w:marTop w:val="0"/>
      <w:marBottom w:val="180"/>
      <w:divBdr>
        <w:top w:val="none" w:sz="0" w:space="0" w:color="auto"/>
        <w:left w:val="none" w:sz="0" w:space="0" w:color="auto"/>
        <w:bottom w:val="none" w:sz="0" w:space="0" w:color="auto"/>
        <w:right w:val="none" w:sz="0" w:space="0" w:color="auto"/>
      </w:divBdr>
    </w:div>
    <w:div w:id="474832356">
      <w:marLeft w:val="0"/>
      <w:marRight w:val="0"/>
      <w:marTop w:val="0"/>
      <w:marBottom w:val="0"/>
      <w:divBdr>
        <w:top w:val="none" w:sz="0" w:space="0" w:color="auto"/>
        <w:left w:val="none" w:sz="0" w:space="0" w:color="auto"/>
        <w:bottom w:val="none" w:sz="0" w:space="0" w:color="auto"/>
        <w:right w:val="none" w:sz="0" w:space="0" w:color="auto"/>
      </w:divBdr>
    </w:div>
    <w:div w:id="475227190">
      <w:marLeft w:val="0"/>
      <w:marRight w:val="0"/>
      <w:marTop w:val="0"/>
      <w:marBottom w:val="0"/>
      <w:divBdr>
        <w:top w:val="none" w:sz="0" w:space="0" w:color="auto"/>
        <w:left w:val="none" w:sz="0" w:space="0" w:color="auto"/>
        <w:bottom w:val="none" w:sz="0" w:space="0" w:color="auto"/>
        <w:right w:val="none" w:sz="0" w:space="0" w:color="auto"/>
      </w:divBdr>
    </w:div>
    <w:div w:id="476410821">
      <w:marLeft w:val="0"/>
      <w:marRight w:val="0"/>
      <w:marTop w:val="0"/>
      <w:marBottom w:val="60"/>
      <w:divBdr>
        <w:top w:val="none" w:sz="0" w:space="0" w:color="auto"/>
        <w:left w:val="none" w:sz="0" w:space="0" w:color="auto"/>
        <w:bottom w:val="none" w:sz="0" w:space="0" w:color="auto"/>
        <w:right w:val="none" w:sz="0" w:space="0" w:color="auto"/>
      </w:divBdr>
    </w:div>
    <w:div w:id="477579767">
      <w:marLeft w:val="0"/>
      <w:marRight w:val="0"/>
      <w:marTop w:val="180"/>
      <w:marBottom w:val="180"/>
      <w:divBdr>
        <w:top w:val="none" w:sz="0" w:space="0" w:color="auto"/>
        <w:left w:val="none" w:sz="0" w:space="0" w:color="auto"/>
        <w:bottom w:val="none" w:sz="0" w:space="0" w:color="auto"/>
        <w:right w:val="none" w:sz="0" w:space="0" w:color="auto"/>
      </w:divBdr>
    </w:div>
    <w:div w:id="478035909">
      <w:marLeft w:val="0"/>
      <w:marRight w:val="0"/>
      <w:marTop w:val="120"/>
      <w:marBottom w:val="120"/>
      <w:divBdr>
        <w:top w:val="none" w:sz="0" w:space="0" w:color="auto"/>
        <w:left w:val="none" w:sz="0" w:space="0" w:color="auto"/>
        <w:bottom w:val="none" w:sz="0" w:space="0" w:color="auto"/>
        <w:right w:val="none" w:sz="0" w:space="0" w:color="auto"/>
      </w:divBdr>
    </w:div>
    <w:div w:id="478227017">
      <w:marLeft w:val="0"/>
      <w:marRight w:val="0"/>
      <w:marTop w:val="0"/>
      <w:marBottom w:val="0"/>
      <w:divBdr>
        <w:top w:val="none" w:sz="0" w:space="0" w:color="auto"/>
        <w:left w:val="none" w:sz="0" w:space="0" w:color="auto"/>
        <w:bottom w:val="none" w:sz="0" w:space="0" w:color="auto"/>
        <w:right w:val="none" w:sz="0" w:space="0" w:color="auto"/>
      </w:divBdr>
    </w:div>
    <w:div w:id="481122845">
      <w:marLeft w:val="0"/>
      <w:marRight w:val="0"/>
      <w:marTop w:val="0"/>
      <w:marBottom w:val="180"/>
      <w:divBdr>
        <w:top w:val="none" w:sz="0" w:space="0" w:color="auto"/>
        <w:left w:val="none" w:sz="0" w:space="0" w:color="auto"/>
        <w:bottom w:val="none" w:sz="0" w:space="0" w:color="auto"/>
        <w:right w:val="none" w:sz="0" w:space="0" w:color="auto"/>
      </w:divBdr>
    </w:div>
    <w:div w:id="483205168">
      <w:marLeft w:val="0"/>
      <w:marRight w:val="0"/>
      <w:marTop w:val="100"/>
      <w:marBottom w:val="240"/>
      <w:divBdr>
        <w:top w:val="none" w:sz="0" w:space="0" w:color="auto"/>
        <w:left w:val="none" w:sz="0" w:space="0" w:color="auto"/>
        <w:bottom w:val="none" w:sz="0" w:space="0" w:color="auto"/>
        <w:right w:val="none" w:sz="0" w:space="0" w:color="auto"/>
      </w:divBdr>
    </w:div>
    <w:div w:id="483667175">
      <w:marLeft w:val="0"/>
      <w:marRight w:val="0"/>
      <w:marTop w:val="0"/>
      <w:marBottom w:val="0"/>
      <w:divBdr>
        <w:top w:val="none" w:sz="0" w:space="0" w:color="auto"/>
        <w:left w:val="none" w:sz="0" w:space="0" w:color="auto"/>
        <w:bottom w:val="none" w:sz="0" w:space="0" w:color="auto"/>
        <w:right w:val="none" w:sz="0" w:space="0" w:color="auto"/>
      </w:divBdr>
    </w:div>
    <w:div w:id="484277043">
      <w:marLeft w:val="0"/>
      <w:marRight w:val="0"/>
      <w:marTop w:val="180"/>
      <w:marBottom w:val="180"/>
      <w:divBdr>
        <w:top w:val="none" w:sz="0" w:space="0" w:color="auto"/>
        <w:left w:val="none" w:sz="0" w:space="0" w:color="auto"/>
        <w:bottom w:val="none" w:sz="0" w:space="0" w:color="auto"/>
        <w:right w:val="none" w:sz="0" w:space="0" w:color="auto"/>
      </w:divBdr>
    </w:div>
    <w:div w:id="485636551">
      <w:marLeft w:val="0"/>
      <w:marRight w:val="0"/>
      <w:marTop w:val="0"/>
      <w:marBottom w:val="180"/>
      <w:divBdr>
        <w:top w:val="none" w:sz="0" w:space="0" w:color="auto"/>
        <w:left w:val="none" w:sz="0" w:space="0" w:color="auto"/>
        <w:bottom w:val="none" w:sz="0" w:space="0" w:color="auto"/>
        <w:right w:val="none" w:sz="0" w:space="0" w:color="auto"/>
      </w:divBdr>
    </w:div>
    <w:div w:id="487945838">
      <w:marLeft w:val="0"/>
      <w:marRight w:val="0"/>
      <w:marTop w:val="120"/>
      <w:marBottom w:val="240"/>
      <w:divBdr>
        <w:top w:val="none" w:sz="0" w:space="0" w:color="auto"/>
        <w:left w:val="none" w:sz="0" w:space="0" w:color="auto"/>
        <w:bottom w:val="none" w:sz="0" w:space="0" w:color="auto"/>
        <w:right w:val="none" w:sz="0" w:space="0" w:color="auto"/>
      </w:divBdr>
    </w:div>
    <w:div w:id="493420835">
      <w:marLeft w:val="0"/>
      <w:marRight w:val="0"/>
      <w:marTop w:val="0"/>
      <w:marBottom w:val="0"/>
      <w:divBdr>
        <w:top w:val="none" w:sz="0" w:space="0" w:color="auto"/>
        <w:left w:val="none" w:sz="0" w:space="0" w:color="auto"/>
        <w:bottom w:val="none" w:sz="0" w:space="0" w:color="auto"/>
        <w:right w:val="none" w:sz="0" w:space="0" w:color="auto"/>
      </w:divBdr>
      <w:divsChild>
        <w:div w:id="1739010706">
          <w:marLeft w:val="0"/>
          <w:marRight w:val="0"/>
          <w:marTop w:val="0"/>
          <w:marBottom w:val="0"/>
          <w:divBdr>
            <w:top w:val="none" w:sz="0" w:space="0" w:color="auto"/>
            <w:left w:val="none" w:sz="0" w:space="0" w:color="auto"/>
            <w:bottom w:val="none" w:sz="0" w:space="0" w:color="auto"/>
            <w:right w:val="none" w:sz="0" w:space="0" w:color="auto"/>
          </w:divBdr>
        </w:div>
      </w:divsChild>
    </w:div>
    <w:div w:id="494416947">
      <w:marLeft w:val="0"/>
      <w:marRight w:val="0"/>
      <w:marTop w:val="180"/>
      <w:marBottom w:val="180"/>
      <w:divBdr>
        <w:top w:val="none" w:sz="0" w:space="0" w:color="auto"/>
        <w:left w:val="none" w:sz="0" w:space="0" w:color="auto"/>
        <w:bottom w:val="none" w:sz="0" w:space="0" w:color="auto"/>
        <w:right w:val="none" w:sz="0" w:space="0" w:color="auto"/>
      </w:divBdr>
    </w:div>
    <w:div w:id="495729499">
      <w:marLeft w:val="0"/>
      <w:marRight w:val="0"/>
      <w:marTop w:val="0"/>
      <w:marBottom w:val="0"/>
      <w:divBdr>
        <w:top w:val="none" w:sz="0" w:space="0" w:color="auto"/>
        <w:left w:val="none" w:sz="0" w:space="0" w:color="auto"/>
        <w:bottom w:val="none" w:sz="0" w:space="0" w:color="auto"/>
        <w:right w:val="none" w:sz="0" w:space="0" w:color="auto"/>
      </w:divBdr>
    </w:div>
    <w:div w:id="496073657">
      <w:marLeft w:val="0"/>
      <w:marRight w:val="0"/>
      <w:marTop w:val="0"/>
      <w:marBottom w:val="0"/>
      <w:divBdr>
        <w:top w:val="none" w:sz="0" w:space="0" w:color="auto"/>
        <w:left w:val="none" w:sz="0" w:space="0" w:color="auto"/>
        <w:bottom w:val="none" w:sz="0" w:space="0" w:color="auto"/>
        <w:right w:val="none" w:sz="0" w:space="0" w:color="auto"/>
      </w:divBdr>
      <w:divsChild>
        <w:div w:id="177276142">
          <w:marLeft w:val="0"/>
          <w:marRight w:val="0"/>
          <w:marTop w:val="0"/>
          <w:marBottom w:val="0"/>
          <w:divBdr>
            <w:top w:val="none" w:sz="0" w:space="0" w:color="auto"/>
            <w:left w:val="none" w:sz="0" w:space="0" w:color="auto"/>
            <w:bottom w:val="none" w:sz="0" w:space="0" w:color="auto"/>
            <w:right w:val="none" w:sz="0" w:space="0" w:color="auto"/>
          </w:divBdr>
        </w:div>
      </w:divsChild>
    </w:div>
    <w:div w:id="498892112">
      <w:marLeft w:val="0"/>
      <w:marRight w:val="0"/>
      <w:marTop w:val="0"/>
      <w:marBottom w:val="180"/>
      <w:divBdr>
        <w:top w:val="none" w:sz="0" w:space="0" w:color="auto"/>
        <w:left w:val="none" w:sz="0" w:space="0" w:color="auto"/>
        <w:bottom w:val="none" w:sz="0" w:space="0" w:color="auto"/>
        <w:right w:val="none" w:sz="0" w:space="0" w:color="auto"/>
      </w:divBdr>
    </w:div>
    <w:div w:id="500395481">
      <w:marLeft w:val="0"/>
      <w:marRight w:val="0"/>
      <w:marTop w:val="0"/>
      <w:marBottom w:val="0"/>
      <w:divBdr>
        <w:top w:val="none" w:sz="0" w:space="0" w:color="auto"/>
        <w:left w:val="none" w:sz="0" w:space="0" w:color="auto"/>
        <w:bottom w:val="none" w:sz="0" w:space="0" w:color="auto"/>
        <w:right w:val="none" w:sz="0" w:space="0" w:color="auto"/>
      </w:divBdr>
    </w:div>
    <w:div w:id="503475732">
      <w:marLeft w:val="0"/>
      <w:marRight w:val="0"/>
      <w:marTop w:val="120"/>
      <w:marBottom w:val="120"/>
      <w:divBdr>
        <w:top w:val="none" w:sz="0" w:space="0" w:color="auto"/>
        <w:left w:val="none" w:sz="0" w:space="0" w:color="auto"/>
        <w:bottom w:val="none" w:sz="0" w:space="0" w:color="auto"/>
        <w:right w:val="none" w:sz="0" w:space="0" w:color="auto"/>
      </w:divBdr>
    </w:div>
    <w:div w:id="505558536">
      <w:marLeft w:val="0"/>
      <w:marRight w:val="0"/>
      <w:marTop w:val="0"/>
      <w:marBottom w:val="0"/>
      <w:divBdr>
        <w:top w:val="none" w:sz="0" w:space="0" w:color="auto"/>
        <w:left w:val="none" w:sz="0" w:space="0" w:color="auto"/>
        <w:bottom w:val="none" w:sz="0" w:space="0" w:color="auto"/>
        <w:right w:val="none" w:sz="0" w:space="0" w:color="auto"/>
      </w:divBdr>
    </w:div>
    <w:div w:id="506289857">
      <w:marLeft w:val="0"/>
      <w:marRight w:val="0"/>
      <w:marTop w:val="0"/>
      <w:marBottom w:val="0"/>
      <w:divBdr>
        <w:top w:val="none" w:sz="0" w:space="0" w:color="auto"/>
        <w:left w:val="none" w:sz="0" w:space="0" w:color="auto"/>
        <w:bottom w:val="none" w:sz="0" w:space="0" w:color="auto"/>
        <w:right w:val="none" w:sz="0" w:space="0" w:color="auto"/>
      </w:divBdr>
      <w:divsChild>
        <w:div w:id="41370449">
          <w:marLeft w:val="0"/>
          <w:marRight w:val="0"/>
          <w:marTop w:val="0"/>
          <w:marBottom w:val="0"/>
          <w:divBdr>
            <w:top w:val="none" w:sz="0" w:space="0" w:color="auto"/>
            <w:left w:val="none" w:sz="0" w:space="0" w:color="auto"/>
            <w:bottom w:val="none" w:sz="0" w:space="0" w:color="auto"/>
            <w:right w:val="none" w:sz="0" w:space="0" w:color="auto"/>
          </w:divBdr>
        </w:div>
      </w:divsChild>
    </w:div>
    <w:div w:id="506332955">
      <w:marLeft w:val="0"/>
      <w:marRight w:val="0"/>
      <w:marTop w:val="180"/>
      <w:marBottom w:val="180"/>
      <w:divBdr>
        <w:top w:val="none" w:sz="0" w:space="0" w:color="auto"/>
        <w:left w:val="none" w:sz="0" w:space="0" w:color="auto"/>
        <w:bottom w:val="none" w:sz="0" w:space="0" w:color="auto"/>
        <w:right w:val="none" w:sz="0" w:space="0" w:color="auto"/>
      </w:divBdr>
    </w:div>
    <w:div w:id="509443123">
      <w:marLeft w:val="0"/>
      <w:marRight w:val="0"/>
      <w:marTop w:val="0"/>
      <w:marBottom w:val="0"/>
      <w:divBdr>
        <w:top w:val="none" w:sz="0" w:space="0" w:color="auto"/>
        <w:left w:val="none" w:sz="0" w:space="0" w:color="auto"/>
        <w:bottom w:val="none" w:sz="0" w:space="0" w:color="auto"/>
        <w:right w:val="none" w:sz="0" w:space="0" w:color="auto"/>
      </w:divBdr>
      <w:divsChild>
        <w:div w:id="383220854">
          <w:marLeft w:val="0"/>
          <w:marRight w:val="0"/>
          <w:marTop w:val="0"/>
          <w:marBottom w:val="0"/>
          <w:divBdr>
            <w:top w:val="none" w:sz="0" w:space="0" w:color="auto"/>
            <w:left w:val="none" w:sz="0" w:space="0" w:color="auto"/>
            <w:bottom w:val="none" w:sz="0" w:space="0" w:color="auto"/>
            <w:right w:val="none" w:sz="0" w:space="0" w:color="auto"/>
          </w:divBdr>
        </w:div>
        <w:div w:id="1885603625">
          <w:marLeft w:val="0"/>
          <w:marRight w:val="0"/>
          <w:marTop w:val="0"/>
          <w:marBottom w:val="0"/>
          <w:divBdr>
            <w:top w:val="none" w:sz="0" w:space="0" w:color="auto"/>
            <w:left w:val="none" w:sz="0" w:space="0" w:color="auto"/>
            <w:bottom w:val="none" w:sz="0" w:space="0" w:color="auto"/>
            <w:right w:val="none" w:sz="0" w:space="0" w:color="auto"/>
          </w:divBdr>
        </w:div>
        <w:div w:id="886258855">
          <w:marLeft w:val="0"/>
          <w:marRight w:val="0"/>
          <w:marTop w:val="0"/>
          <w:marBottom w:val="0"/>
          <w:divBdr>
            <w:top w:val="none" w:sz="0" w:space="0" w:color="auto"/>
            <w:left w:val="none" w:sz="0" w:space="0" w:color="auto"/>
            <w:bottom w:val="none" w:sz="0" w:space="0" w:color="auto"/>
            <w:right w:val="none" w:sz="0" w:space="0" w:color="auto"/>
          </w:divBdr>
        </w:div>
      </w:divsChild>
    </w:div>
    <w:div w:id="513425360">
      <w:marLeft w:val="0"/>
      <w:marRight w:val="0"/>
      <w:marTop w:val="0"/>
      <w:marBottom w:val="180"/>
      <w:divBdr>
        <w:top w:val="none" w:sz="0" w:space="0" w:color="auto"/>
        <w:left w:val="none" w:sz="0" w:space="0" w:color="auto"/>
        <w:bottom w:val="none" w:sz="0" w:space="0" w:color="auto"/>
        <w:right w:val="none" w:sz="0" w:space="0" w:color="auto"/>
      </w:divBdr>
    </w:div>
    <w:div w:id="514346879">
      <w:marLeft w:val="0"/>
      <w:marRight w:val="0"/>
      <w:marTop w:val="0"/>
      <w:marBottom w:val="180"/>
      <w:divBdr>
        <w:top w:val="none" w:sz="0" w:space="0" w:color="auto"/>
        <w:left w:val="none" w:sz="0" w:space="0" w:color="auto"/>
        <w:bottom w:val="none" w:sz="0" w:space="0" w:color="auto"/>
        <w:right w:val="none" w:sz="0" w:space="0" w:color="auto"/>
      </w:divBdr>
    </w:div>
    <w:div w:id="517888600">
      <w:marLeft w:val="0"/>
      <w:marRight w:val="0"/>
      <w:marTop w:val="0"/>
      <w:marBottom w:val="240"/>
      <w:divBdr>
        <w:top w:val="none" w:sz="0" w:space="0" w:color="auto"/>
        <w:left w:val="none" w:sz="0" w:space="0" w:color="auto"/>
        <w:bottom w:val="none" w:sz="0" w:space="0" w:color="auto"/>
        <w:right w:val="none" w:sz="0" w:space="0" w:color="auto"/>
      </w:divBdr>
    </w:div>
    <w:div w:id="518467421">
      <w:marLeft w:val="0"/>
      <w:marRight w:val="0"/>
      <w:marTop w:val="0"/>
      <w:marBottom w:val="0"/>
      <w:divBdr>
        <w:top w:val="none" w:sz="0" w:space="0" w:color="auto"/>
        <w:left w:val="none" w:sz="0" w:space="0" w:color="auto"/>
        <w:bottom w:val="none" w:sz="0" w:space="0" w:color="auto"/>
        <w:right w:val="none" w:sz="0" w:space="0" w:color="auto"/>
      </w:divBdr>
    </w:div>
    <w:div w:id="518593146">
      <w:marLeft w:val="0"/>
      <w:marRight w:val="0"/>
      <w:marTop w:val="0"/>
      <w:marBottom w:val="0"/>
      <w:divBdr>
        <w:top w:val="none" w:sz="0" w:space="0" w:color="auto"/>
        <w:left w:val="none" w:sz="0" w:space="0" w:color="auto"/>
        <w:bottom w:val="none" w:sz="0" w:space="0" w:color="auto"/>
        <w:right w:val="none" w:sz="0" w:space="0" w:color="auto"/>
      </w:divBdr>
      <w:divsChild>
        <w:div w:id="289750725">
          <w:marLeft w:val="0"/>
          <w:marRight w:val="0"/>
          <w:marTop w:val="0"/>
          <w:marBottom w:val="0"/>
          <w:divBdr>
            <w:top w:val="none" w:sz="0" w:space="0" w:color="auto"/>
            <w:left w:val="none" w:sz="0" w:space="0" w:color="auto"/>
            <w:bottom w:val="none" w:sz="0" w:space="0" w:color="auto"/>
            <w:right w:val="none" w:sz="0" w:space="0" w:color="auto"/>
          </w:divBdr>
        </w:div>
      </w:divsChild>
    </w:div>
    <w:div w:id="518618440">
      <w:marLeft w:val="0"/>
      <w:marRight w:val="0"/>
      <w:marTop w:val="0"/>
      <w:marBottom w:val="240"/>
      <w:divBdr>
        <w:top w:val="none" w:sz="0" w:space="0" w:color="auto"/>
        <w:left w:val="none" w:sz="0" w:space="0" w:color="auto"/>
        <w:bottom w:val="none" w:sz="0" w:space="0" w:color="auto"/>
        <w:right w:val="none" w:sz="0" w:space="0" w:color="auto"/>
      </w:divBdr>
    </w:div>
    <w:div w:id="520899863">
      <w:marLeft w:val="0"/>
      <w:marRight w:val="0"/>
      <w:marTop w:val="0"/>
      <w:marBottom w:val="180"/>
      <w:divBdr>
        <w:top w:val="none" w:sz="0" w:space="0" w:color="auto"/>
        <w:left w:val="none" w:sz="0" w:space="0" w:color="auto"/>
        <w:bottom w:val="none" w:sz="0" w:space="0" w:color="auto"/>
        <w:right w:val="none" w:sz="0" w:space="0" w:color="auto"/>
      </w:divBdr>
    </w:div>
    <w:div w:id="523906955">
      <w:marLeft w:val="0"/>
      <w:marRight w:val="0"/>
      <w:marTop w:val="180"/>
      <w:marBottom w:val="180"/>
      <w:divBdr>
        <w:top w:val="none" w:sz="0" w:space="0" w:color="auto"/>
        <w:left w:val="none" w:sz="0" w:space="0" w:color="auto"/>
        <w:bottom w:val="none" w:sz="0" w:space="0" w:color="auto"/>
        <w:right w:val="none" w:sz="0" w:space="0" w:color="auto"/>
      </w:divBdr>
    </w:div>
    <w:div w:id="526259293">
      <w:marLeft w:val="0"/>
      <w:marRight w:val="0"/>
      <w:marTop w:val="0"/>
      <w:marBottom w:val="0"/>
      <w:divBdr>
        <w:top w:val="none" w:sz="0" w:space="0" w:color="auto"/>
        <w:left w:val="none" w:sz="0" w:space="0" w:color="auto"/>
        <w:bottom w:val="none" w:sz="0" w:space="0" w:color="auto"/>
        <w:right w:val="none" w:sz="0" w:space="0" w:color="auto"/>
      </w:divBdr>
      <w:divsChild>
        <w:div w:id="2038236958">
          <w:marLeft w:val="0"/>
          <w:marRight w:val="0"/>
          <w:marTop w:val="0"/>
          <w:marBottom w:val="0"/>
          <w:divBdr>
            <w:top w:val="none" w:sz="0" w:space="0" w:color="auto"/>
            <w:left w:val="none" w:sz="0" w:space="0" w:color="auto"/>
            <w:bottom w:val="none" w:sz="0" w:space="0" w:color="auto"/>
            <w:right w:val="none" w:sz="0" w:space="0" w:color="auto"/>
          </w:divBdr>
        </w:div>
      </w:divsChild>
    </w:div>
    <w:div w:id="529075785">
      <w:marLeft w:val="0"/>
      <w:marRight w:val="0"/>
      <w:marTop w:val="180"/>
      <w:marBottom w:val="180"/>
      <w:divBdr>
        <w:top w:val="none" w:sz="0" w:space="0" w:color="auto"/>
        <w:left w:val="none" w:sz="0" w:space="0" w:color="auto"/>
        <w:bottom w:val="none" w:sz="0" w:space="0" w:color="auto"/>
        <w:right w:val="none" w:sz="0" w:space="0" w:color="auto"/>
      </w:divBdr>
    </w:div>
    <w:div w:id="529953668">
      <w:marLeft w:val="0"/>
      <w:marRight w:val="0"/>
      <w:marTop w:val="0"/>
      <w:marBottom w:val="180"/>
      <w:divBdr>
        <w:top w:val="none" w:sz="0" w:space="0" w:color="auto"/>
        <w:left w:val="none" w:sz="0" w:space="0" w:color="auto"/>
        <w:bottom w:val="none" w:sz="0" w:space="0" w:color="auto"/>
        <w:right w:val="none" w:sz="0" w:space="0" w:color="auto"/>
      </w:divBdr>
    </w:div>
    <w:div w:id="530654988">
      <w:marLeft w:val="0"/>
      <w:marRight w:val="0"/>
      <w:marTop w:val="0"/>
      <w:marBottom w:val="180"/>
      <w:divBdr>
        <w:top w:val="none" w:sz="0" w:space="0" w:color="auto"/>
        <w:left w:val="none" w:sz="0" w:space="0" w:color="auto"/>
        <w:bottom w:val="none" w:sz="0" w:space="0" w:color="auto"/>
        <w:right w:val="none" w:sz="0" w:space="0" w:color="auto"/>
      </w:divBdr>
    </w:div>
    <w:div w:id="535050128">
      <w:marLeft w:val="0"/>
      <w:marRight w:val="0"/>
      <w:marTop w:val="0"/>
      <w:marBottom w:val="240"/>
      <w:divBdr>
        <w:top w:val="none" w:sz="0" w:space="0" w:color="auto"/>
        <w:left w:val="none" w:sz="0" w:space="0" w:color="auto"/>
        <w:bottom w:val="none" w:sz="0" w:space="0" w:color="auto"/>
        <w:right w:val="none" w:sz="0" w:space="0" w:color="auto"/>
      </w:divBdr>
    </w:div>
    <w:div w:id="535701749">
      <w:marLeft w:val="0"/>
      <w:marRight w:val="0"/>
      <w:marTop w:val="20"/>
      <w:marBottom w:val="120"/>
      <w:divBdr>
        <w:top w:val="none" w:sz="0" w:space="0" w:color="auto"/>
        <w:left w:val="none" w:sz="0" w:space="0" w:color="auto"/>
        <w:bottom w:val="none" w:sz="0" w:space="0" w:color="auto"/>
        <w:right w:val="none" w:sz="0" w:space="0" w:color="auto"/>
      </w:divBdr>
    </w:div>
    <w:div w:id="537200934">
      <w:marLeft w:val="0"/>
      <w:marRight w:val="0"/>
      <w:marTop w:val="0"/>
      <w:marBottom w:val="0"/>
      <w:divBdr>
        <w:top w:val="none" w:sz="0" w:space="0" w:color="auto"/>
        <w:left w:val="none" w:sz="0" w:space="0" w:color="auto"/>
        <w:bottom w:val="none" w:sz="0" w:space="0" w:color="auto"/>
        <w:right w:val="none" w:sz="0" w:space="0" w:color="auto"/>
      </w:divBdr>
    </w:div>
    <w:div w:id="537937395">
      <w:marLeft w:val="0"/>
      <w:marRight w:val="0"/>
      <w:marTop w:val="0"/>
      <w:marBottom w:val="180"/>
      <w:divBdr>
        <w:top w:val="none" w:sz="0" w:space="0" w:color="auto"/>
        <w:left w:val="none" w:sz="0" w:space="0" w:color="auto"/>
        <w:bottom w:val="none" w:sz="0" w:space="0" w:color="auto"/>
        <w:right w:val="none" w:sz="0" w:space="0" w:color="auto"/>
      </w:divBdr>
    </w:div>
    <w:div w:id="539518590">
      <w:marLeft w:val="0"/>
      <w:marRight w:val="0"/>
      <w:marTop w:val="0"/>
      <w:marBottom w:val="180"/>
      <w:divBdr>
        <w:top w:val="none" w:sz="0" w:space="0" w:color="auto"/>
        <w:left w:val="none" w:sz="0" w:space="0" w:color="auto"/>
        <w:bottom w:val="none" w:sz="0" w:space="0" w:color="auto"/>
        <w:right w:val="none" w:sz="0" w:space="0" w:color="auto"/>
      </w:divBdr>
    </w:div>
    <w:div w:id="539980122">
      <w:marLeft w:val="0"/>
      <w:marRight w:val="0"/>
      <w:marTop w:val="0"/>
      <w:marBottom w:val="0"/>
      <w:divBdr>
        <w:top w:val="none" w:sz="0" w:space="0" w:color="auto"/>
        <w:left w:val="none" w:sz="0" w:space="0" w:color="auto"/>
        <w:bottom w:val="none" w:sz="0" w:space="0" w:color="auto"/>
        <w:right w:val="none" w:sz="0" w:space="0" w:color="auto"/>
      </w:divBdr>
      <w:divsChild>
        <w:div w:id="1961255884">
          <w:marLeft w:val="0"/>
          <w:marRight w:val="0"/>
          <w:marTop w:val="0"/>
          <w:marBottom w:val="0"/>
          <w:divBdr>
            <w:top w:val="none" w:sz="0" w:space="0" w:color="auto"/>
            <w:left w:val="none" w:sz="0" w:space="0" w:color="auto"/>
            <w:bottom w:val="none" w:sz="0" w:space="0" w:color="auto"/>
            <w:right w:val="none" w:sz="0" w:space="0" w:color="auto"/>
          </w:divBdr>
        </w:div>
      </w:divsChild>
    </w:div>
    <w:div w:id="544374737">
      <w:marLeft w:val="0"/>
      <w:marRight w:val="0"/>
      <w:marTop w:val="180"/>
      <w:marBottom w:val="180"/>
      <w:divBdr>
        <w:top w:val="none" w:sz="0" w:space="0" w:color="auto"/>
        <w:left w:val="none" w:sz="0" w:space="0" w:color="auto"/>
        <w:bottom w:val="none" w:sz="0" w:space="0" w:color="auto"/>
        <w:right w:val="none" w:sz="0" w:space="0" w:color="auto"/>
      </w:divBdr>
    </w:div>
    <w:div w:id="544636341">
      <w:marLeft w:val="0"/>
      <w:marRight w:val="0"/>
      <w:marTop w:val="0"/>
      <w:marBottom w:val="180"/>
      <w:divBdr>
        <w:top w:val="none" w:sz="0" w:space="0" w:color="auto"/>
        <w:left w:val="none" w:sz="0" w:space="0" w:color="auto"/>
        <w:bottom w:val="none" w:sz="0" w:space="0" w:color="auto"/>
        <w:right w:val="none" w:sz="0" w:space="0" w:color="auto"/>
      </w:divBdr>
    </w:div>
    <w:div w:id="545416567">
      <w:marLeft w:val="0"/>
      <w:marRight w:val="0"/>
      <w:marTop w:val="120"/>
      <w:marBottom w:val="120"/>
      <w:divBdr>
        <w:top w:val="none" w:sz="0" w:space="0" w:color="auto"/>
        <w:left w:val="none" w:sz="0" w:space="0" w:color="auto"/>
        <w:bottom w:val="none" w:sz="0" w:space="0" w:color="auto"/>
        <w:right w:val="none" w:sz="0" w:space="0" w:color="auto"/>
      </w:divBdr>
    </w:div>
    <w:div w:id="545681305">
      <w:marLeft w:val="0"/>
      <w:marRight w:val="0"/>
      <w:marTop w:val="0"/>
      <w:marBottom w:val="240"/>
      <w:divBdr>
        <w:top w:val="none" w:sz="0" w:space="0" w:color="auto"/>
        <w:left w:val="none" w:sz="0" w:space="0" w:color="auto"/>
        <w:bottom w:val="none" w:sz="0" w:space="0" w:color="auto"/>
        <w:right w:val="none" w:sz="0" w:space="0" w:color="auto"/>
      </w:divBdr>
    </w:div>
    <w:div w:id="549659109">
      <w:marLeft w:val="0"/>
      <w:marRight w:val="0"/>
      <w:marTop w:val="0"/>
      <w:marBottom w:val="0"/>
      <w:divBdr>
        <w:top w:val="none" w:sz="0" w:space="0" w:color="auto"/>
        <w:left w:val="none" w:sz="0" w:space="0" w:color="auto"/>
        <w:bottom w:val="none" w:sz="0" w:space="0" w:color="auto"/>
        <w:right w:val="none" w:sz="0" w:space="0" w:color="auto"/>
      </w:divBdr>
      <w:divsChild>
        <w:div w:id="1394507772">
          <w:marLeft w:val="0"/>
          <w:marRight w:val="0"/>
          <w:marTop w:val="0"/>
          <w:marBottom w:val="0"/>
          <w:divBdr>
            <w:top w:val="none" w:sz="0" w:space="0" w:color="auto"/>
            <w:left w:val="none" w:sz="0" w:space="0" w:color="auto"/>
            <w:bottom w:val="none" w:sz="0" w:space="0" w:color="auto"/>
            <w:right w:val="none" w:sz="0" w:space="0" w:color="auto"/>
          </w:divBdr>
        </w:div>
      </w:divsChild>
    </w:div>
    <w:div w:id="550848090">
      <w:marLeft w:val="0"/>
      <w:marRight w:val="0"/>
      <w:marTop w:val="0"/>
      <w:marBottom w:val="180"/>
      <w:divBdr>
        <w:top w:val="none" w:sz="0" w:space="0" w:color="auto"/>
        <w:left w:val="none" w:sz="0" w:space="0" w:color="auto"/>
        <w:bottom w:val="none" w:sz="0" w:space="0" w:color="auto"/>
        <w:right w:val="none" w:sz="0" w:space="0" w:color="auto"/>
      </w:divBdr>
    </w:div>
    <w:div w:id="554508859">
      <w:marLeft w:val="0"/>
      <w:marRight w:val="0"/>
      <w:marTop w:val="100"/>
      <w:marBottom w:val="0"/>
      <w:divBdr>
        <w:top w:val="none" w:sz="0" w:space="0" w:color="auto"/>
        <w:left w:val="none" w:sz="0" w:space="0" w:color="auto"/>
        <w:bottom w:val="none" w:sz="0" w:space="0" w:color="auto"/>
        <w:right w:val="none" w:sz="0" w:space="0" w:color="auto"/>
      </w:divBdr>
    </w:div>
    <w:div w:id="555045596">
      <w:marLeft w:val="0"/>
      <w:marRight w:val="0"/>
      <w:marTop w:val="0"/>
      <w:marBottom w:val="0"/>
      <w:divBdr>
        <w:top w:val="none" w:sz="0" w:space="0" w:color="auto"/>
        <w:left w:val="none" w:sz="0" w:space="0" w:color="auto"/>
        <w:bottom w:val="none" w:sz="0" w:space="0" w:color="auto"/>
        <w:right w:val="none" w:sz="0" w:space="0" w:color="auto"/>
      </w:divBdr>
      <w:divsChild>
        <w:div w:id="1855992513">
          <w:marLeft w:val="0"/>
          <w:marRight w:val="0"/>
          <w:marTop w:val="0"/>
          <w:marBottom w:val="0"/>
          <w:divBdr>
            <w:top w:val="none" w:sz="0" w:space="0" w:color="auto"/>
            <w:left w:val="none" w:sz="0" w:space="0" w:color="auto"/>
            <w:bottom w:val="none" w:sz="0" w:space="0" w:color="auto"/>
            <w:right w:val="none" w:sz="0" w:space="0" w:color="auto"/>
          </w:divBdr>
        </w:div>
      </w:divsChild>
    </w:div>
    <w:div w:id="557133026">
      <w:marLeft w:val="0"/>
      <w:marRight w:val="0"/>
      <w:marTop w:val="0"/>
      <w:marBottom w:val="0"/>
      <w:divBdr>
        <w:top w:val="none" w:sz="0" w:space="0" w:color="auto"/>
        <w:left w:val="none" w:sz="0" w:space="0" w:color="auto"/>
        <w:bottom w:val="none" w:sz="0" w:space="0" w:color="auto"/>
        <w:right w:val="none" w:sz="0" w:space="0" w:color="auto"/>
      </w:divBdr>
    </w:div>
    <w:div w:id="557715338">
      <w:marLeft w:val="0"/>
      <w:marRight w:val="0"/>
      <w:marTop w:val="120"/>
      <w:marBottom w:val="120"/>
      <w:divBdr>
        <w:top w:val="none" w:sz="0" w:space="0" w:color="auto"/>
        <w:left w:val="none" w:sz="0" w:space="0" w:color="auto"/>
        <w:bottom w:val="none" w:sz="0" w:space="0" w:color="auto"/>
        <w:right w:val="none" w:sz="0" w:space="0" w:color="auto"/>
      </w:divBdr>
    </w:div>
    <w:div w:id="558786228">
      <w:marLeft w:val="0"/>
      <w:marRight w:val="0"/>
      <w:marTop w:val="0"/>
      <w:marBottom w:val="180"/>
      <w:divBdr>
        <w:top w:val="none" w:sz="0" w:space="0" w:color="auto"/>
        <w:left w:val="none" w:sz="0" w:space="0" w:color="auto"/>
        <w:bottom w:val="none" w:sz="0" w:space="0" w:color="auto"/>
        <w:right w:val="none" w:sz="0" w:space="0" w:color="auto"/>
      </w:divBdr>
    </w:div>
    <w:div w:id="562252633">
      <w:marLeft w:val="0"/>
      <w:marRight w:val="0"/>
      <w:marTop w:val="0"/>
      <w:marBottom w:val="0"/>
      <w:divBdr>
        <w:top w:val="none" w:sz="0" w:space="0" w:color="auto"/>
        <w:left w:val="none" w:sz="0" w:space="0" w:color="auto"/>
        <w:bottom w:val="none" w:sz="0" w:space="0" w:color="auto"/>
        <w:right w:val="none" w:sz="0" w:space="0" w:color="auto"/>
      </w:divBdr>
      <w:divsChild>
        <w:div w:id="323706177">
          <w:marLeft w:val="0"/>
          <w:marRight w:val="0"/>
          <w:marTop w:val="0"/>
          <w:marBottom w:val="0"/>
          <w:divBdr>
            <w:top w:val="none" w:sz="0" w:space="0" w:color="auto"/>
            <w:left w:val="none" w:sz="0" w:space="0" w:color="auto"/>
            <w:bottom w:val="none" w:sz="0" w:space="0" w:color="auto"/>
            <w:right w:val="none" w:sz="0" w:space="0" w:color="auto"/>
          </w:divBdr>
        </w:div>
      </w:divsChild>
    </w:div>
    <w:div w:id="563682466">
      <w:marLeft w:val="0"/>
      <w:marRight w:val="0"/>
      <w:marTop w:val="0"/>
      <w:marBottom w:val="180"/>
      <w:divBdr>
        <w:top w:val="none" w:sz="0" w:space="0" w:color="auto"/>
        <w:left w:val="none" w:sz="0" w:space="0" w:color="auto"/>
        <w:bottom w:val="none" w:sz="0" w:space="0" w:color="auto"/>
        <w:right w:val="none" w:sz="0" w:space="0" w:color="auto"/>
      </w:divBdr>
    </w:div>
    <w:div w:id="565916274">
      <w:marLeft w:val="0"/>
      <w:marRight w:val="0"/>
      <w:marTop w:val="0"/>
      <w:marBottom w:val="240"/>
      <w:divBdr>
        <w:top w:val="none" w:sz="0" w:space="0" w:color="auto"/>
        <w:left w:val="none" w:sz="0" w:space="0" w:color="auto"/>
        <w:bottom w:val="none" w:sz="0" w:space="0" w:color="auto"/>
        <w:right w:val="none" w:sz="0" w:space="0" w:color="auto"/>
      </w:divBdr>
    </w:div>
    <w:div w:id="567544181">
      <w:marLeft w:val="0"/>
      <w:marRight w:val="0"/>
      <w:marTop w:val="0"/>
      <w:marBottom w:val="180"/>
      <w:divBdr>
        <w:top w:val="none" w:sz="0" w:space="0" w:color="auto"/>
        <w:left w:val="none" w:sz="0" w:space="0" w:color="auto"/>
        <w:bottom w:val="none" w:sz="0" w:space="0" w:color="auto"/>
        <w:right w:val="none" w:sz="0" w:space="0" w:color="auto"/>
      </w:divBdr>
    </w:div>
    <w:div w:id="572276713">
      <w:marLeft w:val="0"/>
      <w:marRight w:val="0"/>
      <w:marTop w:val="0"/>
      <w:marBottom w:val="240"/>
      <w:divBdr>
        <w:top w:val="none" w:sz="0" w:space="0" w:color="auto"/>
        <w:left w:val="none" w:sz="0" w:space="0" w:color="auto"/>
        <w:bottom w:val="none" w:sz="0" w:space="0" w:color="auto"/>
        <w:right w:val="none" w:sz="0" w:space="0" w:color="auto"/>
      </w:divBdr>
    </w:div>
    <w:div w:id="573051865">
      <w:marLeft w:val="0"/>
      <w:marRight w:val="0"/>
      <w:marTop w:val="180"/>
      <w:marBottom w:val="180"/>
      <w:divBdr>
        <w:top w:val="none" w:sz="0" w:space="0" w:color="auto"/>
        <w:left w:val="none" w:sz="0" w:space="0" w:color="auto"/>
        <w:bottom w:val="none" w:sz="0" w:space="0" w:color="auto"/>
        <w:right w:val="none" w:sz="0" w:space="0" w:color="auto"/>
      </w:divBdr>
    </w:div>
    <w:div w:id="575365629">
      <w:marLeft w:val="0"/>
      <w:marRight w:val="0"/>
      <w:marTop w:val="0"/>
      <w:marBottom w:val="0"/>
      <w:divBdr>
        <w:top w:val="none" w:sz="0" w:space="0" w:color="auto"/>
        <w:left w:val="none" w:sz="0" w:space="0" w:color="auto"/>
        <w:bottom w:val="none" w:sz="0" w:space="0" w:color="auto"/>
        <w:right w:val="none" w:sz="0" w:space="0" w:color="auto"/>
      </w:divBdr>
      <w:divsChild>
        <w:div w:id="2021470095">
          <w:marLeft w:val="0"/>
          <w:marRight w:val="0"/>
          <w:marTop w:val="0"/>
          <w:marBottom w:val="0"/>
          <w:divBdr>
            <w:top w:val="none" w:sz="0" w:space="0" w:color="auto"/>
            <w:left w:val="none" w:sz="0" w:space="0" w:color="auto"/>
            <w:bottom w:val="none" w:sz="0" w:space="0" w:color="auto"/>
            <w:right w:val="none" w:sz="0" w:space="0" w:color="auto"/>
          </w:divBdr>
        </w:div>
      </w:divsChild>
    </w:div>
    <w:div w:id="577249925">
      <w:marLeft w:val="0"/>
      <w:marRight w:val="0"/>
      <w:marTop w:val="0"/>
      <w:marBottom w:val="0"/>
      <w:divBdr>
        <w:top w:val="none" w:sz="0" w:space="0" w:color="auto"/>
        <w:left w:val="none" w:sz="0" w:space="0" w:color="auto"/>
        <w:bottom w:val="none" w:sz="0" w:space="0" w:color="auto"/>
        <w:right w:val="none" w:sz="0" w:space="0" w:color="auto"/>
      </w:divBdr>
    </w:div>
    <w:div w:id="579025135">
      <w:marLeft w:val="0"/>
      <w:marRight w:val="0"/>
      <w:marTop w:val="0"/>
      <w:marBottom w:val="0"/>
      <w:divBdr>
        <w:top w:val="none" w:sz="0" w:space="0" w:color="auto"/>
        <w:left w:val="none" w:sz="0" w:space="0" w:color="auto"/>
        <w:bottom w:val="none" w:sz="0" w:space="0" w:color="auto"/>
        <w:right w:val="none" w:sz="0" w:space="0" w:color="auto"/>
      </w:divBdr>
    </w:div>
    <w:div w:id="581525862">
      <w:marLeft w:val="0"/>
      <w:marRight w:val="0"/>
      <w:marTop w:val="0"/>
      <w:marBottom w:val="240"/>
      <w:divBdr>
        <w:top w:val="none" w:sz="0" w:space="0" w:color="auto"/>
        <w:left w:val="none" w:sz="0" w:space="0" w:color="auto"/>
        <w:bottom w:val="none" w:sz="0" w:space="0" w:color="auto"/>
        <w:right w:val="none" w:sz="0" w:space="0" w:color="auto"/>
      </w:divBdr>
    </w:div>
    <w:div w:id="583105540">
      <w:marLeft w:val="0"/>
      <w:marRight w:val="0"/>
      <w:marTop w:val="180"/>
      <w:marBottom w:val="180"/>
      <w:divBdr>
        <w:top w:val="none" w:sz="0" w:space="0" w:color="auto"/>
        <w:left w:val="none" w:sz="0" w:space="0" w:color="auto"/>
        <w:bottom w:val="none" w:sz="0" w:space="0" w:color="auto"/>
        <w:right w:val="none" w:sz="0" w:space="0" w:color="auto"/>
      </w:divBdr>
    </w:div>
    <w:div w:id="583144594">
      <w:marLeft w:val="0"/>
      <w:marRight w:val="0"/>
      <w:marTop w:val="0"/>
      <w:marBottom w:val="180"/>
      <w:divBdr>
        <w:top w:val="none" w:sz="0" w:space="0" w:color="auto"/>
        <w:left w:val="none" w:sz="0" w:space="0" w:color="auto"/>
        <w:bottom w:val="none" w:sz="0" w:space="0" w:color="auto"/>
        <w:right w:val="none" w:sz="0" w:space="0" w:color="auto"/>
      </w:divBdr>
    </w:div>
    <w:div w:id="585312737">
      <w:marLeft w:val="0"/>
      <w:marRight w:val="0"/>
      <w:marTop w:val="120"/>
      <w:marBottom w:val="240"/>
      <w:divBdr>
        <w:top w:val="none" w:sz="0" w:space="0" w:color="auto"/>
        <w:left w:val="none" w:sz="0" w:space="0" w:color="auto"/>
        <w:bottom w:val="none" w:sz="0" w:space="0" w:color="auto"/>
        <w:right w:val="none" w:sz="0" w:space="0" w:color="auto"/>
      </w:divBdr>
    </w:div>
    <w:div w:id="589001500">
      <w:marLeft w:val="0"/>
      <w:marRight w:val="0"/>
      <w:marTop w:val="0"/>
      <w:marBottom w:val="0"/>
      <w:divBdr>
        <w:top w:val="none" w:sz="0" w:space="0" w:color="auto"/>
        <w:left w:val="none" w:sz="0" w:space="0" w:color="auto"/>
        <w:bottom w:val="none" w:sz="0" w:space="0" w:color="auto"/>
        <w:right w:val="none" w:sz="0" w:space="0" w:color="auto"/>
      </w:divBdr>
    </w:div>
    <w:div w:id="589968248">
      <w:marLeft w:val="0"/>
      <w:marRight w:val="0"/>
      <w:marTop w:val="0"/>
      <w:marBottom w:val="180"/>
      <w:divBdr>
        <w:top w:val="none" w:sz="0" w:space="0" w:color="auto"/>
        <w:left w:val="none" w:sz="0" w:space="0" w:color="auto"/>
        <w:bottom w:val="none" w:sz="0" w:space="0" w:color="auto"/>
        <w:right w:val="none" w:sz="0" w:space="0" w:color="auto"/>
      </w:divBdr>
    </w:div>
    <w:div w:id="590359080">
      <w:marLeft w:val="0"/>
      <w:marRight w:val="0"/>
      <w:marTop w:val="120"/>
      <w:marBottom w:val="120"/>
      <w:divBdr>
        <w:top w:val="none" w:sz="0" w:space="0" w:color="auto"/>
        <w:left w:val="none" w:sz="0" w:space="0" w:color="auto"/>
        <w:bottom w:val="none" w:sz="0" w:space="0" w:color="auto"/>
        <w:right w:val="none" w:sz="0" w:space="0" w:color="auto"/>
      </w:divBdr>
    </w:div>
    <w:div w:id="590744340">
      <w:marLeft w:val="0"/>
      <w:marRight w:val="0"/>
      <w:marTop w:val="0"/>
      <w:marBottom w:val="0"/>
      <w:divBdr>
        <w:top w:val="none" w:sz="0" w:space="0" w:color="auto"/>
        <w:left w:val="none" w:sz="0" w:space="0" w:color="auto"/>
        <w:bottom w:val="none" w:sz="0" w:space="0" w:color="auto"/>
        <w:right w:val="none" w:sz="0" w:space="0" w:color="auto"/>
      </w:divBdr>
      <w:divsChild>
        <w:div w:id="536478561">
          <w:marLeft w:val="0"/>
          <w:marRight w:val="0"/>
          <w:marTop w:val="0"/>
          <w:marBottom w:val="0"/>
          <w:divBdr>
            <w:top w:val="none" w:sz="0" w:space="0" w:color="auto"/>
            <w:left w:val="none" w:sz="0" w:space="0" w:color="auto"/>
            <w:bottom w:val="none" w:sz="0" w:space="0" w:color="auto"/>
            <w:right w:val="none" w:sz="0" w:space="0" w:color="auto"/>
          </w:divBdr>
        </w:div>
      </w:divsChild>
    </w:div>
    <w:div w:id="590896906">
      <w:marLeft w:val="0"/>
      <w:marRight w:val="0"/>
      <w:marTop w:val="180"/>
      <w:marBottom w:val="240"/>
      <w:divBdr>
        <w:top w:val="none" w:sz="0" w:space="0" w:color="auto"/>
        <w:left w:val="none" w:sz="0" w:space="0" w:color="auto"/>
        <w:bottom w:val="none" w:sz="0" w:space="0" w:color="auto"/>
        <w:right w:val="none" w:sz="0" w:space="0" w:color="auto"/>
      </w:divBdr>
    </w:div>
    <w:div w:id="591469309">
      <w:marLeft w:val="0"/>
      <w:marRight w:val="0"/>
      <w:marTop w:val="120"/>
      <w:marBottom w:val="120"/>
      <w:divBdr>
        <w:top w:val="none" w:sz="0" w:space="0" w:color="auto"/>
        <w:left w:val="none" w:sz="0" w:space="0" w:color="auto"/>
        <w:bottom w:val="none" w:sz="0" w:space="0" w:color="auto"/>
        <w:right w:val="none" w:sz="0" w:space="0" w:color="auto"/>
      </w:divBdr>
    </w:div>
    <w:div w:id="595014599">
      <w:marLeft w:val="0"/>
      <w:marRight w:val="0"/>
      <w:marTop w:val="100"/>
      <w:marBottom w:val="0"/>
      <w:divBdr>
        <w:top w:val="none" w:sz="0" w:space="0" w:color="auto"/>
        <w:left w:val="none" w:sz="0" w:space="0" w:color="auto"/>
        <w:bottom w:val="none" w:sz="0" w:space="0" w:color="auto"/>
        <w:right w:val="none" w:sz="0" w:space="0" w:color="auto"/>
      </w:divBdr>
    </w:div>
    <w:div w:id="598761487">
      <w:marLeft w:val="0"/>
      <w:marRight w:val="0"/>
      <w:marTop w:val="0"/>
      <w:marBottom w:val="0"/>
      <w:divBdr>
        <w:top w:val="none" w:sz="0" w:space="0" w:color="auto"/>
        <w:left w:val="none" w:sz="0" w:space="0" w:color="auto"/>
        <w:bottom w:val="none" w:sz="0" w:space="0" w:color="auto"/>
        <w:right w:val="none" w:sz="0" w:space="0" w:color="auto"/>
      </w:divBdr>
      <w:divsChild>
        <w:div w:id="1988394874">
          <w:marLeft w:val="0"/>
          <w:marRight w:val="0"/>
          <w:marTop w:val="0"/>
          <w:marBottom w:val="0"/>
          <w:divBdr>
            <w:top w:val="none" w:sz="0" w:space="0" w:color="auto"/>
            <w:left w:val="none" w:sz="0" w:space="0" w:color="auto"/>
            <w:bottom w:val="none" w:sz="0" w:space="0" w:color="auto"/>
            <w:right w:val="none" w:sz="0" w:space="0" w:color="auto"/>
          </w:divBdr>
        </w:div>
      </w:divsChild>
    </w:div>
    <w:div w:id="600797241">
      <w:marLeft w:val="0"/>
      <w:marRight w:val="0"/>
      <w:marTop w:val="0"/>
      <w:marBottom w:val="240"/>
      <w:divBdr>
        <w:top w:val="none" w:sz="0" w:space="0" w:color="auto"/>
        <w:left w:val="none" w:sz="0" w:space="0" w:color="auto"/>
        <w:bottom w:val="none" w:sz="0" w:space="0" w:color="auto"/>
        <w:right w:val="none" w:sz="0" w:space="0" w:color="auto"/>
      </w:divBdr>
    </w:div>
    <w:div w:id="606618025">
      <w:marLeft w:val="0"/>
      <w:marRight w:val="0"/>
      <w:marTop w:val="0"/>
      <w:marBottom w:val="0"/>
      <w:divBdr>
        <w:top w:val="none" w:sz="0" w:space="0" w:color="auto"/>
        <w:left w:val="none" w:sz="0" w:space="0" w:color="auto"/>
        <w:bottom w:val="none" w:sz="0" w:space="0" w:color="auto"/>
        <w:right w:val="none" w:sz="0" w:space="0" w:color="auto"/>
      </w:divBdr>
    </w:div>
    <w:div w:id="607852332">
      <w:marLeft w:val="0"/>
      <w:marRight w:val="0"/>
      <w:marTop w:val="120"/>
      <w:marBottom w:val="120"/>
      <w:divBdr>
        <w:top w:val="none" w:sz="0" w:space="0" w:color="auto"/>
        <w:left w:val="none" w:sz="0" w:space="0" w:color="auto"/>
        <w:bottom w:val="none" w:sz="0" w:space="0" w:color="auto"/>
        <w:right w:val="none" w:sz="0" w:space="0" w:color="auto"/>
      </w:divBdr>
    </w:div>
    <w:div w:id="608045333">
      <w:marLeft w:val="0"/>
      <w:marRight w:val="0"/>
      <w:marTop w:val="0"/>
      <w:marBottom w:val="0"/>
      <w:divBdr>
        <w:top w:val="none" w:sz="0" w:space="0" w:color="auto"/>
        <w:left w:val="none" w:sz="0" w:space="0" w:color="auto"/>
        <w:bottom w:val="none" w:sz="0" w:space="0" w:color="auto"/>
        <w:right w:val="none" w:sz="0" w:space="0" w:color="auto"/>
      </w:divBdr>
      <w:divsChild>
        <w:div w:id="678697109">
          <w:marLeft w:val="0"/>
          <w:marRight w:val="0"/>
          <w:marTop w:val="0"/>
          <w:marBottom w:val="0"/>
          <w:divBdr>
            <w:top w:val="none" w:sz="0" w:space="0" w:color="auto"/>
            <w:left w:val="none" w:sz="0" w:space="0" w:color="auto"/>
            <w:bottom w:val="none" w:sz="0" w:space="0" w:color="auto"/>
            <w:right w:val="none" w:sz="0" w:space="0" w:color="auto"/>
          </w:divBdr>
        </w:div>
      </w:divsChild>
    </w:div>
    <w:div w:id="613246735">
      <w:marLeft w:val="0"/>
      <w:marRight w:val="0"/>
      <w:marTop w:val="0"/>
      <w:marBottom w:val="180"/>
      <w:divBdr>
        <w:top w:val="none" w:sz="0" w:space="0" w:color="auto"/>
        <w:left w:val="none" w:sz="0" w:space="0" w:color="auto"/>
        <w:bottom w:val="none" w:sz="0" w:space="0" w:color="auto"/>
        <w:right w:val="none" w:sz="0" w:space="0" w:color="auto"/>
      </w:divBdr>
    </w:div>
    <w:div w:id="614484998">
      <w:marLeft w:val="0"/>
      <w:marRight w:val="0"/>
      <w:marTop w:val="0"/>
      <w:marBottom w:val="0"/>
      <w:divBdr>
        <w:top w:val="none" w:sz="0" w:space="0" w:color="auto"/>
        <w:left w:val="none" w:sz="0" w:space="0" w:color="auto"/>
        <w:bottom w:val="none" w:sz="0" w:space="0" w:color="auto"/>
        <w:right w:val="none" w:sz="0" w:space="0" w:color="auto"/>
      </w:divBdr>
      <w:divsChild>
        <w:div w:id="1380518587">
          <w:marLeft w:val="0"/>
          <w:marRight w:val="0"/>
          <w:marTop w:val="0"/>
          <w:marBottom w:val="0"/>
          <w:divBdr>
            <w:top w:val="none" w:sz="0" w:space="0" w:color="auto"/>
            <w:left w:val="none" w:sz="0" w:space="0" w:color="auto"/>
            <w:bottom w:val="none" w:sz="0" w:space="0" w:color="auto"/>
            <w:right w:val="none" w:sz="0" w:space="0" w:color="auto"/>
          </w:divBdr>
        </w:div>
      </w:divsChild>
    </w:div>
    <w:div w:id="615674796">
      <w:marLeft w:val="0"/>
      <w:marRight w:val="0"/>
      <w:marTop w:val="120"/>
      <w:marBottom w:val="120"/>
      <w:divBdr>
        <w:top w:val="none" w:sz="0" w:space="0" w:color="auto"/>
        <w:left w:val="none" w:sz="0" w:space="0" w:color="auto"/>
        <w:bottom w:val="none" w:sz="0" w:space="0" w:color="auto"/>
        <w:right w:val="none" w:sz="0" w:space="0" w:color="auto"/>
      </w:divBdr>
    </w:div>
    <w:div w:id="615990215">
      <w:marLeft w:val="0"/>
      <w:marRight w:val="0"/>
      <w:marTop w:val="0"/>
      <w:marBottom w:val="0"/>
      <w:divBdr>
        <w:top w:val="none" w:sz="0" w:space="0" w:color="auto"/>
        <w:left w:val="none" w:sz="0" w:space="0" w:color="auto"/>
        <w:bottom w:val="none" w:sz="0" w:space="0" w:color="auto"/>
        <w:right w:val="none" w:sz="0" w:space="0" w:color="auto"/>
      </w:divBdr>
    </w:div>
    <w:div w:id="615992458">
      <w:marLeft w:val="0"/>
      <w:marRight w:val="0"/>
      <w:marTop w:val="0"/>
      <w:marBottom w:val="0"/>
      <w:divBdr>
        <w:top w:val="none" w:sz="0" w:space="0" w:color="auto"/>
        <w:left w:val="none" w:sz="0" w:space="0" w:color="auto"/>
        <w:bottom w:val="none" w:sz="0" w:space="0" w:color="auto"/>
        <w:right w:val="none" w:sz="0" w:space="0" w:color="auto"/>
      </w:divBdr>
      <w:divsChild>
        <w:div w:id="777869085">
          <w:marLeft w:val="0"/>
          <w:marRight w:val="0"/>
          <w:marTop w:val="0"/>
          <w:marBottom w:val="180"/>
          <w:divBdr>
            <w:top w:val="none" w:sz="0" w:space="0" w:color="auto"/>
            <w:left w:val="none" w:sz="0" w:space="0" w:color="auto"/>
            <w:bottom w:val="none" w:sz="0" w:space="0" w:color="auto"/>
            <w:right w:val="none" w:sz="0" w:space="0" w:color="auto"/>
          </w:divBdr>
        </w:div>
        <w:div w:id="512183342">
          <w:marLeft w:val="0"/>
          <w:marRight w:val="0"/>
          <w:marTop w:val="0"/>
          <w:marBottom w:val="0"/>
          <w:divBdr>
            <w:top w:val="none" w:sz="0" w:space="0" w:color="auto"/>
            <w:left w:val="none" w:sz="0" w:space="0" w:color="auto"/>
            <w:bottom w:val="none" w:sz="0" w:space="0" w:color="auto"/>
            <w:right w:val="none" w:sz="0" w:space="0" w:color="auto"/>
          </w:divBdr>
        </w:div>
        <w:div w:id="531572597">
          <w:marLeft w:val="0"/>
          <w:marRight w:val="0"/>
          <w:marTop w:val="0"/>
          <w:marBottom w:val="0"/>
          <w:divBdr>
            <w:top w:val="none" w:sz="0" w:space="0" w:color="auto"/>
            <w:left w:val="none" w:sz="0" w:space="0" w:color="auto"/>
            <w:bottom w:val="none" w:sz="0" w:space="0" w:color="auto"/>
            <w:right w:val="none" w:sz="0" w:space="0" w:color="auto"/>
          </w:divBdr>
        </w:div>
        <w:div w:id="1157841893">
          <w:marLeft w:val="0"/>
          <w:marRight w:val="0"/>
          <w:marTop w:val="0"/>
          <w:marBottom w:val="0"/>
          <w:divBdr>
            <w:top w:val="none" w:sz="0" w:space="0" w:color="auto"/>
            <w:left w:val="none" w:sz="0" w:space="0" w:color="auto"/>
            <w:bottom w:val="none" w:sz="0" w:space="0" w:color="auto"/>
            <w:right w:val="none" w:sz="0" w:space="0" w:color="auto"/>
          </w:divBdr>
        </w:div>
        <w:div w:id="1170483053">
          <w:marLeft w:val="0"/>
          <w:marRight w:val="0"/>
          <w:marTop w:val="0"/>
          <w:marBottom w:val="0"/>
          <w:divBdr>
            <w:top w:val="none" w:sz="0" w:space="0" w:color="auto"/>
            <w:left w:val="none" w:sz="0" w:space="0" w:color="auto"/>
            <w:bottom w:val="none" w:sz="0" w:space="0" w:color="auto"/>
            <w:right w:val="none" w:sz="0" w:space="0" w:color="auto"/>
          </w:divBdr>
        </w:div>
        <w:div w:id="208030579">
          <w:marLeft w:val="0"/>
          <w:marRight w:val="0"/>
          <w:marTop w:val="0"/>
          <w:marBottom w:val="0"/>
          <w:divBdr>
            <w:top w:val="none" w:sz="0" w:space="0" w:color="auto"/>
            <w:left w:val="none" w:sz="0" w:space="0" w:color="auto"/>
            <w:bottom w:val="none" w:sz="0" w:space="0" w:color="auto"/>
            <w:right w:val="none" w:sz="0" w:space="0" w:color="auto"/>
          </w:divBdr>
        </w:div>
      </w:divsChild>
    </w:div>
    <w:div w:id="619146745">
      <w:marLeft w:val="0"/>
      <w:marRight w:val="0"/>
      <w:marTop w:val="120"/>
      <w:marBottom w:val="120"/>
      <w:divBdr>
        <w:top w:val="none" w:sz="0" w:space="0" w:color="auto"/>
        <w:left w:val="none" w:sz="0" w:space="0" w:color="auto"/>
        <w:bottom w:val="none" w:sz="0" w:space="0" w:color="auto"/>
        <w:right w:val="none" w:sz="0" w:space="0" w:color="auto"/>
      </w:divBdr>
    </w:div>
    <w:div w:id="620262009">
      <w:marLeft w:val="0"/>
      <w:marRight w:val="0"/>
      <w:marTop w:val="0"/>
      <w:marBottom w:val="0"/>
      <w:divBdr>
        <w:top w:val="none" w:sz="0" w:space="0" w:color="auto"/>
        <w:left w:val="none" w:sz="0" w:space="0" w:color="auto"/>
        <w:bottom w:val="none" w:sz="0" w:space="0" w:color="auto"/>
        <w:right w:val="none" w:sz="0" w:space="0" w:color="auto"/>
      </w:divBdr>
    </w:div>
    <w:div w:id="621690223">
      <w:marLeft w:val="0"/>
      <w:marRight w:val="0"/>
      <w:marTop w:val="0"/>
      <w:marBottom w:val="240"/>
      <w:divBdr>
        <w:top w:val="none" w:sz="0" w:space="0" w:color="auto"/>
        <w:left w:val="none" w:sz="0" w:space="0" w:color="auto"/>
        <w:bottom w:val="none" w:sz="0" w:space="0" w:color="auto"/>
        <w:right w:val="none" w:sz="0" w:space="0" w:color="auto"/>
      </w:divBdr>
    </w:div>
    <w:div w:id="624777738">
      <w:marLeft w:val="0"/>
      <w:marRight w:val="0"/>
      <w:marTop w:val="0"/>
      <w:marBottom w:val="0"/>
      <w:divBdr>
        <w:top w:val="none" w:sz="0" w:space="0" w:color="auto"/>
        <w:left w:val="none" w:sz="0" w:space="0" w:color="auto"/>
        <w:bottom w:val="none" w:sz="0" w:space="0" w:color="auto"/>
        <w:right w:val="none" w:sz="0" w:space="0" w:color="auto"/>
      </w:divBdr>
    </w:div>
    <w:div w:id="624888473">
      <w:marLeft w:val="0"/>
      <w:marRight w:val="0"/>
      <w:marTop w:val="0"/>
      <w:marBottom w:val="240"/>
      <w:divBdr>
        <w:top w:val="none" w:sz="0" w:space="0" w:color="auto"/>
        <w:left w:val="none" w:sz="0" w:space="0" w:color="auto"/>
        <w:bottom w:val="none" w:sz="0" w:space="0" w:color="auto"/>
        <w:right w:val="none" w:sz="0" w:space="0" w:color="auto"/>
      </w:divBdr>
    </w:div>
    <w:div w:id="625241656">
      <w:marLeft w:val="0"/>
      <w:marRight w:val="0"/>
      <w:marTop w:val="0"/>
      <w:marBottom w:val="0"/>
      <w:divBdr>
        <w:top w:val="none" w:sz="0" w:space="0" w:color="auto"/>
        <w:left w:val="none" w:sz="0" w:space="0" w:color="auto"/>
        <w:bottom w:val="none" w:sz="0" w:space="0" w:color="auto"/>
        <w:right w:val="none" w:sz="0" w:space="0" w:color="auto"/>
      </w:divBdr>
      <w:divsChild>
        <w:div w:id="2008170344">
          <w:marLeft w:val="0"/>
          <w:marRight w:val="0"/>
          <w:marTop w:val="0"/>
          <w:marBottom w:val="0"/>
          <w:divBdr>
            <w:top w:val="none" w:sz="0" w:space="0" w:color="auto"/>
            <w:left w:val="none" w:sz="0" w:space="0" w:color="auto"/>
            <w:bottom w:val="none" w:sz="0" w:space="0" w:color="auto"/>
            <w:right w:val="none" w:sz="0" w:space="0" w:color="auto"/>
          </w:divBdr>
        </w:div>
      </w:divsChild>
    </w:div>
    <w:div w:id="625934721">
      <w:marLeft w:val="0"/>
      <w:marRight w:val="0"/>
      <w:marTop w:val="0"/>
      <w:marBottom w:val="0"/>
      <w:divBdr>
        <w:top w:val="none" w:sz="0" w:space="0" w:color="auto"/>
        <w:left w:val="none" w:sz="0" w:space="0" w:color="auto"/>
        <w:bottom w:val="none" w:sz="0" w:space="0" w:color="auto"/>
        <w:right w:val="none" w:sz="0" w:space="0" w:color="auto"/>
      </w:divBdr>
      <w:divsChild>
        <w:div w:id="1796484760">
          <w:marLeft w:val="0"/>
          <w:marRight w:val="0"/>
          <w:marTop w:val="0"/>
          <w:marBottom w:val="0"/>
          <w:divBdr>
            <w:top w:val="none" w:sz="0" w:space="0" w:color="auto"/>
            <w:left w:val="none" w:sz="0" w:space="0" w:color="auto"/>
            <w:bottom w:val="none" w:sz="0" w:space="0" w:color="auto"/>
            <w:right w:val="none" w:sz="0" w:space="0" w:color="auto"/>
          </w:divBdr>
        </w:div>
      </w:divsChild>
    </w:div>
    <w:div w:id="626545462">
      <w:marLeft w:val="0"/>
      <w:marRight w:val="0"/>
      <w:marTop w:val="0"/>
      <w:marBottom w:val="180"/>
      <w:divBdr>
        <w:top w:val="none" w:sz="0" w:space="0" w:color="auto"/>
        <w:left w:val="none" w:sz="0" w:space="0" w:color="auto"/>
        <w:bottom w:val="none" w:sz="0" w:space="0" w:color="auto"/>
        <w:right w:val="none" w:sz="0" w:space="0" w:color="auto"/>
      </w:divBdr>
    </w:div>
    <w:div w:id="627054021">
      <w:marLeft w:val="0"/>
      <w:marRight w:val="0"/>
      <w:marTop w:val="100"/>
      <w:marBottom w:val="0"/>
      <w:divBdr>
        <w:top w:val="none" w:sz="0" w:space="0" w:color="auto"/>
        <w:left w:val="none" w:sz="0" w:space="0" w:color="auto"/>
        <w:bottom w:val="none" w:sz="0" w:space="0" w:color="auto"/>
        <w:right w:val="none" w:sz="0" w:space="0" w:color="auto"/>
      </w:divBdr>
    </w:div>
    <w:div w:id="627274708">
      <w:marLeft w:val="0"/>
      <w:marRight w:val="0"/>
      <w:marTop w:val="180"/>
      <w:marBottom w:val="180"/>
      <w:divBdr>
        <w:top w:val="none" w:sz="0" w:space="0" w:color="auto"/>
        <w:left w:val="none" w:sz="0" w:space="0" w:color="auto"/>
        <w:bottom w:val="none" w:sz="0" w:space="0" w:color="auto"/>
        <w:right w:val="none" w:sz="0" w:space="0" w:color="auto"/>
      </w:divBdr>
    </w:div>
    <w:div w:id="628364540">
      <w:marLeft w:val="0"/>
      <w:marRight w:val="0"/>
      <w:marTop w:val="0"/>
      <w:marBottom w:val="180"/>
      <w:divBdr>
        <w:top w:val="none" w:sz="0" w:space="0" w:color="auto"/>
        <w:left w:val="none" w:sz="0" w:space="0" w:color="auto"/>
        <w:bottom w:val="none" w:sz="0" w:space="0" w:color="auto"/>
        <w:right w:val="none" w:sz="0" w:space="0" w:color="auto"/>
      </w:divBdr>
    </w:div>
    <w:div w:id="631135995">
      <w:marLeft w:val="0"/>
      <w:marRight w:val="0"/>
      <w:marTop w:val="180"/>
      <w:marBottom w:val="180"/>
      <w:divBdr>
        <w:top w:val="none" w:sz="0" w:space="0" w:color="auto"/>
        <w:left w:val="none" w:sz="0" w:space="0" w:color="auto"/>
        <w:bottom w:val="none" w:sz="0" w:space="0" w:color="auto"/>
        <w:right w:val="none" w:sz="0" w:space="0" w:color="auto"/>
      </w:divBdr>
    </w:div>
    <w:div w:id="635793992">
      <w:marLeft w:val="0"/>
      <w:marRight w:val="0"/>
      <w:marTop w:val="0"/>
      <w:marBottom w:val="240"/>
      <w:divBdr>
        <w:top w:val="none" w:sz="0" w:space="0" w:color="auto"/>
        <w:left w:val="none" w:sz="0" w:space="0" w:color="auto"/>
        <w:bottom w:val="none" w:sz="0" w:space="0" w:color="auto"/>
        <w:right w:val="none" w:sz="0" w:space="0" w:color="auto"/>
      </w:divBdr>
    </w:div>
    <w:div w:id="637763523">
      <w:marLeft w:val="0"/>
      <w:marRight w:val="0"/>
      <w:marTop w:val="0"/>
      <w:marBottom w:val="240"/>
      <w:divBdr>
        <w:top w:val="none" w:sz="0" w:space="0" w:color="auto"/>
        <w:left w:val="none" w:sz="0" w:space="0" w:color="auto"/>
        <w:bottom w:val="none" w:sz="0" w:space="0" w:color="auto"/>
        <w:right w:val="none" w:sz="0" w:space="0" w:color="auto"/>
      </w:divBdr>
    </w:div>
    <w:div w:id="638654146">
      <w:marLeft w:val="0"/>
      <w:marRight w:val="0"/>
      <w:marTop w:val="180"/>
      <w:marBottom w:val="180"/>
      <w:divBdr>
        <w:top w:val="none" w:sz="0" w:space="0" w:color="auto"/>
        <w:left w:val="none" w:sz="0" w:space="0" w:color="auto"/>
        <w:bottom w:val="none" w:sz="0" w:space="0" w:color="auto"/>
        <w:right w:val="none" w:sz="0" w:space="0" w:color="auto"/>
      </w:divBdr>
    </w:div>
    <w:div w:id="641039632">
      <w:marLeft w:val="0"/>
      <w:marRight w:val="0"/>
      <w:marTop w:val="180"/>
      <w:marBottom w:val="180"/>
      <w:divBdr>
        <w:top w:val="none" w:sz="0" w:space="0" w:color="auto"/>
        <w:left w:val="none" w:sz="0" w:space="0" w:color="auto"/>
        <w:bottom w:val="none" w:sz="0" w:space="0" w:color="auto"/>
        <w:right w:val="none" w:sz="0" w:space="0" w:color="auto"/>
      </w:divBdr>
    </w:div>
    <w:div w:id="642277305">
      <w:marLeft w:val="0"/>
      <w:marRight w:val="0"/>
      <w:marTop w:val="0"/>
      <w:marBottom w:val="0"/>
      <w:divBdr>
        <w:top w:val="none" w:sz="0" w:space="0" w:color="auto"/>
        <w:left w:val="none" w:sz="0" w:space="0" w:color="auto"/>
        <w:bottom w:val="none" w:sz="0" w:space="0" w:color="auto"/>
        <w:right w:val="none" w:sz="0" w:space="0" w:color="auto"/>
      </w:divBdr>
    </w:div>
    <w:div w:id="643004168">
      <w:marLeft w:val="0"/>
      <w:marRight w:val="0"/>
      <w:marTop w:val="0"/>
      <w:marBottom w:val="0"/>
      <w:divBdr>
        <w:top w:val="none" w:sz="0" w:space="0" w:color="auto"/>
        <w:left w:val="none" w:sz="0" w:space="0" w:color="auto"/>
        <w:bottom w:val="none" w:sz="0" w:space="0" w:color="auto"/>
        <w:right w:val="none" w:sz="0" w:space="0" w:color="auto"/>
      </w:divBdr>
      <w:divsChild>
        <w:div w:id="1906522247">
          <w:marLeft w:val="0"/>
          <w:marRight w:val="0"/>
          <w:marTop w:val="0"/>
          <w:marBottom w:val="0"/>
          <w:divBdr>
            <w:top w:val="none" w:sz="0" w:space="0" w:color="auto"/>
            <w:left w:val="none" w:sz="0" w:space="0" w:color="auto"/>
            <w:bottom w:val="none" w:sz="0" w:space="0" w:color="auto"/>
            <w:right w:val="none" w:sz="0" w:space="0" w:color="auto"/>
          </w:divBdr>
        </w:div>
      </w:divsChild>
    </w:div>
    <w:div w:id="643923529">
      <w:marLeft w:val="0"/>
      <w:marRight w:val="0"/>
      <w:marTop w:val="0"/>
      <w:marBottom w:val="0"/>
      <w:divBdr>
        <w:top w:val="none" w:sz="0" w:space="0" w:color="auto"/>
        <w:left w:val="none" w:sz="0" w:space="0" w:color="auto"/>
        <w:bottom w:val="none" w:sz="0" w:space="0" w:color="auto"/>
        <w:right w:val="none" w:sz="0" w:space="0" w:color="auto"/>
      </w:divBdr>
      <w:divsChild>
        <w:div w:id="340012293">
          <w:marLeft w:val="0"/>
          <w:marRight w:val="0"/>
          <w:marTop w:val="0"/>
          <w:marBottom w:val="0"/>
          <w:divBdr>
            <w:top w:val="none" w:sz="0" w:space="0" w:color="auto"/>
            <w:left w:val="none" w:sz="0" w:space="0" w:color="auto"/>
            <w:bottom w:val="none" w:sz="0" w:space="0" w:color="auto"/>
            <w:right w:val="none" w:sz="0" w:space="0" w:color="auto"/>
          </w:divBdr>
        </w:div>
      </w:divsChild>
    </w:div>
    <w:div w:id="645203069">
      <w:marLeft w:val="0"/>
      <w:marRight w:val="0"/>
      <w:marTop w:val="120"/>
      <w:marBottom w:val="120"/>
      <w:divBdr>
        <w:top w:val="none" w:sz="0" w:space="0" w:color="auto"/>
        <w:left w:val="none" w:sz="0" w:space="0" w:color="auto"/>
        <w:bottom w:val="none" w:sz="0" w:space="0" w:color="auto"/>
        <w:right w:val="none" w:sz="0" w:space="0" w:color="auto"/>
      </w:divBdr>
    </w:div>
    <w:div w:id="645820385">
      <w:marLeft w:val="0"/>
      <w:marRight w:val="0"/>
      <w:marTop w:val="0"/>
      <w:marBottom w:val="240"/>
      <w:divBdr>
        <w:top w:val="none" w:sz="0" w:space="0" w:color="auto"/>
        <w:left w:val="none" w:sz="0" w:space="0" w:color="auto"/>
        <w:bottom w:val="none" w:sz="0" w:space="0" w:color="auto"/>
        <w:right w:val="none" w:sz="0" w:space="0" w:color="auto"/>
      </w:divBdr>
    </w:div>
    <w:div w:id="646282452">
      <w:marLeft w:val="0"/>
      <w:marRight w:val="0"/>
      <w:marTop w:val="100"/>
      <w:marBottom w:val="0"/>
      <w:divBdr>
        <w:top w:val="none" w:sz="0" w:space="0" w:color="auto"/>
        <w:left w:val="none" w:sz="0" w:space="0" w:color="auto"/>
        <w:bottom w:val="none" w:sz="0" w:space="0" w:color="auto"/>
        <w:right w:val="none" w:sz="0" w:space="0" w:color="auto"/>
      </w:divBdr>
      <w:divsChild>
        <w:div w:id="1141382201">
          <w:marLeft w:val="0"/>
          <w:marRight w:val="0"/>
          <w:marTop w:val="0"/>
          <w:marBottom w:val="0"/>
          <w:divBdr>
            <w:top w:val="none" w:sz="0" w:space="0" w:color="auto"/>
            <w:left w:val="none" w:sz="0" w:space="0" w:color="auto"/>
            <w:bottom w:val="none" w:sz="0" w:space="0" w:color="auto"/>
            <w:right w:val="none" w:sz="0" w:space="0" w:color="auto"/>
          </w:divBdr>
        </w:div>
        <w:div w:id="1433553462">
          <w:marLeft w:val="0"/>
          <w:marRight w:val="0"/>
          <w:marTop w:val="0"/>
          <w:marBottom w:val="0"/>
          <w:divBdr>
            <w:top w:val="none" w:sz="0" w:space="0" w:color="auto"/>
            <w:left w:val="none" w:sz="0" w:space="0" w:color="auto"/>
            <w:bottom w:val="none" w:sz="0" w:space="0" w:color="auto"/>
            <w:right w:val="none" w:sz="0" w:space="0" w:color="auto"/>
          </w:divBdr>
        </w:div>
        <w:div w:id="649362198">
          <w:marLeft w:val="0"/>
          <w:marRight w:val="0"/>
          <w:marTop w:val="0"/>
          <w:marBottom w:val="0"/>
          <w:divBdr>
            <w:top w:val="none" w:sz="0" w:space="0" w:color="auto"/>
            <w:left w:val="none" w:sz="0" w:space="0" w:color="auto"/>
            <w:bottom w:val="none" w:sz="0" w:space="0" w:color="auto"/>
            <w:right w:val="none" w:sz="0" w:space="0" w:color="auto"/>
          </w:divBdr>
        </w:div>
      </w:divsChild>
    </w:div>
    <w:div w:id="647132322">
      <w:marLeft w:val="0"/>
      <w:marRight w:val="0"/>
      <w:marTop w:val="0"/>
      <w:marBottom w:val="0"/>
      <w:divBdr>
        <w:top w:val="none" w:sz="0" w:space="0" w:color="auto"/>
        <w:left w:val="none" w:sz="0" w:space="0" w:color="auto"/>
        <w:bottom w:val="none" w:sz="0" w:space="0" w:color="auto"/>
        <w:right w:val="none" w:sz="0" w:space="0" w:color="auto"/>
      </w:divBdr>
    </w:div>
    <w:div w:id="647245172">
      <w:marLeft w:val="0"/>
      <w:marRight w:val="0"/>
      <w:marTop w:val="0"/>
      <w:marBottom w:val="0"/>
      <w:divBdr>
        <w:top w:val="none" w:sz="0" w:space="0" w:color="auto"/>
        <w:left w:val="none" w:sz="0" w:space="0" w:color="auto"/>
        <w:bottom w:val="none" w:sz="0" w:space="0" w:color="auto"/>
        <w:right w:val="none" w:sz="0" w:space="0" w:color="auto"/>
      </w:divBdr>
      <w:divsChild>
        <w:div w:id="857235874">
          <w:marLeft w:val="0"/>
          <w:marRight w:val="0"/>
          <w:marTop w:val="0"/>
          <w:marBottom w:val="0"/>
          <w:divBdr>
            <w:top w:val="none" w:sz="0" w:space="0" w:color="auto"/>
            <w:left w:val="none" w:sz="0" w:space="0" w:color="auto"/>
            <w:bottom w:val="none" w:sz="0" w:space="0" w:color="auto"/>
            <w:right w:val="none" w:sz="0" w:space="0" w:color="auto"/>
          </w:divBdr>
        </w:div>
      </w:divsChild>
    </w:div>
    <w:div w:id="647629191">
      <w:marLeft w:val="0"/>
      <w:marRight w:val="0"/>
      <w:marTop w:val="180"/>
      <w:marBottom w:val="180"/>
      <w:divBdr>
        <w:top w:val="none" w:sz="0" w:space="0" w:color="auto"/>
        <w:left w:val="none" w:sz="0" w:space="0" w:color="auto"/>
        <w:bottom w:val="none" w:sz="0" w:space="0" w:color="auto"/>
        <w:right w:val="none" w:sz="0" w:space="0" w:color="auto"/>
      </w:divBdr>
    </w:div>
    <w:div w:id="647825598">
      <w:marLeft w:val="0"/>
      <w:marRight w:val="0"/>
      <w:marTop w:val="0"/>
      <w:marBottom w:val="180"/>
      <w:divBdr>
        <w:top w:val="none" w:sz="0" w:space="0" w:color="auto"/>
        <w:left w:val="none" w:sz="0" w:space="0" w:color="auto"/>
        <w:bottom w:val="none" w:sz="0" w:space="0" w:color="auto"/>
        <w:right w:val="none" w:sz="0" w:space="0" w:color="auto"/>
      </w:divBdr>
    </w:div>
    <w:div w:id="648634299">
      <w:marLeft w:val="0"/>
      <w:marRight w:val="0"/>
      <w:marTop w:val="120"/>
      <w:marBottom w:val="120"/>
      <w:divBdr>
        <w:top w:val="none" w:sz="0" w:space="0" w:color="auto"/>
        <w:left w:val="none" w:sz="0" w:space="0" w:color="auto"/>
        <w:bottom w:val="none" w:sz="0" w:space="0" w:color="auto"/>
        <w:right w:val="none" w:sz="0" w:space="0" w:color="auto"/>
      </w:divBdr>
    </w:div>
    <w:div w:id="649362756">
      <w:marLeft w:val="0"/>
      <w:marRight w:val="0"/>
      <w:marTop w:val="180"/>
      <w:marBottom w:val="180"/>
      <w:divBdr>
        <w:top w:val="none" w:sz="0" w:space="0" w:color="auto"/>
        <w:left w:val="none" w:sz="0" w:space="0" w:color="auto"/>
        <w:bottom w:val="none" w:sz="0" w:space="0" w:color="auto"/>
        <w:right w:val="none" w:sz="0" w:space="0" w:color="auto"/>
      </w:divBdr>
    </w:div>
    <w:div w:id="651955553">
      <w:marLeft w:val="0"/>
      <w:marRight w:val="0"/>
      <w:marTop w:val="0"/>
      <w:marBottom w:val="240"/>
      <w:divBdr>
        <w:top w:val="none" w:sz="0" w:space="0" w:color="auto"/>
        <w:left w:val="none" w:sz="0" w:space="0" w:color="auto"/>
        <w:bottom w:val="none" w:sz="0" w:space="0" w:color="auto"/>
        <w:right w:val="none" w:sz="0" w:space="0" w:color="auto"/>
      </w:divBdr>
    </w:div>
    <w:div w:id="652561792">
      <w:marLeft w:val="0"/>
      <w:marRight w:val="0"/>
      <w:marTop w:val="0"/>
      <w:marBottom w:val="0"/>
      <w:divBdr>
        <w:top w:val="none" w:sz="0" w:space="0" w:color="auto"/>
        <w:left w:val="none" w:sz="0" w:space="0" w:color="auto"/>
        <w:bottom w:val="none" w:sz="0" w:space="0" w:color="auto"/>
        <w:right w:val="none" w:sz="0" w:space="0" w:color="auto"/>
      </w:divBdr>
    </w:div>
    <w:div w:id="652829940">
      <w:marLeft w:val="0"/>
      <w:marRight w:val="0"/>
      <w:marTop w:val="0"/>
      <w:marBottom w:val="60"/>
      <w:divBdr>
        <w:top w:val="none" w:sz="0" w:space="0" w:color="auto"/>
        <w:left w:val="none" w:sz="0" w:space="0" w:color="auto"/>
        <w:bottom w:val="none" w:sz="0" w:space="0" w:color="auto"/>
        <w:right w:val="none" w:sz="0" w:space="0" w:color="auto"/>
      </w:divBdr>
    </w:div>
    <w:div w:id="653027332">
      <w:marLeft w:val="0"/>
      <w:marRight w:val="0"/>
      <w:marTop w:val="0"/>
      <w:marBottom w:val="0"/>
      <w:divBdr>
        <w:top w:val="none" w:sz="0" w:space="0" w:color="auto"/>
        <w:left w:val="none" w:sz="0" w:space="0" w:color="auto"/>
        <w:bottom w:val="none" w:sz="0" w:space="0" w:color="auto"/>
        <w:right w:val="none" w:sz="0" w:space="0" w:color="auto"/>
      </w:divBdr>
    </w:div>
    <w:div w:id="653922069">
      <w:marLeft w:val="0"/>
      <w:marRight w:val="0"/>
      <w:marTop w:val="0"/>
      <w:marBottom w:val="0"/>
      <w:divBdr>
        <w:top w:val="none" w:sz="0" w:space="0" w:color="auto"/>
        <w:left w:val="none" w:sz="0" w:space="0" w:color="auto"/>
        <w:bottom w:val="none" w:sz="0" w:space="0" w:color="auto"/>
        <w:right w:val="none" w:sz="0" w:space="0" w:color="auto"/>
      </w:divBdr>
      <w:divsChild>
        <w:div w:id="71512278">
          <w:marLeft w:val="0"/>
          <w:marRight w:val="0"/>
          <w:marTop w:val="0"/>
          <w:marBottom w:val="0"/>
          <w:divBdr>
            <w:top w:val="none" w:sz="0" w:space="0" w:color="auto"/>
            <w:left w:val="none" w:sz="0" w:space="0" w:color="auto"/>
            <w:bottom w:val="none" w:sz="0" w:space="0" w:color="auto"/>
            <w:right w:val="none" w:sz="0" w:space="0" w:color="auto"/>
          </w:divBdr>
        </w:div>
      </w:divsChild>
    </w:div>
    <w:div w:id="656109941">
      <w:marLeft w:val="0"/>
      <w:marRight w:val="0"/>
      <w:marTop w:val="0"/>
      <w:marBottom w:val="180"/>
      <w:divBdr>
        <w:top w:val="none" w:sz="0" w:space="0" w:color="auto"/>
        <w:left w:val="none" w:sz="0" w:space="0" w:color="auto"/>
        <w:bottom w:val="none" w:sz="0" w:space="0" w:color="auto"/>
        <w:right w:val="none" w:sz="0" w:space="0" w:color="auto"/>
      </w:divBdr>
    </w:div>
    <w:div w:id="656230773">
      <w:marLeft w:val="0"/>
      <w:marRight w:val="0"/>
      <w:marTop w:val="180"/>
      <w:marBottom w:val="180"/>
      <w:divBdr>
        <w:top w:val="none" w:sz="0" w:space="0" w:color="auto"/>
        <w:left w:val="none" w:sz="0" w:space="0" w:color="auto"/>
        <w:bottom w:val="none" w:sz="0" w:space="0" w:color="auto"/>
        <w:right w:val="none" w:sz="0" w:space="0" w:color="auto"/>
      </w:divBdr>
    </w:div>
    <w:div w:id="657467505">
      <w:marLeft w:val="0"/>
      <w:marRight w:val="0"/>
      <w:marTop w:val="0"/>
      <w:marBottom w:val="0"/>
      <w:divBdr>
        <w:top w:val="none" w:sz="0" w:space="0" w:color="auto"/>
        <w:left w:val="none" w:sz="0" w:space="0" w:color="auto"/>
        <w:bottom w:val="none" w:sz="0" w:space="0" w:color="auto"/>
        <w:right w:val="none" w:sz="0" w:space="0" w:color="auto"/>
      </w:divBdr>
      <w:divsChild>
        <w:div w:id="861360355">
          <w:marLeft w:val="0"/>
          <w:marRight w:val="0"/>
          <w:marTop w:val="0"/>
          <w:marBottom w:val="0"/>
          <w:divBdr>
            <w:top w:val="none" w:sz="0" w:space="0" w:color="auto"/>
            <w:left w:val="none" w:sz="0" w:space="0" w:color="auto"/>
            <w:bottom w:val="none" w:sz="0" w:space="0" w:color="auto"/>
            <w:right w:val="none" w:sz="0" w:space="0" w:color="auto"/>
          </w:divBdr>
        </w:div>
      </w:divsChild>
    </w:div>
    <w:div w:id="658118098">
      <w:marLeft w:val="0"/>
      <w:marRight w:val="0"/>
      <w:marTop w:val="0"/>
      <w:marBottom w:val="0"/>
      <w:divBdr>
        <w:top w:val="none" w:sz="0" w:space="0" w:color="auto"/>
        <w:left w:val="none" w:sz="0" w:space="0" w:color="auto"/>
        <w:bottom w:val="none" w:sz="0" w:space="0" w:color="auto"/>
        <w:right w:val="none" w:sz="0" w:space="0" w:color="auto"/>
      </w:divBdr>
    </w:div>
    <w:div w:id="659962886">
      <w:marLeft w:val="0"/>
      <w:marRight w:val="0"/>
      <w:marTop w:val="180"/>
      <w:marBottom w:val="180"/>
      <w:divBdr>
        <w:top w:val="none" w:sz="0" w:space="0" w:color="auto"/>
        <w:left w:val="none" w:sz="0" w:space="0" w:color="auto"/>
        <w:bottom w:val="none" w:sz="0" w:space="0" w:color="auto"/>
        <w:right w:val="none" w:sz="0" w:space="0" w:color="auto"/>
      </w:divBdr>
    </w:div>
    <w:div w:id="660890301">
      <w:marLeft w:val="0"/>
      <w:marRight w:val="0"/>
      <w:marTop w:val="0"/>
      <w:marBottom w:val="180"/>
      <w:divBdr>
        <w:top w:val="none" w:sz="0" w:space="0" w:color="auto"/>
        <w:left w:val="none" w:sz="0" w:space="0" w:color="auto"/>
        <w:bottom w:val="none" w:sz="0" w:space="0" w:color="auto"/>
        <w:right w:val="none" w:sz="0" w:space="0" w:color="auto"/>
      </w:divBdr>
    </w:div>
    <w:div w:id="661471283">
      <w:marLeft w:val="0"/>
      <w:marRight w:val="0"/>
      <w:marTop w:val="0"/>
      <w:marBottom w:val="180"/>
      <w:divBdr>
        <w:top w:val="none" w:sz="0" w:space="0" w:color="auto"/>
        <w:left w:val="none" w:sz="0" w:space="0" w:color="auto"/>
        <w:bottom w:val="none" w:sz="0" w:space="0" w:color="auto"/>
        <w:right w:val="none" w:sz="0" w:space="0" w:color="auto"/>
      </w:divBdr>
    </w:div>
    <w:div w:id="663046503">
      <w:marLeft w:val="0"/>
      <w:marRight w:val="0"/>
      <w:marTop w:val="0"/>
      <w:marBottom w:val="240"/>
      <w:divBdr>
        <w:top w:val="none" w:sz="0" w:space="0" w:color="auto"/>
        <w:left w:val="none" w:sz="0" w:space="0" w:color="auto"/>
        <w:bottom w:val="none" w:sz="0" w:space="0" w:color="auto"/>
        <w:right w:val="none" w:sz="0" w:space="0" w:color="auto"/>
      </w:divBdr>
    </w:div>
    <w:div w:id="663974878">
      <w:marLeft w:val="0"/>
      <w:marRight w:val="0"/>
      <w:marTop w:val="0"/>
      <w:marBottom w:val="0"/>
      <w:divBdr>
        <w:top w:val="none" w:sz="0" w:space="0" w:color="auto"/>
        <w:left w:val="none" w:sz="0" w:space="0" w:color="auto"/>
        <w:bottom w:val="none" w:sz="0" w:space="0" w:color="auto"/>
        <w:right w:val="none" w:sz="0" w:space="0" w:color="auto"/>
      </w:divBdr>
      <w:divsChild>
        <w:div w:id="1425029772">
          <w:marLeft w:val="0"/>
          <w:marRight w:val="0"/>
          <w:marTop w:val="0"/>
          <w:marBottom w:val="0"/>
          <w:divBdr>
            <w:top w:val="none" w:sz="0" w:space="0" w:color="auto"/>
            <w:left w:val="none" w:sz="0" w:space="0" w:color="auto"/>
            <w:bottom w:val="none" w:sz="0" w:space="0" w:color="auto"/>
            <w:right w:val="none" w:sz="0" w:space="0" w:color="auto"/>
          </w:divBdr>
        </w:div>
      </w:divsChild>
    </w:div>
    <w:div w:id="666054509">
      <w:marLeft w:val="0"/>
      <w:marRight w:val="0"/>
      <w:marTop w:val="0"/>
      <w:marBottom w:val="180"/>
      <w:divBdr>
        <w:top w:val="none" w:sz="0" w:space="0" w:color="auto"/>
        <w:left w:val="none" w:sz="0" w:space="0" w:color="auto"/>
        <w:bottom w:val="none" w:sz="0" w:space="0" w:color="auto"/>
        <w:right w:val="none" w:sz="0" w:space="0" w:color="auto"/>
      </w:divBdr>
    </w:div>
    <w:div w:id="666245648">
      <w:marLeft w:val="0"/>
      <w:marRight w:val="0"/>
      <w:marTop w:val="180"/>
      <w:marBottom w:val="180"/>
      <w:divBdr>
        <w:top w:val="none" w:sz="0" w:space="0" w:color="auto"/>
        <w:left w:val="none" w:sz="0" w:space="0" w:color="auto"/>
        <w:bottom w:val="none" w:sz="0" w:space="0" w:color="auto"/>
        <w:right w:val="none" w:sz="0" w:space="0" w:color="auto"/>
      </w:divBdr>
    </w:div>
    <w:div w:id="668286967">
      <w:marLeft w:val="0"/>
      <w:marRight w:val="0"/>
      <w:marTop w:val="0"/>
      <w:marBottom w:val="0"/>
      <w:divBdr>
        <w:top w:val="none" w:sz="0" w:space="0" w:color="auto"/>
        <w:left w:val="none" w:sz="0" w:space="0" w:color="auto"/>
        <w:bottom w:val="none" w:sz="0" w:space="0" w:color="auto"/>
        <w:right w:val="none" w:sz="0" w:space="0" w:color="auto"/>
      </w:divBdr>
    </w:div>
    <w:div w:id="669021853">
      <w:marLeft w:val="0"/>
      <w:marRight w:val="0"/>
      <w:marTop w:val="120"/>
      <w:marBottom w:val="120"/>
      <w:divBdr>
        <w:top w:val="none" w:sz="0" w:space="0" w:color="auto"/>
        <w:left w:val="none" w:sz="0" w:space="0" w:color="auto"/>
        <w:bottom w:val="none" w:sz="0" w:space="0" w:color="auto"/>
        <w:right w:val="none" w:sz="0" w:space="0" w:color="auto"/>
      </w:divBdr>
    </w:div>
    <w:div w:id="669605223">
      <w:marLeft w:val="0"/>
      <w:marRight w:val="0"/>
      <w:marTop w:val="0"/>
      <w:marBottom w:val="180"/>
      <w:divBdr>
        <w:top w:val="none" w:sz="0" w:space="0" w:color="auto"/>
        <w:left w:val="none" w:sz="0" w:space="0" w:color="auto"/>
        <w:bottom w:val="none" w:sz="0" w:space="0" w:color="auto"/>
        <w:right w:val="none" w:sz="0" w:space="0" w:color="auto"/>
      </w:divBdr>
    </w:div>
    <w:div w:id="670913176">
      <w:marLeft w:val="0"/>
      <w:marRight w:val="0"/>
      <w:marTop w:val="0"/>
      <w:marBottom w:val="0"/>
      <w:divBdr>
        <w:top w:val="none" w:sz="0" w:space="0" w:color="auto"/>
        <w:left w:val="none" w:sz="0" w:space="0" w:color="auto"/>
        <w:bottom w:val="none" w:sz="0" w:space="0" w:color="auto"/>
        <w:right w:val="none" w:sz="0" w:space="0" w:color="auto"/>
      </w:divBdr>
    </w:div>
    <w:div w:id="671034850">
      <w:marLeft w:val="0"/>
      <w:marRight w:val="0"/>
      <w:marTop w:val="0"/>
      <w:marBottom w:val="240"/>
      <w:divBdr>
        <w:top w:val="none" w:sz="0" w:space="0" w:color="auto"/>
        <w:left w:val="none" w:sz="0" w:space="0" w:color="auto"/>
        <w:bottom w:val="none" w:sz="0" w:space="0" w:color="auto"/>
        <w:right w:val="none" w:sz="0" w:space="0" w:color="auto"/>
      </w:divBdr>
    </w:div>
    <w:div w:id="672411955">
      <w:marLeft w:val="0"/>
      <w:marRight w:val="0"/>
      <w:marTop w:val="120"/>
      <w:marBottom w:val="180"/>
      <w:divBdr>
        <w:top w:val="none" w:sz="0" w:space="0" w:color="auto"/>
        <w:left w:val="none" w:sz="0" w:space="0" w:color="auto"/>
        <w:bottom w:val="none" w:sz="0" w:space="0" w:color="auto"/>
        <w:right w:val="none" w:sz="0" w:space="0" w:color="auto"/>
      </w:divBdr>
    </w:div>
    <w:div w:id="674503204">
      <w:marLeft w:val="0"/>
      <w:marRight w:val="0"/>
      <w:marTop w:val="0"/>
      <w:marBottom w:val="60"/>
      <w:divBdr>
        <w:top w:val="none" w:sz="0" w:space="0" w:color="auto"/>
        <w:left w:val="none" w:sz="0" w:space="0" w:color="auto"/>
        <w:bottom w:val="none" w:sz="0" w:space="0" w:color="auto"/>
        <w:right w:val="none" w:sz="0" w:space="0" w:color="auto"/>
      </w:divBdr>
    </w:div>
    <w:div w:id="676149911">
      <w:marLeft w:val="0"/>
      <w:marRight w:val="0"/>
      <w:marTop w:val="0"/>
      <w:marBottom w:val="0"/>
      <w:divBdr>
        <w:top w:val="none" w:sz="0" w:space="0" w:color="auto"/>
        <w:left w:val="none" w:sz="0" w:space="0" w:color="auto"/>
        <w:bottom w:val="none" w:sz="0" w:space="0" w:color="auto"/>
        <w:right w:val="none" w:sz="0" w:space="0" w:color="auto"/>
      </w:divBdr>
    </w:div>
    <w:div w:id="676927024">
      <w:marLeft w:val="0"/>
      <w:marRight w:val="0"/>
      <w:marTop w:val="0"/>
      <w:marBottom w:val="0"/>
      <w:divBdr>
        <w:top w:val="none" w:sz="0" w:space="0" w:color="auto"/>
        <w:left w:val="none" w:sz="0" w:space="0" w:color="auto"/>
        <w:bottom w:val="none" w:sz="0" w:space="0" w:color="auto"/>
        <w:right w:val="none" w:sz="0" w:space="0" w:color="auto"/>
      </w:divBdr>
    </w:div>
    <w:div w:id="679965175">
      <w:marLeft w:val="0"/>
      <w:marRight w:val="0"/>
      <w:marTop w:val="0"/>
      <w:marBottom w:val="180"/>
      <w:divBdr>
        <w:top w:val="none" w:sz="0" w:space="0" w:color="auto"/>
        <w:left w:val="none" w:sz="0" w:space="0" w:color="auto"/>
        <w:bottom w:val="none" w:sz="0" w:space="0" w:color="auto"/>
        <w:right w:val="none" w:sz="0" w:space="0" w:color="auto"/>
      </w:divBdr>
    </w:div>
    <w:div w:id="681929845">
      <w:marLeft w:val="0"/>
      <w:marRight w:val="0"/>
      <w:marTop w:val="0"/>
      <w:marBottom w:val="0"/>
      <w:divBdr>
        <w:top w:val="none" w:sz="0" w:space="0" w:color="auto"/>
        <w:left w:val="none" w:sz="0" w:space="0" w:color="auto"/>
        <w:bottom w:val="none" w:sz="0" w:space="0" w:color="auto"/>
        <w:right w:val="none" w:sz="0" w:space="0" w:color="auto"/>
      </w:divBdr>
      <w:divsChild>
        <w:div w:id="369959652">
          <w:marLeft w:val="0"/>
          <w:marRight w:val="0"/>
          <w:marTop w:val="0"/>
          <w:marBottom w:val="0"/>
          <w:divBdr>
            <w:top w:val="none" w:sz="0" w:space="0" w:color="auto"/>
            <w:left w:val="none" w:sz="0" w:space="0" w:color="auto"/>
            <w:bottom w:val="none" w:sz="0" w:space="0" w:color="auto"/>
            <w:right w:val="none" w:sz="0" w:space="0" w:color="auto"/>
          </w:divBdr>
        </w:div>
      </w:divsChild>
    </w:div>
    <w:div w:id="683239744">
      <w:marLeft w:val="0"/>
      <w:marRight w:val="0"/>
      <w:marTop w:val="0"/>
      <w:marBottom w:val="180"/>
      <w:divBdr>
        <w:top w:val="none" w:sz="0" w:space="0" w:color="auto"/>
        <w:left w:val="none" w:sz="0" w:space="0" w:color="auto"/>
        <w:bottom w:val="none" w:sz="0" w:space="0" w:color="auto"/>
        <w:right w:val="none" w:sz="0" w:space="0" w:color="auto"/>
      </w:divBdr>
    </w:div>
    <w:div w:id="684794444">
      <w:marLeft w:val="0"/>
      <w:marRight w:val="0"/>
      <w:marTop w:val="0"/>
      <w:marBottom w:val="180"/>
      <w:divBdr>
        <w:top w:val="none" w:sz="0" w:space="0" w:color="auto"/>
        <w:left w:val="none" w:sz="0" w:space="0" w:color="auto"/>
        <w:bottom w:val="none" w:sz="0" w:space="0" w:color="auto"/>
        <w:right w:val="none" w:sz="0" w:space="0" w:color="auto"/>
      </w:divBdr>
    </w:div>
    <w:div w:id="685055682">
      <w:marLeft w:val="0"/>
      <w:marRight w:val="0"/>
      <w:marTop w:val="0"/>
      <w:marBottom w:val="0"/>
      <w:divBdr>
        <w:top w:val="none" w:sz="0" w:space="0" w:color="auto"/>
        <w:left w:val="none" w:sz="0" w:space="0" w:color="auto"/>
        <w:bottom w:val="none" w:sz="0" w:space="0" w:color="auto"/>
        <w:right w:val="none" w:sz="0" w:space="0" w:color="auto"/>
      </w:divBdr>
      <w:divsChild>
        <w:div w:id="34743883">
          <w:marLeft w:val="0"/>
          <w:marRight w:val="0"/>
          <w:marTop w:val="0"/>
          <w:marBottom w:val="0"/>
          <w:divBdr>
            <w:top w:val="none" w:sz="0" w:space="0" w:color="auto"/>
            <w:left w:val="none" w:sz="0" w:space="0" w:color="auto"/>
            <w:bottom w:val="none" w:sz="0" w:space="0" w:color="auto"/>
            <w:right w:val="none" w:sz="0" w:space="0" w:color="auto"/>
          </w:divBdr>
        </w:div>
      </w:divsChild>
    </w:div>
    <w:div w:id="685445974">
      <w:marLeft w:val="0"/>
      <w:marRight w:val="0"/>
      <w:marTop w:val="0"/>
      <w:marBottom w:val="0"/>
      <w:divBdr>
        <w:top w:val="none" w:sz="0" w:space="0" w:color="auto"/>
        <w:left w:val="none" w:sz="0" w:space="0" w:color="auto"/>
        <w:bottom w:val="none" w:sz="0" w:space="0" w:color="auto"/>
        <w:right w:val="none" w:sz="0" w:space="0" w:color="auto"/>
      </w:divBdr>
      <w:divsChild>
        <w:div w:id="1222863150">
          <w:marLeft w:val="0"/>
          <w:marRight w:val="0"/>
          <w:marTop w:val="0"/>
          <w:marBottom w:val="0"/>
          <w:divBdr>
            <w:top w:val="none" w:sz="0" w:space="0" w:color="auto"/>
            <w:left w:val="none" w:sz="0" w:space="0" w:color="auto"/>
            <w:bottom w:val="none" w:sz="0" w:space="0" w:color="auto"/>
            <w:right w:val="none" w:sz="0" w:space="0" w:color="auto"/>
          </w:divBdr>
        </w:div>
      </w:divsChild>
    </w:div>
    <w:div w:id="685668285">
      <w:marLeft w:val="0"/>
      <w:marRight w:val="0"/>
      <w:marTop w:val="0"/>
      <w:marBottom w:val="0"/>
      <w:divBdr>
        <w:top w:val="none" w:sz="0" w:space="0" w:color="auto"/>
        <w:left w:val="none" w:sz="0" w:space="0" w:color="auto"/>
        <w:bottom w:val="none" w:sz="0" w:space="0" w:color="auto"/>
        <w:right w:val="none" w:sz="0" w:space="0" w:color="auto"/>
      </w:divBdr>
    </w:div>
    <w:div w:id="687415600">
      <w:marLeft w:val="0"/>
      <w:marRight w:val="0"/>
      <w:marTop w:val="0"/>
      <w:marBottom w:val="0"/>
      <w:divBdr>
        <w:top w:val="none" w:sz="0" w:space="0" w:color="auto"/>
        <w:left w:val="none" w:sz="0" w:space="0" w:color="auto"/>
        <w:bottom w:val="none" w:sz="0" w:space="0" w:color="auto"/>
        <w:right w:val="none" w:sz="0" w:space="0" w:color="auto"/>
      </w:divBdr>
      <w:divsChild>
        <w:div w:id="413598941">
          <w:marLeft w:val="0"/>
          <w:marRight w:val="0"/>
          <w:marTop w:val="0"/>
          <w:marBottom w:val="0"/>
          <w:divBdr>
            <w:top w:val="none" w:sz="0" w:space="0" w:color="auto"/>
            <w:left w:val="none" w:sz="0" w:space="0" w:color="auto"/>
            <w:bottom w:val="none" w:sz="0" w:space="0" w:color="auto"/>
            <w:right w:val="none" w:sz="0" w:space="0" w:color="auto"/>
          </w:divBdr>
        </w:div>
      </w:divsChild>
    </w:div>
    <w:div w:id="688482224">
      <w:marLeft w:val="0"/>
      <w:marRight w:val="0"/>
      <w:marTop w:val="0"/>
      <w:marBottom w:val="0"/>
      <w:divBdr>
        <w:top w:val="none" w:sz="0" w:space="0" w:color="auto"/>
        <w:left w:val="none" w:sz="0" w:space="0" w:color="auto"/>
        <w:bottom w:val="none" w:sz="0" w:space="0" w:color="auto"/>
        <w:right w:val="none" w:sz="0" w:space="0" w:color="auto"/>
      </w:divBdr>
    </w:div>
    <w:div w:id="689836478">
      <w:marLeft w:val="0"/>
      <w:marRight w:val="0"/>
      <w:marTop w:val="0"/>
      <w:marBottom w:val="240"/>
      <w:divBdr>
        <w:top w:val="none" w:sz="0" w:space="0" w:color="auto"/>
        <w:left w:val="none" w:sz="0" w:space="0" w:color="auto"/>
        <w:bottom w:val="none" w:sz="0" w:space="0" w:color="auto"/>
        <w:right w:val="none" w:sz="0" w:space="0" w:color="auto"/>
      </w:divBdr>
    </w:div>
    <w:div w:id="689841837">
      <w:marLeft w:val="0"/>
      <w:marRight w:val="0"/>
      <w:marTop w:val="0"/>
      <w:marBottom w:val="240"/>
      <w:divBdr>
        <w:top w:val="none" w:sz="0" w:space="0" w:color="auto"/>
        <w:left w:val="none" w:sz="0" w:space="0" w:color="auto"/>
        <w:bottom w:val="none" w:sz="0" w:space="0" w:color="auto"/>
        <w:right w:val="none" w:sz="0" w:space="0" w:color="auto"/>
      </w:divBdr>
    </w:div>
    <w:div w:id="691298976">
      <w:marLeft w:val="0"/>
      <w:marRight w:val="0"/>
      <w:marTop w:val="0"/>
      <w:marBottom w:val="180"/>
      <w:divBdr>
        <w:top w:val="none" w:sz="0" w:space="0" w:color="auto"/>
        <w:left w:val="none" w:sz="0" w:space="0" w:color="auto"/>
        <w:bottom w:val="none" w:sz="0" w:space="0" w:color="auto"/>
        <w:right w:val="none" w:sz="0" w:space="0" w:color="auto"/>
      </w:divBdr>
    </w:div>
    <w:div w:id="693116980">
      <w:marLeft w:val="0"/>
      <w:marRight w:val="0"/>
      <w:marTop w:val="180"/>
      <w:marBottom w:val="180"/>
      <w:divBdr>
        <w:top w:val="none" w:sz="0" w:space="0" w:color="auto"/>
        <w:left w:val="none" w:sz="0" w:space="0" w:color="auto"/>
        <w:bottom w:val="none" w:sz="0" w:space="0" w:color="auto"/>
        <w:right w:val="none" w:sz="0" w:space="0" w:color="auto"/>
      </w:divBdr>
    </w:div>
    <w:div w:id="694961467">
      <w:marLeft w:val="0"/>
      <w:marRight w:val="0"/>
      <w:marTop w:val="0"/>
      <w:marBottom w:val="180"/>
      <w:divBdr>
        <w:top w:val="none" w:sz="0" w:space="0" w:color="auto"/>
        <w:left w:val="none" w:sz="0" w:space="0" w:color="auto"/>
        <w:bottom w:val="none" w:sz="0" w:space="0" w:color="auto"/>
        <w:right w:val="none" w:sz="0" w:space="0" w:color="auto"/>
      </w:divBdr>
    </w:div>
    <w:div w:id="697657161">
      <w:marLeft w:val="0"/>
      <w:marRight w:val="0"/>
      <w:marTop w:val="0"/>
      <w:marBottom w:val="0"/>
      <w:divBdr>
        <w:top w:val="none" w:sz="0" w:space="0" w:color="auto"/>
        <w:left w:val="none" w:sz="0" w:space="0" w:color="auto"/>
        <w:bottom w:val="none" w:sz="0" w:space="0" w:color="auto"/>
        <w:right w:val="none" w:sz="0" w:space="0" w:color="auto"/>
      </w:divBdr>
    </w:div>
    <w:div w:id="699282188">
      <w:marLeft w:val="0"/>
      <w:marRight w:val="0"/>
      <w:marTop w:val="0"/>
      <w:marBottom w:val="180"/>
      <w:divBdr>
        <w:top w:val="none" w:sz="0" w:space="0" w:color="auto"/>
        <w:left w:val="none" w:sz="0" w:space="0" w:color="auto"/>
        <w:bottom w:val="none" w:sz="0" w:space="0" w:color="auto"/>
        <w:right w:val="none" w:sz="0" w:space="0" w:color="auto"/>
      </w:divBdr>
    </w:div>
    <w:div w:id="699823166">
      <w:marLeft w:val="0"/>
      <w:marRight w:val="0"/>
      <w:marTop w:val="0"/>
      <w:marBottom w:val="240"/>
      <w:divBdr>
        <w:top w:val="none" w:sz="0" w:space="0" w:color="auto"/>
        <w:left w:val="none" w:sz="0" w:space="0" w:color="auto"/>
        <w:bottom w:val="none" w:sz="0" w:space="0" w:color="auto"/>
        <w:right w:val="none" w:sz="0" w:space="0" w:color="auto"/>
      </w:divBdr>
    </w:div>
    <w:div w:id="705446681">
      <w:marLeft w:val="0"/>
      <w:marRight w:val="0"/>
      <w:marTop w:val="0"/>
      <w:marBottom w:val="0"/>
      <w:divBdr>
        <w:top w:val="none" w:sz="0" w:space="0" w:color="auto"/>
        <w:left w:val="none" w:sz="0" w:space="0" w:color="auto"/>
        <w:bottom w:val="none" w:sz="0" w:space="0" w:color="auto"/>
        <w:right w:val="none" w:sz="0" w:space="0" w:color="auto"/>
      </w:divBdr>
      <w:divsChild>
        <w:div w:id="419639277">
          <w:marLeft w:val="0"/>
          <w:marRight w:val="0"/>
          <w:marTop w:val="0"/>
          <w:marBottom w:val="0"/>
          <w:divBdr>
            <w:top w:val="none" w:sz="0" w:space="0" w:color="auto"/>
            <w:left w:val="none" w:sz="0" w:space="0" w:color="auto"/>
            <w:bottom w:val="none" w:sz="0" w:space="0" w:color="auto"/>
            <w:right w:val="none" w:sz="0" w:space="0" w:color="auto"/>
          </w:divBdr>
        </w:div>
      </w:divsChild>
    </w:div>
    <w:div w:id="706875969">
      <w:marLeft w:val="0"/>
      <w:marRight w:val="0"/>
      <w:marTop w:val="0"/>
      <w:marBottom w:val="240"/>
      <w:divBdr>
        <w:top w:val="none" w:sz="0" w:space="0" w:color="auto"/>
        <w:left w:val="none" w:sz="0" w:space="0" w:color="auto"/>
        <w:bottom w:val="none" w:sz="0" w:space="0" w:color="auto"/>
        <w:right w:val="none" w:sz="0" w:space="0" w:color="auto"/>
      </w:divBdr>
    </w:div>
    <w:div w:id="709692251">
      <w:marLeft w:val="0"/>
      <w:marRight w:val="0"/>
      <w:marTop w:val="0"/>
      <w:marBottom w:val="180"/>
      <w:divBdr>
        <w:top w:val="none" w:sz="0" w:space="0" w:color="auto"/>
        <w:left w:val="none" w:sz="0" w:space="0" w:color="auto"/>
        <w:bottom w:val="none" w:sz="0" w:space="0" w:color="auto"/>
        <w:right w:val="none" w:sz="0" w:space="0" w:color="auto"/>
      </w:divBdr>
    </w:div>
    <w:div w:id="709692290">
      <w:marLeft w:val="0"/>
      <w:marRight w:val="0"/>
      <w:marTop w:val="0"/>
      <w:marBottom w:val="0"/>
      <w:divBdr>
        <w:top w:val="none" w:sz="0" w:space="0" w:color="auto"/>
        <w:left w:val="none" w:sz="0" w:space="0" w:color="auto"/>
        <w:bottom w:val="none" w:sz="0" w:space="0" w:color="auto"/>
        <w:right w:val="none" w:sz="0" w:space="0" w:color="auto"/>
      </w:divBdr>
      <w:divsChild>
        <w:div w:id="397285589">
          <w:marLeft w:val="0"/>
          <w:marRight w:val="0"/>
          <w:marTop w:val="0"/>
          <w:marBottom w:val="0"/>
          <w:divBdr>
            <w:top w:val="none" w:sz="0" w:space="0" w:color="auto"/>
            <w:left w:val="none" w:sz="0" w:space="0" w:color="auto"/>
            <w:bottom w:val="none" w:sz="0" w:space="0" w:color="auto"/>
            <w:right w:val="none" w:sz="0" w:space="0" w:color="auto"/>
          </w:divBdr>
        </w:div>
      </w:divsChild>
    </w:div>
    <w:div w:id="709694016">
      <w:marLeft w:val="0"/>
      <w:marRight w:val="0"/>
      <w:marTop w:val="0"/>
      <w:marBottom w:val="240"/>
      <w:divBdr>
        <w:top w:val="none" w:sz="0" w:space="0" w:color="auto"/>
        <w:left w:val="none" w:sz="0" w:space="0" w:color="auto"/>
        <w:bottom w:val="none" w:sz="0" w:space="0" w:color="auto"/>
        <w:right w:val="none" w:sz="0" w:space="0" w:color="auto"/>
      </w:divBdr>
    </w:div>
    <w:div w:id="712923014">
      <w:marLeft w:val="0"/>
      <w:marRight w:val="0"/>
      <w:marTop w:val="0"/>
      <w:marBottom w:val="0"/>
      <w:divBdr>
        <w:top w:val="none" w:sz="0" w:space="0" w:color="auto"/>
        <w:left w:val="none" w:sz="0" w:space="0" w:color="auto"/>
        <w:bottom w:val="none" w:sz="0" w:space="0" w:color="auto"/>
        <w:right w:val="none" w:sz="0" w:space="0" w:color="auto"/>
      </w:divBdr>
    </w:div>
    <w:div w:id="715083604">
      <w:marLeft w:val="0"/>
      <w:marRight w:val="0"/>
      <w:marTop w:val="0"/>
      <w:marBottom w:val="0"/>
      <w:divBdr>
        <w:top w:val="none" w:sz="0" w:space="0" w:color="auto"/>
        <w:left w:val="none" w:sz="0" w:space="0" w:color="auto"/>
        <w:bottom w:val="none" w:sz="0" w:space="0" w:color="auto"/>
        <w:right w:val="none" w:sz="0" w:space="0" w:color="auto"/>
      </w:divBdr>
      <w:divsChild>
        <w:div w:id="270433216">
          <w:marLeft w:val="0"/>
          <w:marRight w:val="0"/>
          <w:marTop w:val="0"/>
          <w:marBottom w:val="0"/>
          <w:divBdr>
            <w:top w:val="none" w:sz="0" w:space="0" w:color="auto"/>
            <w:left w:val="none" w:sz="0" w:space="0" w:color="auto"/>
            <w:bottom w:val="none" w:sz="0" w:space="0" w:color="auto"/>
            <w:right w:val="none" w:sz="0" w:space="0" w:color="auto"/>
          </w:divBdr>
        </w:div>
      </w:divsChild>
    </w:div>
    <w:div w:id="717163936">
      <w:marLeft w:val="0"/>
      <w:marRight w:val="0"/>
      <w:marTop w:val="0"/>
      <w:marBottom w:val="0"/>
      <w:divBdr>
        <w:top w:val="none" w:sz="0" w:space="0" w:color="auto"/>
        <w:left w:val="none" w:sz="0" w:space="0" w:color="auto"/>
        <w:bottom w:val="none" w:sz="0" w:space="0" w:color="auto"/>
        <w:right w:val="none" w:sz="0" w:space="0" w:color="auto"/>
      </w:divBdr>
      <w:divsChild>
        <w:div w:id="452869028">
          <w:marLeft w:val="0"/>
          <w:marRight w:val="0"/>
          <w:marTop w:val="0"/>
          <w:marBottom w:val="0"/>
          <w:divBdr>
            <w:top w:val="none" w:sz="0" w:space="0" w:color="auto"/>
            <w:left w:val="none" w:sz="0" w:space="0" w:color="auto"/>
            <w:bottom w:val="none" w:sz="0" w:space="0" w:color="auto"/>
            <w:right w:val="none" w:sz="0" w:space="0" w:color="auto"/>
          </w:divBdr>
        </w:div>
      </w:divsChild>
    </w:div>
    <w:div w:id="720833632">
      <w:marLeft w:val="0"/>
      <w:marRight w:val="0"/>
      <w:marTop w:val="0"/>
      <w:marBottom w:val="180"/>
      <w:divBdr>
        <w:top w:val="none" w:sz="0" w:space="0" w:color="auto"/>
        <w:left w:val="none" w:sz="0" w:space="0" w:color="auto"/>
        <w:bottom w:val="none" w:sz="0" w:space="0" w:color="auto"/>
        <w:right w:val="none" w:sz="0" w:space="0" w:color="auto"/>
      </w:divBdr>
    </w:div>
    <w:div w:id="721367793">
      <w:marLeft w:val="0"/>
      <w:marRight w:val="0"/>
      <w:marTop w:val="0"/>
      <w:marBottom w:val="180"/>
      <w:divBdr>
        <w:top w:val="none" w:sz="0" w:space="0" w:color="auto"/>
        <w:left w:val="none" w:sz="0" w:space="0" w:color="auto"/>
        <w:bottom w:val="none" w:sz="0" w:space="0" w:color="auto"/>
        <w:right w:val="none" w:sz="0" w:space="0" w:color="auto"/>
      </w:divBdr>
    </w:div>
    <w:div w:id="721438864">
      <w:marLeft w:val="0"/>
      <w:marRight w:val="0"/>
      <w:marTop w:val="0"/>
      <w:marBottom w:val="0"/>
      <w:divBdr>
        <w:top w:val="none" w:sz="0" w:space="0" w:color="auto"/>
        <w:left w:val="none" w:sz="0" w:space="0" w:color="auto"/>
        <w:bottom w:val="none" w:sz="0" w:space="0" w:color="auto"/>
        <w:right w:val="none" w:sz="0" w:space="0" w:color="auto"/>
      </w:divBdr>
    </w:div>
    <w:div w:id="726686888">
      <w:marLeft w:val="0"/>
      <w:marRight w:val="0"/>
      <w:marTop w:val="60"/>
      <w:marBottom w:val="0"/>
      <w:divBdr>
        <w:top w:val="none" w:sz="0" w:space="0" w:color="auto"/>
        <w:left w:val="none" w:sz="0" w:space="0" w:color="auto"/>
        <w:bottom w:val="none" w:sz="0" w:space="0" w:color="auto"/>
        <w:right w:val="none" w:sz="0" w:space="0" w:color="auto"/>
      </w:divBdr>
    </w:div>
    <w:div w:id="729035109">
      <w:marLeft w:val="0"/>
      <w:marRight w:val="0"/>
      <w:marTop w:val="0"/>
      <w:marBottom w:val="0"/>
      <w:divBdr>
        <w:top w:val="none" w:sz="0" w:space="0" w:color="auto"/>
        <w:left w:val="none" w:sz="0" w:space="0" w:color="auto"/>
        <w:bottom w:val="none" w:sz="0" w:space="0" w:color="auto"/>
        <w:right w:val="none" w:sz="0" w:space="0" w:color="auto"/>
      </w:divBdr>
      <w:divsChild>
        <w:div w:id="1980067899">
          <w:marLeft w:val="0"/>
          <w:marRight w:val="0"/>
          <w:marTop w:val="0"/>
          <w:marBottom w:val="0"/>
          <w:divBdr>
            <w:top w:val="none" w:sz="0" w:space="0" w:color="auto"/>
            <w:left w:val="none" w:sz="0" w:space="0" w:color="auto"/>
            <w:bottom w:val="none" w:sz="0" w:space="0" w:color="auto"/>
            <w:right w:val="none" w:sz="0" w:space="0" w:color="auto"/>
          </w:divBdr>
        </w:div>
      </w:divsChild>
    </w:div>
    <w:div w:id="729112546">
      <w:marLeft w:val="0"/>
      <w:marRight w:val="0"/>
      <w:marTop w:val="0"/>
      <w:marBottom w:val="240"/>
      <w:divBdr>
        <w:top w:val="none" w:sz="0" w:space="0" w:color="auto"/>
        <w:left w:val="none" w:sz="0" w:space="0" w:color="auto"/>
        <w:bottom w:val="none" w:sz="0" w:space="0" w:color="auto"/>
        <w:right w:val="none" w:sz="0" w:space="0" w:color="auto"/>
      </w:divBdr>
    </w:div>
    <w:div w:id="733164312">
      <w:marLeft w:val="0"/>
      <w:marRight w:val="0"/>
      <w:marTop w:val="180"/>
      <w:marBottom w:val="180"/>
      <w:divBdr>
        <w:top w:val="none" w:sz="0" w:space="0" w:color="auto"/>
        <w:left w:val="none" w:sz="0" w:space="0" w:color="auto"/>
        <w:bottom w:val="none" w:sz="0" w:space="0" w:color="auto"/>
        <w:right w:val="none" w:sz="0" w:space="0" w:color="auto"/>
      </w:divBdr>
    </w:div>
    <w:div w:id="734015069">
      <w:marLeft w:val="0"/>
      <w:marRight w:val="0"/>
      <w:marTop w:val="0"/>
      <w:marBottom w:val="0"/>
      <w:divBdr>
        <w:top w:val="none" w:sz="0" w:space="0" w:color="auto"/>
        <w:left w:val="none" w:sz="0" w:space="0" w:color="auto"/>
        <w:bottom w:val="none" w:sz="0" w:space="0" w:color="auto"/>
        <w:right w:val="none" w:sz="0" w:space="0" w:color="auto"/>
      </w:divBdr>
      <w:divsChild>
        <w:div w:id="1815558236">
          <w:marLeft w:val="0"/>
          <w:marRight w:val="0"/>
          <w:marTop w:val="0"/>
          <w:marBottom w:val="0"/>
          <w:divBdr>
            <w:top w:val="none" w:sz="0" w:space="0" w:color="auto"/>
            <w:left w:val="none" w:sz="0" w:space="0" w:color="auto"/>
            <w:bottom w:val="none" w:sz="0" w:space="0" w:color="auto"/>
            <w:right w:val="none" w:sz="0" w:space="0" w:color="auto"/>
          </w:divBdr>
        </w:div>
      </w:divsChild>
    </w:div>
    <w:div w:id="734933885">
      <w:marLeft w:val="0"/>
      <w:marRight w:val="0"/>
      <w:marTop w:val="0"/>
      <w:marBottom w:val="0"/>
      <w:divBdr>
        <w:top w:val="none" w:sz="0" w:space="0" w:color="auto"/>
        <w:left w:val="none" w:sz="0" w:space="0" w:color="auto"/>
        <w:bottom w:val="none" w:sz="0" w:space="0" w:color="auto"/>
        <w:right w:val="none" w:sz="0" w:space="0" w:color="auto"/>
      </w:divBdr>
      <w:divsChild>
        <w:div w:id="905605479">
          <w:marLeft w:val="0"/>
          <w:marRight w:val="0"/>
          <w:marTop w:val="0"/>
          <w:marBottom w:val="0"/>
          <w:divBdr>
            <w:top w:val="none" w:sz="0" w:space="0" w:color="auto"/>
            <w:left w:val="none" w:sz="0" w:space="0" w:color="auto"/>
            <w:bottom w:val="none" w:sz="0" w:space="0" w:color="auto"/>
            <w:right w:val="none" w:sz="0" w:space="0" w:color="auto"/>
          </w:divBdr>
        </w:div>
      </w:divsChild>
    </w:div>
    <w:div w:id="736131670">
      <w:marLeft w:val="0"/>
      <w:marRight w:val="0"/>
      <w:marTop w:val="0"/>
      <w:marBottom w:val="0"/>
      <w:divBdr>
        <w:top w:val="none" w:sz="0" w:space="0" w:color="auto"/>
        <w:left w:val="none" w:sz="0" w:space="0" w:color="auto"/>
        <w:bottom w:val="none" w:sz="0" w:space="0" w:color="auto"/>
        <w:right w:val="none" w:sz="0" w:space="0" w:color="auto"/>
      </w:divBdr>
    </w:div>
    <w:div w:id="737018675">
      <w:marLeft w:val="0"/>
      <w:marRight w:val="0"/>
      <w:marTop w:val="180"/>
      <w:marBottom w:val="180"/>
      <w:divBdr>
        <w:top w:val="none" w:sz="0" w:space="0" w:color="auto"/>
        <w:left w:val="none" w:sz="0" w:space="0" w:color="auto"/>
        <w:bottom w:val="none" w:sz="0" w:space="0" w:color="auto"/>
        <w:right w:val="none" w:sz="0" w:space="0" w:color="auto"/>
      </w:divBdr>
    </w:div>
    <w:div w:id="738017344">
      <w:marLeft w:val="0"/>
      <w:marRight w:val="0"/>
      <w:marTop w:val="0"/>
      <w:marBottom w:val="0"/>
      <w:divBdr>
        <w:top w:val="none" w:sz="0" w:space="0" w:color="auto"/>
        <w:left w:val="none" w:sz="0" w:space="0" w:color="auto"/>
        <w:bottom w:val="none" w:sz="0" w:space="0" w:color="auto"/>
        <w:right w:val="none" w:sz="0" w:space="0" w:color="auto"/>
      </w:divBdr>
    </w:div>
    <w:div w:id="741299564">
      <w:marLeft w:val="0"/>
      <w:marRight w:val="0"/>
      <w:marTop w:val="0"/>
      <w:marBottom w:val="240"/>
      <w:divBdr>
        <w:top w:val="none" w:sz="0" w:space="0" w:color="auto"/>
        <w:left w:val="none" w:sz="0" w:space="0" w:color="auto"/>
        <w:bottom w:val="none" w:sz="0" w:space="0" w:color="auto"/>
        <w:right w:val="none" w:sz="0" w:space="0" w:color="auto"/>
      </w:divBdr>
    </w:div>
    <w:div w:id="742722872">
      <w:marLeft w:val="0"/>
      <w:marRight w:val="0"/>
      <w:marTop w:val="0"/>
      <w:marBottom w:val="0"/>
      <w:divBdr>
        <w:top w:val="none" w:sz="0" w:space="0" w:color="auto"/>
        <w:left w:val="none" w:sz="0" w:space="0" w:color="auto"/>
        <w:bottom w:val="none" w:sz="0" w:space="0" w:color="auto"/>
        <w:right w:val="none" w:sz="0" w:space="0" w:color="auto"/>
      </w:divBdr>
      <w:divsChild>
        <w:div w:id="1576547196">
          <w:marLeft w:val="0"/>
          <w:marRight w:val="0"/>
          <w:marTop w:val="0"/>
          <w:marBottom w:val="0"/>
          <w:divBdr>
            <w:top w:val="none" w:sz="0" w:space="0" w:color="auto"/>
            <w:left w:val="none" w:sz="0" w:space="0" w:color="auto"/>
            <w:bottom w:val="none" w:sz="0" w:space="0" w:color="auto"/>
            <w:right w:val="none" w:sz="0" w:space="0" w:color="auto"/>
          </w:divBdr>
        </w:div>
      </w:divsChild>
    </w:div>
    <w:div w:id="744377853">
      <w:marLeft w:val="0"/>
      <w:marRight w:val="0"/>
      <w:marTop w:val="0"/>
      <w:marBottom w:val="240"/>
      <w:divBdr>
        <w:top w:val="none" w:sz="0" w:space="0" w:color="auto"/>
        <w:left w:val="none" w:sz="0" w:space="0" w:color="auto"/>
        <w:bottom w:val="none" w:sz="0" w:space="0" w:color="auto"/>
        <w:right w:val="none" w:sz="0" w:space="0" w:color="auto"/>
      </w:divBdr>
    </w:div>
    <w:div w:id="746077954">
      <w:marLeft w:val="0"/>
      <w:marRight w:val="0"/>
      <w:marTop w:val="0"/>
      <w:marBottom w:val="240"/>
      <w:divBdr>
        <w:top w:val="none" w:sz="0" w:space="0" w:color="auto"/>
        <w:left w:val="none" w:sz="0" w:space="0" w:color="auto"/>
        <w:bottom w:val="none" w:sz="0" w:space="0" w:color="auto"/>
        <w:right w:val="none" w:sz="0" w:space="0" w:color="auto"/>
      </w:divBdr>
    </w:div>
    <w:div w:id="747917997">
      <w:marLeft w:val="0"/>
      <w:marRight w:val="0"/>
      <w:marTop w:val="0"/>
      <w:marBottom w:val="180"/>
      <w:divBdr>
        <w:top w:val="none" w:sz="0" w:space="0" w:color="auto"/>
        <w:left w:val="none" w:sz="0" w:space="0" w:color="auto"/>
        <w:bottom w:val="none" w:sz="0" w:space="0" w:color="auto"/>
        <w:right w:val="none" w:sz="0" w:space="0" w:color="auto"/>
      </w:divBdr>
    </w:div>
    <w:div w:id="747925324">
      <w:marLeft w:val="0"/>
      <w:marRight w:val="0"/>
      <w:marTop w:val="0"/>
      <w:marBottom w:val="180"/>
      <w:divBdr>
        <w:top w:val="none" w:sz="0" w:space="0" w:color="auto"/>
        <w:left w:val="none" w:sz="0" w:space="0" w:color="auto"/>
        <w:bottom w:val="none" w:sz="0" w:space="0" w:color="auto"/>
        <w:right w:val="none" w:sz="0" w:space="0" w:color="auto"/>
      </w:divBdr>
    </w:div>
    <w:div w:id="748774951">
      <w:marLeft w:val="0"/>
      <w:marRight w:val="0"/>
      <w:marTop w:val="0"/>
      <w:marBottom w:val="180"/>
      <w:divBdr>
        <w:top w:val="none" w:sz="0" w:space="0" w:color="auto"/>
        <w:left w:val="none" w:sz="0" w:space="0" w:color="auto"/>
        <w:bottom w:val="none" w:sz="0" w:space="0" w:color="auto"/>
        <w:right w:val="none" w:sz="0" w:space="0" w:color="auto"/>
      </w:divBdr>
    </w:div>
    <w:div w:id="748775101">
      <w:marLeft w:val="0"/>
      <w:marRight w:val="0"/>
      <w:marTop w:val="0"/>
      <w:marBottom w:val="0"/>
      <w:divBdr>
        <w:top w:val="none" w:sz="0" w:space="0" w:color="auto"/>
        <w:left w:val="none" w:sz="0" w:space="0" w:color="auto"/>
        <w:bottom w:val="none" w:sz="0" w:space="0" w:color="auto"/>
        <w:right w:val="none" w:sz="0" w:space="0" w:color="auto"/>
      </w:divBdr>
      <w:divsChild>
        <w:div w:id="729574976">
          <w:marLeft w:val="0"/>
          <w:marRight w:val="0"/>
          <w:marTop w:val="0"/>
          <w:marBottom w:val="0"/>
          <w:divBdr>
            <w:top w:val="none" w:sz="0" w:space="0" w:color="auto"/>
            <w:left w:val="none" w:sz="0" w:space="0" w:color="auto"/>
            <w:bottom w:val="none" w:sz="0" w:space="0" w:color="auto"/>
            <w:right w:val="none" w:sz="0" w:space="0" w:color="auto"/>
          </w:divBdr>
        </w:div>
      </w:divsChild>
    </w:div>
    <w:div w:id="749081115">
      <w:marLeft w:val="0"/>
      <w:marRight w:val="0"/>
      <w:marTop w:val="120"/>
      <w:marBottom w:val="120"/>
      <w:divBdr>
        <w:top w:val="none" w:sz="0" w:space="0" w:color="auto"/>
        <w:left w:val="none" w:sz="0" w:space="0" w:color="auto"/>
        <w:bottom w:val="none" w:sz="0" w:space="0" w:color="auto"/>
        <w:right w:val="none" w:sz="0" w:space="0" w:color="auto"/>
      </w:divBdr>
    </w:div>
    <w:div w:id="750472588">
      <w:marLeft w:val="0"/>
      <w:marRight w:val="0"/>
      <w:marTop w:val="0"/>
      <w:marBottom w:val="0"/>
      <w:divBdr>
        <w:top w:val="none" w:sz="0" w:space="0" w:color="auto"/>
        <w:left w:val="none" w:sz="0" w:space="0" w:color="auto"/>
        <w:bottom w:val="none" w:sz="0" w:space="0" w:color="auto"/>
        <w:right w:val="none" w:sz="0" w:space="0" w:color="auto"/>
      </w:divBdr>
      <w:divsChild>
        <w:div w:id="733967039">
          <w:marLeft w:val="0"/>
          <w:marRight w:val="0"/>
          <w:marTop w:val="0"/>
          <w:marBottom w:val="0"/>
          <w:divBdr>
            <w:top w:val="none" w:sz="0" w:space="0" w:color="auto"/>
            <w:left w:val="none" w:sz="0" w:space="0" w:color="auto"/>
            <w:bottom w:val="none" w:sz="0" w:space="0" w:color="auto"/>
            <w:right w:val="none" w:sz="0" w:space="0" w:color="auto"/>
          </w:divBdr>
        </w:div>
      </w:divsChild>
    </w:div>
    <w:div w:id="750856546">
      <w:marLeft w:val="0"/>
      <w:marRight w:val="0"/>
      <w:marTop w:val="0"/>
      <w:marBottom w:val="240"/>
      <w:divBdr>
        <w:top w:val="none" w:sz="0" w:space="0" w:color="auto"/>
        <w:left w:val="none" w:sz="0" w:space="0" w:color="auto"/>
        <w:bottom w:val="none" w:sz="0" w:space="0" w:color="auto"/>
        <w:right w:val="none" w:sz="0" w:space="0" w:color="auto"/>
      </w:divBdr>
    </w:div>
    <w:div w:id="750857320">
      <w:marLeft w:val="0"/>
      <w:marRight w:val="0"/>
      <w:marTop w:val="0"/>
      <w:marBottom w:val="180"/>
      <w:divBdr>
        <w:top w:val="none" w:sz="0" w:space="0" w:color="auto"/>
        <w:left w:val="none" w:sz="0" w:space="0" w:color="auto"/>
        <w:bottom w:val="none" w:sz="0" w:space="0" w:color="auto"/>
        <w:right w:val="none" w:sz="0" w:space="0" w:color="auto"/>
      </w:divBdr>
    </w:div>
    <w:div w:id="751123317">
      <w:marLeft w:val="0"/>
      <w:marRight w:val="0"/>
      <w:marTop w:val="100"/>
      <w:marBottom w:val="0"/>
      <w:divBdr>
        <w:top w:val="none" w:sz="0" w:space="0" w:color="auto"/>
        <w:left w:val="none" w:sz="0" w:space="0" w:color="auto"/>
        <w:bottom w:val="none" w:sz="0" w:space="0" w:color="auto"/>
        <w:right w:val="none" w:sz="0" w:space="0" w:color="auto"/>
      </w:divBdr>
      <w:divsChild>
        <w:div w:id="1605573527">
          <w:marLeft w:val="0"/>
          <w:marRight w:val="0"/>
          <w:marTop w:val="0"/>
          <w:marBottom w:val="0"/>
          <w:divBdr>
            <w:top w:val="none" w:sz="0" w:space="0" w:color="auto"/>
            <w:left w:val="none" w:sz="0" w:space="0" w:color="auto"/>
            <w:bottom w:val="none" w:sz="0" w:space="0" w:color="auto"/>
            <w:right w:val="none" w:sz="0" w:space="0" w:color="auto"/>
          </w:divBdr>
        </w:div>
        <w:div w:id="110441035">
          <w:marLeft w:val="0"/>
          <w:marRight w:val="0"/>
          <w:marTop w:val="0"/>
          <w:marBottom w:val="0"/>
          <w:divBdr>
            <w:top w:val="none" w:sz="0" w:space="0" w:color="auto"/>
            <w:left w:val="none" w:sz="0" w:space="0" w:color="auto"/>
            <w:bottom w:val="none" w:sz="0" w:space="0" w:color="auto"/>
            <w:right w:val="none" w:sz="0" w:space="0" w:color="auto"/>
          </w:divBdr>
        </w:div>
        <w:div w:id="2002391077">
          <w:marLeft w:val="0"/>
          <w:marRight w:val="0"/>
          <w:marTop w:val="0"/>
          <w:marBottom w:val="0"/>
          <w:divBdr>
            <w:top w:val="none" w:sz="0" w:space="0" w:color="auto"/>
            <w:left w:val="none" w:sz="0" w:space="0" w:color="auto"/>
            <w:bottom w:val="none" w:sz="0" w:space="0" w:color="auto"/>
            <w:right w:val="none" w:sz="0" w:space="0" w:color="auto"/>
          </w:divBdr>
        </w:div>
        <w:div w:id="1482382697">
          <w:marLeft w:val="0"/>
          <w:marRight w:val="0"/>
          <w:marTop w:val="0"/>
          <w:marBottom w:val="0"/>
          <w:divBdr>
            <w:top w:val="none" w:sz="0" w:space="0" w:color="auto"/>
            <w:left w:val="none" w:sz="0" w:space="0" w:color="auto"/>
            <w:bottom w:val="none" w:sz="0" w:space="0" w:color="auto"/>
            <w:right w:val="none" w:sz="0" w:space="0" w:color="auto"/>
          </w:divBdr>
        </w:div>
      </w:divsChild>
    </w:div>
    <w:div w:id="751657199">
      <w:marLeft w:val="0"/>
      <w:marRight w:val="0"/>
      <w:marTop w:val="0"/>
      <w:marBottom w:val="0"/>
      <w:divBdr>
        <w:top w:val="none" w:sz="0" w:space="0" w:color="auto"/>
        <w:left w:val="none" w:sz="0" w:space="0" w:color="auto"/>
        <w:bottom w:val="none" w:sz="0" w:space="0" w:color="auto"/>
        <w:right w:val="none" w:sz="0" w:space="0" w:color="auto"/>
      </w:divBdr>
      <w:divsChild>
        <w:div w:id="1661731394">
          <w:marLeft w:val="0"/>
          <w:marRight w:val="0"/>
          <w:marTop w:val="0"/>
          <w:marBottom w:val="0"/>
          <w:divBdr>
            <w:top w:val="none" w:sz="0" w:space="0" w:color="auto"/>
            <w:left w:val="none" w:sz="0" w:space="0" w:color="auto"/>
            <w:bottom w:val="none" w:sz="0" w:space="0" w:color="auto"/>
            <w:right w:val="none" w:sz="0" w:space="0" w:color="auto"/>
          </w:divBdr>
        </w:div>
      </w:divsChild>
    </w:div>
    <w:div w:id="755131387">
      <w:marLeft w:val="0"/>
      <w:marRight w:val="0"/>
      <w:marTop w:val="0"/>
      <w:marBottom w:val="0"/>
      <w:divBdr>
        <w:top w:val="none" w:sz="0" w:space="0" w:color="auto"/>
        <w:left w:val="none" w:sz="0" w:space="0" w:color="auto"/>
        <w:bottom w:val="none" w:sz="0" w:space="0" w:color="auto"/>
        <w:right w:val="none" w:sz="0" w:space="0" w:color="auto"/>
      </w:divBdr>
    </w:div>
    <w:div w:id="759915114">
      <w:marLeft w:val="0"/>
      <w:marRight w:val="0"/>
      <w:marTop w:val="0"/>
      <w:marBottom w:val="0"/>
      <w:divBdr>
        <w:top w:val="none" w:sz="0" w:space="0" w:color="auto"/>
        <w:left w:val="none" w:sz="0" w:space="0" w:color="auto"/>
        <w:bottom w:val="none" w:sz="0" w:space="0" w:color="auto"/>
        <w:right w:val="none" w:sz="0" w:space="0" w:color="auto"/>
      </w:divBdr>
    </w:div>
    <w:div w:id="761753995">
      <w:marLeft w:val="0"/>
      <w:marRight w:val="0"/>
      <w:marTop w:val="0"/>
      <w:marBottom w:val="240"/>
      <w:divBdr>
        <w:top w:val="none" w:sz="0" w:space="0" w:color="auto"/>
        <w:left w:val="none" w:sz="0" w:space="0" w:color="auto"/>
        <w:bottom w:val="none" w:sz="0" w:space="0" w:color="auto"/>
        <w:right w:val="none" w:sz="0" w:space="0" w:color="auto"/>
      </w:divBdr>
    </w:div>
    <w:div w:id="761922442">
      <w:marLeft w:val="0"/>
      <w:marRight w:val="0"/>
      <w:marTop w:val="180"/>
      <w:marBottom w:val="180"/>
      <w:divBdr>
        <w:top w:val="none" w:sz="0" w:space="0" w:color="auto"/>
        <w:left w:val="none" w:sz="0" w:space="0" w:color="auto"/>
        <w:bottom w:val="none" w:sz="0" w:space="0" w:color="auto"/>
        <w:right w:val="none" w:sz="0" w:space="0" w:color="auto"/>
      </w:divBdr>
    </w:div>
    <w:div w:id="762920254">
      <w:marLeft w:val="0"/>
      <w:marRight w:val="0"/>
      <w:marTop w:val="260"/>
      <w:marBottom w:val="240"/>
      <w:divBdr>
        <w:top w:val="none" w:sz="0" w:space="0" w:color="auto"/>
        <w:left w:val="none" w:sz="0" w:space="0" w:color="auto"/>
        <w:bottom w:val="none" w:sz="0" w:space="0" w:color="auto"/>
        <w:right w:val="none" w:sz="0" w:space="0" w:color="auto"/>
      </w:divBdr>
    </w:div>
    <w:div w:id="763303638">
      <w:marLeft w:val="0"/>
      <w:marRight w:val="0"/>
      <w:marTop w:val="0"/>
      <w:marBottom w:val="0"/>
      <w:divBdr>
        <w:top w:val="none" w:sz="0" w:space="0" w:color="auto"/>
        <w:left w:val="none" w:sz="0" w:space="0" w:color="auto"/>
        <w:bottom w:val="none" w:sz="0" w:space="0" w:color="auto"/>
        <w:right w:val="none" w:sz="0" w:space="0" w:color="auto"/>
      </w:divBdr>
    </w:div>
    <w:div w:id="764425538">
      <w:marLeft w:val="0"/>
      <w:marRight w:val="0"/>
      <w:marTop w:val="0"/>
      <w:marBottom w:val="0"/>
      <w:divBdr>
        <w:top w:val="none" w:sz="0" w:space="0" w:color="auto"/>
        <w:left w:val="none" w:sz="0" w:space="0" w:color="auto"/>
        <w:bottom w:val="none" w:sz="0" w:space="0" w:color="auto"/>
        <w:right w:val="none" w:sz="0" w:space="0" w:color="auto"/>
      </w:divBdr>
      <w:divsChild>
        <w:div w:id="1277637540">
          <w:marLeft w:val="0"/>
          <w:marRight w:val="0"/>
          <w:marTop w:val="0"/>
          <w:marBottom w:val="0"/>
          <w:divBdr>
            <w:top w:val="none" w:sz="0" w:space="0" w:color="auto"/>
            <w:left w:val="none" w:sz="0" w:space="0" w:color="auto"/>
            <w:bottom w:val="none" w:sz="0" w:space="0" w:color="auto"/>
            <w:right w:val="none" w:sz="0" w:space="0" w:color="auto"/>
          </w:divBdr>
        </w:div>
      </w:divsChild>
    </w:div>
    <w:div w:id="769160009">
      <w:marLeft w:val="0"/>
      <w:marRight w:val="0"/>
      <w:marTop w:val="0"/>
      <w:marBottom w:val="0"/>
      <w:divBdr>
        <w:top w:val="none" w:sz="0" w:space="0" w:color="auto"/>
        <w:left w:val="none" w:sz="0" w:space="0" w:color="auto"/>
        <w:bottom w:val="none" w:sz="0" w:space="0" w:color="auto"/>
        <w:right w:val="none" w:sz="0" w:space="0" w:color="auto"/>
      </w:divBdr>
    </w:div>
    <w:div w:id="770592575">
      <w:marLeft w:val="0"/>
      <w:marRight w:val="0"/>
      <w:marTop w:val="0"/>
      <w:marBottom w:val="0"/>
      <w:divBdr>
        <w:top w:val="none" w:sz="0" w:space="0" w:color="auto"/>
        <w:left w:val="none" w:sz="0" w:space="0" w:color="auto"/>
        <w:bottom w:val="none" w:sz="0" w:space="0" w:color="auto"/>
        <w:right w:val="none" w:sz="0" w:space="0" w:color="auto"/>
      </w:divBdr>
    </w:div>
    <w:div w:id="770664592">
      <w:marLeft w:val="0"/>
      <w:marRight w:val="0"/>
      <w:marTop w:val="0"/>
      <w:marBottom w:val="240"/>
      <w:divBdr>
        <w:top w:val="none" w:sz="0" w:space="0" w:color="auto"/>
        <w:left w:val="none" w:sz="0" w:space="0" w:color="auto"/>
        <w:bottom w:val="none" w:sz="0" w:space="0" w:color="auto"/>
        <w:right w:val="none" w:sz="0" w:space="0" w:color="auto"/>
      </w:divBdr>
    </w:div>
    <w:div w:id="770782669">
      <w:marLeft w:val="0"/>
      <w:marRight w:val="0"/>
      <w:marTop w:val="0"/>
      <w:marBottom w:val="0"/>
      <w:divBdr>
        <w:top w:val="none" w:sz="0" w:space="0" w:color="auto"/>
        <w:left w:val="none" w:sz="0" w:space="0" w:color="auto"/>
        <w:bottom w:val="none" w:sz="0" w:space="0" w:color="auto"/>
        <w:right w:val="none" w:sz="0" w:space="0" w:color="auto"/>
      </w:divBdr>
      <w:divsChild>
        <w:div w:id="1791049510">
          <w:marLeft w:val="0"/>
          <w:marRight w:val="0"/>
          <w:marTop w:val="0"/>
          <w:marBottom w:val="0"/>
          <w:divBdr>
            <w:top w:val="none" w:sz="0" w:space="0" w:color="auto"/>
            <w:left w:val="none" w:sz="0" w:space="0" w:color="auto"/>
            <w:bottom w:val="none" w:sz="0" w:space="0" w:color="auto"/>
            <w:right w:val="none" w:sz="0" w:space="0" w:color="auto"/>
          </w:divBdr>
        </w:div>
      </w:divsChild>
    </w:div>
    <w:div w:id="773745798">
      <w:marLeft w:val="0"/>
      <w:marRight w:val="0"/>
      <w:marTop w:val="0"/>
      <w:marBottom w:val="180"/>
      <w:divBdr>
        <w:top w:val="none" w:sz="0" w:space="0" w:color="auto"/>
        <w:left w:val="none" w:sz="0" w:space="0" w:color="auto"/>
        <w:bottom w:val="none" w:sz="0" w:space="0" w:color="auto"/>
        <w:right w:val="none" w:sz="0" w:space="0" w:color="auto"/>
      </w:divBdr>
    </w:div>
    <w:div w:id="775255218">
      <w:marLeft w:val="0"/>
      <w:marRight w:val="0"/>
      <w:marTop w:val="0"/>
      <w:marBottom w:val="240"/>
      <w:divBdr>
        <w:top w:val="none" w:sz="0" w:space="0" w:color="auto"/>
        <w:left w:val="none" w:sz="0" w:space="0" w:color="auto"/>
        <w:bottom w:val="none" w:sz="0" w:space="0" w:color="auto"/>
        <w:right w:val="none" w:sz="0" w:space="0" w:color="auto"/>
      </w:divBdr>
    </w:div>
    <w:div w:id="775637582">
      <w:marLeft w:val="0"/>
      <w:marRight w:val="0"/>
      <w:marTop w:val="0"/>
      <w:marBottom w:val="240"/>
      <w:divBdr>
        <w:top w:val="none" w:sz="0" w:space="0" w:color="auto"/>
        <w:left w:val="none" w:sz="0" w:space="0" w:color="auto"/>
        <w:bottom w:val="none" w:sz="0" w:space="0" w:color="auto"/>
        <w:right w:val="none" w:sz="0" w:space="0" w:color="auto"/>
      </w:divBdr>
    </w:div>
    <w:div w:id="775754013">
      <w:marLeft w:val="0"/>
      <w:marRight w:val="0"/>
      <w:marTop w:val="0"/>
      <w:marBottom w:val="0"/>
      <w:divBdr>
        <w:top w:val="none" w:sz="0" w:space="0" w:color="auto"/>
        <w:left w:val="none" w:sz="0" w:space="0" w:color="auto"/>
        <w:bottom w:val="none" w:sz="0" w:space="0" w:color="auto"/>
        <w:right w:val="none" w:sz="0" w:space="0" w:color="auto"/>
      </w:divBdr>
    </w:div>
    <w:div w:id="778450470">
      <w:marLeft w:val="0"/>
      <w:marRight w:val="0"/>
      <w:marTop w:val="240"/>
      <w:marBottom w:val="240"/>
      <w:divBdr>
        <w:top w:val="none" w:sz="0" w:space="0" w:color="auto"/>
        <w:left w:val="none" w:sz="0" w:space="0" w:color="auto"/>
        <w:bottom w:val="none" w:sz="0" w:space="0" w:color="auto"/>
        <w:right w:val="none" w:sz="0" w:space="0" w:color="auto"/>
      </w:divBdr>
    </w:div>
    <w:div w:id="781654271">
      <w:marLeft w:val="0"/>
      <w:marRight w:val="0"/>
      <w:marTop w:val="0"/>
      <w:marBottom w:val="0"/>
      <w:divBdr>
        <w:top w:val="none" w:sz="0" w:space="0" w:color="auto"/>
        <w:left w:val="none" w:sz="0" w:space="0" w:color="auto"/>
        <w:bottom w:val="none" w:sz="0" w:space="0" w:color="auto"/>
        <w:right w:val="none" w:sz="0" w:space="0" w:color="auto"/>
      </w:divBdr>
    </w:div>
    <w:div w:id="782260857">
      <w:marLeft w:val="0"/>
      <w:marRight w:val="0"/>
      <w:marTop w:val="0"/>
      <w:marBottom w:val="180"/>
      <w:divBdr>
        <w:top w:val="none" w:sz="0" w:space="0" w:color="auto"/>
        <w:left w:val="none" w:sz="0" w:space="0" w:color="auto"/>
        <w:bottom w:val="none" w:sz="0" w:space="0" w:color="auto"/>
        <w:right w:val="none" w:sz="0" w:space="0" w:color="auto"/>
      </w:divBdr>
    </w:div>
    <w:div w:id="788550484">
      <w:marLeft w:val="0"/>
      <w:marRight w:val="0"/>
      <w:marTop w:val="0"/>
      <w:marBottom w:val="0"/>
      <w:divBdr>
        <w:top w:val="none" w:sz="0" w:space="0" w:color="auto"/>
        <w:left w:val="none" w:sz="0" w:space="0" w:color="auto"/>
        <w:bottom w:val="none" w:sz="0" w:space="0" w:color="auto"/>
        <w:right w:val="none" w:sz="0" w:space="0" w:color="auto"/>
      </w:divBdr>
      <w:divsChild>
        <w:div w:id="70660804">
          <w:marLeft w:val="0"/>
          <w:marRight w:val="0"/>
          <w:marTop w:val="0"/>
          <w:marBottom w:val="0"/>
          <w:divBdr>
            <w:top w:val="none" w:sz="0" w:space="0" w:color="auto"/>
            <w:left w:val="none" w:sz="0" w:space="0" w:color="auto"/>
            <w:bottom w:val="none" w:sz="0" w:space="0" w:color="auto"/>
            <w:right w:val="none" w:sz="0" w:space="0" w:color="auto"/>
          </w:divBdr>
        </w:div>
      </w:divsChild>
    </w:div>
    <w:div w:id="791049841">
      <w:marLeft w:val="0"/>
      <w:marRight w:val="0"/>
      <w:marTop w:val="0"/>
      <w:marBottom w:val="0"/>
      <w:divBdr>
        <w:top w:val="none" w:sz="0" w:space="0" w:color="auto"/>
        <w:left w:val="none" w:sz="0" w:space="0" w:color="auto"/>
        <w:bottom w:val="none" w:sz="0" w:space="0" w:color="auto"/>
        <w:right w:val="none" w:sz="0" w:space="0" w:color="auto"/>
      </w:divBdr>
    </w:div>
    <w:div w:id="792820242">
      <w:marLeft w:val="0"/>
      <w:marRight w:val="0"/>
      <w:marTop w:val="0"/>
      <w:marBottom w:val="180"/>
      <w:divBdr>
        <w:top w:val="none" w:sz="0" w:space="0" w:color="auto"/>
        <w:left w:val="none" w:sz="0" w:space="0" w:color="auto"/>
        <w:bottom w:val="none" w:sz="0" w:space="0" w:color="auto"/>
        <w:right w:val="none" w:sz="0" w:space="0" w:color="auto"/>
      </w:divBdr>
    </w:div>
    <w:div w:id="793207732">
      <w:marLeft w:val="0"/>
      <w:marRight w:val="0"/>
      <w:marTop w:val="240"/>
      <w:marBottom w:val="240"/>
      <w:divBdr>
        <w:top w:val="none" w:sz="0" w:space="0" w:color="auto"/>
        <w:left w:val="none" w:sz="0" w:space="0" w:color="auto"/>
        <w:bottom w:val="none" w:sz="0" w:space="0" w:color="auto"/>
        <w:right w:val="none" w:sz="0" w:space="0" w:color="auto"/>
      </w:divBdr>
    </w:div>
    <w:div w:id="795565745">
      <w:marLeft w:val="0"/>
      <w:marRight w:val="0"/>
      <w:marTop w:val="120"/>
      <w:marBottom w:val="120"/>
      <w:divBdr>
        <w:top w:val="none" w:sz="0" w:space="0" w:color="auto"/>
        <w:left w:val="none" w:sz="0" w:space="0" w:color="auto"/>
        <w:bottom w:val="none" w:sz="0" w:space="0" w:color="auto"/>
        <w:right w:val="none" w:sz="0" w:space="0" w:color="auto"/>
      </w:divBdr>
    </w:div>
    <w:div w:id="799152521">
      <w:marLeft w:val="0"/>
      <w:marRight w:val="0"/>
      <w:marTop w:val="180"/>
      <w:marBottom w:val="180"/>
      <w:divBdr>
        <w:top w:val="none" w:sz="0" w:space="0" w:color="auto"/>
        <w:left w:val="none" w:sz="0" w:space="0" w:color="auto"/>
        <w:bottom w:val="none" w:sz="0" w:space="0" w:color="auto"/>
        <w:right w:val="none" w:sz="0" w:space="0" w:color="auto"/>
      </w:divBdr>
    </w:div>
    <w:div w:id="799349633">
      <w:marLeft w:val="0"/>
      <w:marRight w:val="0"/>
      <w:marTop w:val="140"/>
      <w:marBottom w:val="240"/>
      <w:divBdr>
        <w:top w:val="none" w:sz="0" w:space="0" w:color="auto"/>
        <w:left w:val="none" w:sz="0" w:space="0" w:color="auto"/>
        <w:bottom w:val="none" w:sz="0" w:space="0" w:color="auto"/>
        <w:right w:val="none" w:sz="0" w:space="0" w:color="auto"/>
      </w:divBdr>
    </w:div>
    <w:div w:id="804157618">
      <w:marLeft w:val="0"/>
      <w:marRight w:val="0"/>
      <w:marTop w:val="0"/>
      <w:marBottom w:val="0"/>
      <w:divBdr>
        <w:top w:val="none" w:sz="0" w:space="0" w:color="auto"/>
        <w:left w:val="none" w:sz="0" w:space="0" w:color="auto"/>
        <w:bottom w:val="none" w:sz="0" w:space="0" w:color="auto"/>
        <w:right w:val="none" w:sz="0" w:space="0" w:color="auto"/>
      </w:divBdr>
    </w:div>
    <w:div w:id="810829710">
      <w:marLeft w:val="0"/>
      <w:marRight w:val="0"/>
      <w:marTop w:val="0"/>
      <w:marBottom w:val="0"/>
      <w:divBdr>
        <w:top w:val="none" w:sz="0" w:space="0" w:color="auto"/>
        <w:left w:val="none" w:sz="0" w:space="0" w:color="auto"/>
        <w:bottom w:val="none" w:sz="0" w:space="0" w:color="auto"/>
        <w:right w:val="none" w:sz="0" w:space="0" w:color="auto"/>
      </w:divBdr>
      <w:divsChild>
        <w:div w:id="1061904489">
          <w:marLeft w:val="0"/>
          <w:marRight w:val="0"/>
          <w:marTop w:val="0"/>
          <w:marBottom w:val="0"/>
          <w:divBdr>
            <w:top w:val="none" w:sz="0" w:space="0" w:color="auto"/>
            <w:left w:val="none" w:sz="0" w:space="0" w:color="auto"/>
            <w:bottom w:val="none" w:sz="0" w:space="0" w:color="auto"/>
            <w:right w:val="none" w:sz="0" w:space="0" w:color="auto"/>
          </w:divBdr>
        </w:div>
      </w:divsChild>
    </w:div>
    <w:div w:id="811365177">
      <w:marLeft w:val="0"/>
      <w:marRight w:val="0"/>
      <w:marTop w:val="0"/>
      <w:marBottom w:val="240"/>
      <w:divBdr>
        <w:top w:val="none" w:sz="0" w:space="0" w:color="auto"/>
        <w:left w:val="none" w:sz="0" w:space="0" w:color="auto"/>
        <w:bottom w:val="none" w:sz="0" w:space="0" w:color="auto"/>
        <w:right w:val="none" w:sz="0" w:space="0" w:color="auto"/>
      </w:divBdr>
    </w:div>
    <w:div w:id="811824610">
      <w:marLeft w:val="0"/>
      <w:marRight w:val="0"/>
      <w:marTop w:val="0"/>
      <w:marBottom w:val="0"/>
      <w:divBdr>
        <w:top w:val="none" w:sz="0" w:space="0" w:color="auto"/>
        <w:left w:val="none" w:sz="0" w:space="0" w:color="auto"/>
        <w:bottom w:val="none" w:sz="0" w:space="0" w:color="auto"/>
        <w:right w:val="none" w:sz="0" w:space="0" w:color="auto"/>
      </w:divBdr>
      <w:divsChild>
        <w:div w:id="1913389544">
          <w:marLeft w:val="0"/>
          <w:marRight w:val="0"/>
          <w:marTop w:val="0"/>
          <w:marBottom w:val="0"/>
          <w:divBdr>
            <w:top w:val="none" w:sz="0" w:space="0" w:color="auto"/>
            <w:left w:val="none" w:sz="0" w:space="0" w:color="auto"/>
            <w:bottom w:val="none" w:sz="0" w:space="0" w:color="auto"/>
            <w:right w:val="none" w:sz="0" w:space="0" w:color="auto"/>
          </w:divBdr>
        </w:div>
      </w:divsChild>
    </w:div>
    <w:div w:id="812795247">
      <w:marLeft w:val="0"/>
      <w:marRight w:val="0"/>
      <w:marTop w:val="0"/>
      <w:marBottom w:val="0"/>
      <w:divBdr>
        <w:top w:val="none" w:sz="0" w:space="0" w:color="auto"/>
        <w:left w:val="none" w:sz="0" w:space="0" w:color="auto"/>
        <w:bottom w:val="none" w:sz="0" w:space="0" w:color="auto"/>
        <w:right w:val="none" w:sz="0" w:space="0" w:color="auto"/>
      </w:divBdr>
      <w:divsChild>
        <w:div w:id="1026443670">
          <w:marLeft w:val="0"/>
          <w:marRight w:val="0"/>
          <w:marTop w:val="0"/>
          <w:marBottom w:val="0"/>
          <w:divBdr>
            <w:top w:val="none" w:sz="0" w:space="0" w:color="auto"/>
            <w:left w:val="none" w:sz="0" w:space="0" w:color="auto"/>
            <w:bottom w:val="none" w:sz="0" w:space="0" w:color="auto"/>
            <w:right w:val="none" w:sz="0" w:space="0" w:color="auto"/>
          </w:divBdr>
        </w:div>
      </w:divsChild>
    </w:div>
    <w:div w:id="817260651">
      <w:marLeft w:val="0"/>
      <w:marRight w:val="0"/>
      <w:marTop w:val="0"/>
      <w:marBottom w:val="180"/>
      <w:divBdr>
        <w:top w:val="none" w:sz="0" w:space="0" w:color="auto"/>
        <w:left w:val="none" w:sz="0" w:space="0" w:color="auto"/>
        <w:bottom w:val="none" w:sz="0" w:space="0" w:color="auto"/>
        <w:right w:val="none" w:sz="0" w:space="0" w:color="auto"/>
      </w:divBdr>
    </w:div>
    <w:div w:id="817498771">
      <w:marLeft w:val="0"/>
      <w:marRight w:val="0"/>
      <w:marTop w:val="180"/>
      <w:marBottom w:val="180"/>
      <w:divBdr>
        <w:top w:val="none" w:sz="0" w:space="0" w:color="auto"/>
        <w:left w:val="none" w:sz="0" w:space="0" w:color="auto"/>
        <w:bottom w:val="none" w:sz="0" w:space="0" w:color="auto"/>
        <w:right w:val="none" w:sz="0" w:space="0" w:color="auto"/>
      </w:divBdr>
    </w:div>
    <w:div w:id="817651702">
      <w:marLeft w:val="0"/>
      <w:marRight w:val="0"/>
      <w:marTop w:val="60"/>
      <w:marBottom w:val="0"/>
      <w:divBdr>
        <w:top w:val="none" w:sz="0" w:space="0" w:color="auto"/>
        <w:left w:val="none" w:sz="0" w:space="0" w:color="auto"/>
        <w:bottom w:val="none" w:sz="0" w:space="0" w:color="auto"/>
        <w:right w:val="none" w:sz="0" w:space="0" w:color="auto"/>
      </w:divBdr>
    </w:div>
    <w:div w:id="819686462">
      <w:marLeft w:val="0"/>
      <w:marRight w:val="0"/>
      <w:marTop w:val="0"/>
      <w:marBottom w:val="0"/>
      <w:divBdr>
        <w:top w:val="none" w:sz="0" w:space="0" w:color="auto"/>
        <w:left w:val="none" w:sz="0" w:space="0" w:color="auto"/>
        <w:bottom w:val="none" w:sz="0" w:space="0" w:color="auto"/>
        <w:right w:val="none" w:sz="0" w:space="0" w:color="auto"/>
      </w:divBdr>
      <w:divsChild>
        <w:div w:id="2019309279">
          <w:marLeft w:val="0"/>
          <w:marRight w:val="0"/>
          <w:marTop w:val="0"/>
          <w:marBottom w:val="0"/>
          <w:divBdr>
            <w:top w:val="none" w:sz="0" w:space="0" w:color="auto"/>
            <w:left w:val="none" w:sz="0" w:space="0" w:color="auto"/>
            <w:bottom w:val="none" w:sz="0" w:space="0" w:color="auto"/>
            <w:right w:val="none" w:sz="0" w:space="0" w:color="auto"/>
          </w:divBdr>
        </w:div>
      </w:divsChild>
    </w:div>
    <w:div w:id="819925855">
      <w:marLeft w:val="0"/>
      <w:marRight w:val="0"/>
      <w:marTop w:val="180"/>
      <w:marBottom w:val="180"/>
      <w:divBdr>
        <w:top w:val="none" w:sz="0" w:space="0" w:color="auto"/>
        <w:left w:val="none" w:sz="0" w:space="0" w:color="auto"/>
        <w:bottom w:val="none" w:sz="0" w:space="0" w:color="auto"/>
        <w:right w:val="none" w:sz="0" w:space="0" w:color="auto"/>
      </w:divBdr>
    </w:div>
    <w:div w:id="824859749">
      <w:marLeft w:val="0"/>
      <w:marRight w:val="0"/>
      <w:marTop w:val="0"/>
      <w:marBottom w:val="0"/>
      <w:divBdr>
        <w:top w:val="none" w:sz="0" w:space="0" w:color="auto"/>
        <w:left w:val="none" w:sz="0" w:space="0" w:color="auto"/>
        <w:bottom w:val="none" w:sz="0" w:space="0" w:color="auto"/>
        <w:right w:val="none" w:sz="0" w:space="0" w:color="auto"/>
      </w:divBdr>
    </w:div>
    <w:div w:id="825509933">
      <w:marLeft w:val="0"/>
      <w:marRight w:val="0"/>
      <w:marTop w:val="0"/>
      <w:marBottom w:val="240"/>
      <w:divBdr>
        <w:top w:val="none" w:sz="0" w:space="0" w:color="auto"/>
        <w:left w:val="none" w:sz="0" w:space="0" w:color="auto"/>
        <w:bottom w:val="none" w:sz="0" w:space="0" w:color="auto"/>
        <w:right w:val="none" w:sz="0" w:space="0" w:color="auto"/>
      </w:divBdr>
    </w:div>
    <w:div w:id="826628892">
      <w:marLeft w:val="0"/>
      <w:marRight w:val="0"/>
      <w:marTop w:val="0"/>
      <w:marBottom w:val="0"/>
      <w:divBdr>
        <w:top w:val="none" w:sz="0" w:space="0" w:color="auto"/>
        <w:left w:val="none" w:sz="0" w:space="0" w:color="auto"/>
        <w:bottom w:val="none" w:sz="0" w:space="0" w:color="auto"/>
        <w:right w:val="none" w:sz="0" w:space="0" w:color="auto"/>
      </w:divBdr>
    </w:div>
    <w:div w:id="827401043">
      <w:marLeft w:val="0"/>
      <w:marRight w:val="0"/>
      <w:marTop w:val="120"/>
      <w:marBottom w:val="120"/>
      <w:divBdr>
        <w:top w:val="none" w:sz="0" w:space="0" w:color="auto"/>
        <w:left w:val="none" w:sz="0" w:space="0" w:color="auto"/>
        <w:bottom w:val="none" w:sz="0" w:space="0" w:color="auto"/>
        <w:right w:val="none" w:sz="0" w:space="0" w:color="auto"/>
      </w:divBdr>
    </w:div>
    <w:div w:id="828786833">
      <w:marLeft w:val="0"/>
      <w:marRight w:val="0"/>
      <w:marTop w:val="0"/>
      <w:marBottom w:val="0"/>
      <w:divBdr>
        <w:top w:val="none" w:sz="0" w:space="0" w:color="auto"/>
        <w:left w:val="none" w:sz="0" w:space="0" w:color="auto"/>
        <w:bottom w:val="none" w:sz="0" w:space="0" w:color="auto"/>
        <w:right w:val="none" w:sz="0" w:space="0" w:color="auto"/>
      </w:divBdr>
    </w:div>
    <w:div w:id="831412288">
      <w:marLeft w:val="0"/>
      <w:marRight w:val="0"/>
      <w:marTop w:val="0"/>
      <w:marBottom w:val="0"/>
      <w:divBdr>
        <w:top w:val="none" w:sz="0" w:space="0" w:color="auto"/>
        <w:left w:val="none" w:sz="0" w:space="0" w:color="auto"/>
        <w:bottom w:val="none" w:sz="0" w:space="0" w:color="auto"/>
        <w:right w:val="none" w:sz="0" w:space="0" w:color="auto"/>
      </w:divBdr>
      <w:divsChild>
        <w:div w:id="1513568431">
          <w:marLeft w:val="0"/>
          <w:marRight w:val="0"/>
          <w:marTop w:val="0"/>
          <w:marBottom w:val="0"/>
          <w:divBdr>
            <w:top w:val="none" w:sz="0" w:space="0" w:color="auto"/>
            <w:left w:val="none" w:sz="0" w:space="0" w:color="auto"/>
            <w:bottom w:val="none" w:sz="0" w:space="0" w:color="auto"/>
            <w:right w:val="none" w:sz="0" w:space="0" w:color="auto"/>
          </w:divBdr>
        </w:div>
      </w:divsChild>
    </w:div>
    <w:div w:id="832259773">
      <w:marLeft w:val="0"/>
      <w:marRight w:val="0"/>
      <w:marTop w:val="0"/>
      <w:marBottom w:val="240"/>
      <w:divBdr>
        <w:top w:val="none" w:sz="0" w:space="0" w:color="auto"/>
        <w:left w:val="none" w:sz="0" w:space="0" w:color="auto"/>
        <w:bottom w:val="none" w:sz="0" w:space="0" w:color="auto"/>
        <w:right w:val="none" w:sz="0" w:space="0" w:color="auto"/>
      </w:divBdr>
    </w:div>
    <w:div w:id="835266890">
      <w:marLeft w:val="0"/>
      <w:marRight w:val="0"/>
      <w:marTop w:val="0"/>
      <w:marBottom w:val="0"/>
      <w:divBdr>
        <w:top w:val="none" w:sz="0" w:space="0" w:color="auto"/>
        <w:left w:val="none" w:sz="0" w:space="0" w:color="auto"/>
        <w:bottom w:val="none" w:sz="0" w:space="0" w:color="auto"/>
        <w:right w:val="none" w:sz="0" w:space="0" w:color="auto"/>
      </w:divBdr>
    </w:div>
    <w:div w:id="836923564">
      <w:marLeft w:val="0"/>
      <w:marRight w:val="0"/>
      <w:marTop w:val="0"/>
      <w:marBottom w:val="0"/>
      <w:divBdr>
        <w:top w:val="none" w:sz="0" w:space="0" w:color="auto"/>
        <w:left w:val="none" w:sz="0" w:space="0" w:color="auto"/>
        <w:bottom w:val="none" w:sz="0" w:space="0" w:color="auto"/>
        <w:right w:val="none" w:sz="0" w:space="0" w:color="auto"/>
      </w:divBdr>
    </w:div>
    <w:div w:id="839656384">
      <w:marLeft w:val="0"/>
      <w:marRight w:val="0"/>
      <w:marTop w:val="0"/>
      <w:marBottom w:val="0"/>
      <w:divBdr>
        <w:top w:val="none" w:sz="0" w:space="0" w:color="auto"/>
        <w:left w:val="none" w:sz="0" w:space="0" w:color="auto"/>
        <w:bottom w:val="none" w:sz="0" w:space="0" w:color="auto"/>
        <w:right w:val="none" w:sz="0" w:space="0" w:color="auto"/>
      </w:divBdr>
      <w:divsChild>
        <w:div w:id="2020348140">
          <w:marLeft w:val="0"/>
          <w:marRight w:val="0"/>
          <w:marTop w:val="0"/>
          <w:marBottom w:val="0"/>
          <w:divBdr>
            <w:top w:val="none" w:sz="0" w:space="0" w:color="auto"/>
            <w:left w:val="none" w:sz="0" w:space="0" w:color="auto"/>
            <w:bottom w:val="none" w:sz="0" w:space="0" w:color="auto"/>
            <w:right w:val="none" w:sz="0" w:space="0" w:color="auto"/>
          </w:divBdr>
        </w:div>
      </w:divsChild>
    </w:div>
    <w:div w:id="844513958">
      <w:marLeft w:val="0"/>
      <w:marRight w:val="0"/>
      <w:marTop w:val="0"/>
      <w:marBottom w:val="0"/>
      <w:divBdr>
        <w:top w:val="none" w:sz="0" w:space="0" w:color="auto"/>
        <w:left w:val="none" w:sz="0" w:space="0" w:color="auto"/>
        <w:bottom w:val="none" w:sz="0" w:space="0" w:color="auto"/>
        <w:right w:val="none" w:sz="0" w:space="0" w:color="auto"/>
      </w:divBdr>
    </w:div>
    <w:div w:id="849635544">
      <w:marLeft w:val="0"/>
      <w:marRight w:val="0"/>
      <w:marTop w:val="0"/>
      <w:marBottom w:val="0"/>
      <w:divBdr>
        <w:top w:val="none" w:sz="0" w:space="0" w:color="auto"/>
        <w:left w:val="none" w:sz="0" w:space="0" w:color="auto"/>
        <w:bottom w:val="none" w:sz="0" w:space="0" w:color="auto"/>
        <w:right w:val="none" w:sz="0" w:space="0" w:color="auto"/>
      </w:divBdr>
    </w:div>
    <w:div w:id="850489952">
      <w:marLeft w:val="0"/>
      <w:marRight w:val="0"/>
      <w:marTop w:val="0"/>
      <w:marBottom w:val="0"/>
      <w:divBdr>
        <w:top w:val="none" w:sz="0" w:space="0" w:color="auto"/>
        <w:left w:val="none" w:sz="0" w:space="0" w:color="auto"/>
        <w:bottom w:val="none" w:sz="0" w:space="0" w:color="auto"/>
        <w:right w:val="none" w:sz="0" w:space="0" w:color="auto"/>
      </w:divBdr>
    </w:div>
    <w:div w:id="854540613">
      <w:marLeft w:val="0"/>
      <w:marRight w:val="0"/>
      <w:marTop w:val="0"/>
      <w:marBottom w:val="0"/>
      <w:divBdr>
        <w:top w:val="none" w:sz="0" w:space="0" w:color="auto"/>
        <w:left w:val="none" w:sz="0" w:space="0" w:color="auto"/>
        <w:bottom w:val="none" w:sz="0" w:space="0" w:color="auto"/>
        <w:right w:val="none" w:sz="0" w:space="0" w:color="auto"/>
      </w:divBdr>
    </w:div>
    <w:div w:id="856622534">
      <w:marLeft w:val="0"/>
      <w:marRight w:val="0"/>
      <w:marTop w:val="180"/>
      <w:marBottom w:val="180"/>
      <w:divBdr>
        <w:top w:val="none" w:sz="0" w:space="0" w:color="auto"/>
        <w:left w:val="none" w:sz="0" w:space="0" w:color="auto"/>
        <w:bottom w:val="none" w:sz="0" w:space="0" w:color="auto"/>
        <w:right w:val="none" w:sz="0" w:space="0" w:color="auto"/>
      </w:divBdr>
    </w:div>
    <w:div w:id="858204436">
      <w:marLeft w:val="0"/>
      <w:marRight w:val="0"/>
      <w:marTop w:val="0"/>
      <w:marBottom w:val="0"/>
      <w:divBdr>
        <w:top w:val="none" w:sz="0" w:space="0" w:color="auto"/>
        <w:left w:val="none" w:sz="0" w:space="0" w:color="auto"/>
        <w:bottom w:val="none" w:sz="0" w:space="0" w:color="auto"/>
        <w:right w:val="none" w:sz="0" w:space="0" w:color="auto"/>
      </w:divBdr>
    </w:div>
    <w:div w:id="860122505">
      <w:marLeft w:val="0"/>
      <w:marRight w:val="0"/>
      <w:marTop w:val="0"/>
      <w:marBottom w:val="0"/>
      <w:divBdr>
        <w:top w:val="none" w:sz="0" w:space="0" w:color="auto"/>
        <w:left w:val="none" w:sz="0" w:space="0" w:color="auto"/>
        <w:bottom w:val="none" w:sz="0" w:space="0" w:color="auto"/>
        <w:right w:val="none" w:sz="0" w:space="0" w:color="auto"/>
      </w:divBdr>
      <w:divsChild>
        <w:div w:id="1664624837">
          <w:marLeft w:val="0"/>
          <w:marRight w:val="0"/>
          <w:marTop w:val="0"/>
          <w:marBottom w:val="0"/>
          <w:divBdr>
            <w:top w:val="none" w:sz="0" w:space="0" w:color="auto"/>
            <w:left w:val="none" w:sz="0" w:space="0" w:color="auto"/>
            <w:bottom w:val="none" w:sz="0" w:space="0" w:color="auto"/>
            <w:right w:val="none" w:sz="0" w:space="0" w:color="auto"/>
          </w:divBdr>
        </w:div>
      </w:divsChild>
    </w:div>
    <w:div w:id="864754742">
      <w:marLeft w:val="0"/>
      <w:marRight w:val="0"/>
      <w:marTop w:val="180"/>
      <w:marBottom w:val="180"/>
      <w:divBdr>
        <w:top w:val="none" w:sz="0" w:space="0" w:color="auto"/>
        <w:left w:val="none" w:sz="0" w:space="0" w:color="auto"/>
        <w:bottom w:val="none" w:sz="0" w:space="0" w:color="auto"/>
        <w:right w:val="none" w:sz="0" w:space="0" w:color="auto"/>
      </w:divBdr>
    </w:div>
    <w:div w:id="865555993">
      <w:marLeft w:val="0"/>
      <w:marRight w:val="0"/>
      <w:marTop w:val="0"/>
      <w:marBottom w:val="0"/>
      <w:divBdr>
        <w:top w:val="none" w:sz="0" w:space="0" w:color="auto"/>
        <w:left w:val="none" w:sz="0" w:space="0" w:color="auto"/>
        <w:bottom w:val="none" w:sz="0" w:space="0" w:color="auto"/>
        <w:right w:val="none" w:sz="0" w:space="0" w:color="auto"/>
      </w:divBdr>
      <w:divsChild>
        <w:div w:id="912082496">
          <w:marLeft w:val="0"/>
          <w:marRight w:val="0"/>
          <w:marTop w:val="0"/>
          <w:marBottom w:val="0"/>
          <w:divBdr>
            <w:top w:val="none" w:sz="0" w:space="0" w:color="auto"/>
            <w:left w:val="none" w:sz="0" w:space="0" w:color="auto"/>
            <w:bottom w:val="none" w:sz="0" w:space="0" w:color="auto"/>
            <w:right w:val="none" w:sz="0" w:space="0" w:color="auto"/>
          </w:divBdr>
        </w:div>
      </w:divsChild>
    </w:div>
    <w:div w:id="865558687">
      <w:marLeft w:val="0"/>
      <w:marRight w:val="0"/>
      <w:marTop w:val="180"/>
      <w:marBottom w:val="180"/>
      <w:divBdr>
        <w:top w:val="none" w:sz="0" w:space="0" w:color="auto"/>
        <w:left w:val="none" w:sz="0" w:space="0" w:color="auto"/>
        <w:bottom w:val="none" w:sz="0" w:space="0" w:color="auto"/>
        <w:right w:val="none" w:sz="0" w:space="0" w:color="auto"/>
      </w:divBdr>
    </w:div>
    <w:div w:id="867186576">
      <w:marLeft w:val="0"/>
      <w:marRight w:val="0"/>
      <w:marTop w:val="0"/>
      <w:marBottom w:val="0"/>
      <w:divBdr>
        <w:top w:val="none" w:sz="0" w:space="0" w:color="auto"/>
        <w:left w:val="none" w:sz="0" w:space="0" w:color="auto"/>
        <w:bottom w:val="none" w:sz="0" w:space="0" w:color="auto"/>
        <w:right w:val="none" w:sz="0" w:space="0" w:color="auto"/>
      </w:divBdr>
    </w:div>
    <w:div w:id="867329321">
      <w:marLeft w:val="0"/>
      <w:marRight w:val="0"/>
      <w:marTop w:val="0"/>
      <w:marBottom w:val="0"/>
      <w:divBdr>
        <w:top w:val="none" w:sz="0" w:space="0" w:color="auto"/>
        <w:left w:val="none" w:sz="0" w:space="0" w:color="auto"/>
        <w:bottom w:val="none" w:sz="0" w:space="0" w:color="auto"/>
        <w:right w:val="none" w:sz="0" w:space="0" w:color="auto"/>
      </w:divBdr>
      <w:divsChild>
        <w:div w:id="1279337976">
          <w:marLeft w:val="0"/>
          <w:marRight w:val="0"/>
          <w:marTop w:val="0"/>
          <w:marBottom w:val="0"/>
          <w:divBdr>
            <w:top w:val="none" w:sz="0" w:space="0" w:color="auto"/>
            <w:left w:val="none" w:sz="0" w:space="0" w:color="auto"/>
            <w:bottom w:val="none" w:sz="0" w:space="0" w:color="auto"/>
            <w:right w:val="none" w:sz="0" w:space="0" w:color="auto"/>
          </w:divBdr>
        </w:div>
      </w:divsChild>
    </w:div>
    <w:div w:id="867764514">
      <w:marLeft w:val="0"/>
      <w:marRight w:val="0"/>
      <w:marTop w:val="0"/>
      <w:marBottom w:val="0"/>
      <w:divBdr>
        <w:top w:val="none" w:sz="0" w:space="0" w:color="auto"/>
        <w:left w:val="none" w:sz="0" w:space="0" w:color="auto"/>
        <w:bottom w:val="none" w:sz="0" w:space="0" w:color="auto"/>
        <w:right w:val="none" w:sz="0" w:space="0" w:color="auto"/>
      </w:divBdr>
      <w:divsChild>
        <w:div w:id="57562276">
          <w:marLeft w:val="0"/>
          <w:marRight w:val="0"/>
          <w:marTop w:val="0"/>
          <w:marBottom w:val="0"/>
          <w:divBdr>
            <w:top w:val="none" w:sz="0" w:space="0" w:color="auto"/>
            <w:left w:val="none" w:sz="0" w:space="0" w:color="auto"/>
            <w:bottom w:val="none" w:sz="0" w:space="0" w:color="auto"/>
            <w:right w:val="none" w:sz="0" w:space="0" w:color="auto"/>
          </w:divBdr>
        </w:div>
      </w:divsChild>
    </w:div>
    <w:div w:id="868223476">
      <w:marLeft w:val="0"/>
      <w:marRight w:val="0"/>
      <w:marTop w:val="0"/>
      <w:marBottom w:val="0"/>
      <w:divBdr>
        <w:top w:val="none" w:sz="0" w:space="0" w:color="auto"/>
        <w:left w:val="none" w:sz="0" w:space="0" w:color="auto"/>
        <w:bottom w:val="none" w:sz="0" w:space="0" w:color="auto"/>
        <w:right w:val="none" w:sz="0" w:space="0" w:color="auto"/>
      </w:divBdr>
      <w:divsChild>
        <w:div w:id="1854413070">
          <w:marLeft w:val="0"/>
          <w:marRight w:val="0"/>
          <w:marTop w:val="0"/>
          <w:marBottom w:val="0"/>
          <w:divBdr>
            <w:top w:val="none" w:sz="0" w:space="0" w:color="auto"/>
            <w:left w:val="none" w:sz="0" w:space="0" w:color="auto"/>
            <w:bottom w:val="none" w:sz="0" w:space="0" w:color="auto"/>
            <w:right w:val="none" w:sz="0" w:space="0" w:color="auto"/>
          </w:divBdr>
        </w:div>
      </w:divsChild>
    </w:div>
    <w:div w:id="871958998">
      <w:marLeft w:val="0"/>
      <w:marRight w:val="0"/>
      <w:marTop w:val="0"/>
      <w:marBottom w:val="0"/>
      <w:divBdr>
        <w:top w:val="none" w:sz="0" w:space="0" w:color="auto"/>
        <w:left w:val="none" w:sz="0" w:space="0" w:color="auto"/>
        <w:bottom w:val="none" w:sz="0" w:space="0" w:color="auto"/>
        <w:right w:val="none" w:sz="0" w:space="0" w:color="auto"/>
      </w:divBdr>
    </w:div>
    <w:div w:id="876237611">
      <w:marLeft w:val="0"/>
      <w:marRight w:val="0"/>
      <w:marTop w:val="0"/>
      <w:marBottom w:val="0"/>
      <w:divBdr>
        <w:top w:val="none" w:sz="0" w:space="0" w:color="auto"/>
        <w:left w:val="none" w:sz="0" w:space="0" w:color="auto"/>
        <w:bottom w:val="none" w:sz="0" w:space="0" w:color="auto"/>
        <w:right w:val="none" w:sz="0" w:space="0" w:color="auto"/>
      </w:divBdr>
    </w:div>
    <w:div w:id="876313443">
      <w:marLeft w:val="0"/>
      <w:marRight w:val="0"/>
      <w:marTop w:val="0"/>
      <w:marBottom w:val="240"/>
      <w:divBdr>
        <w:top w:val="none" w:sz="0" w:space="0" w:color="auto"/>
        <w:left w:val="none" w:sz="0" w:space="0" w:color="auto"/>
        <w:bottom w:val="none" w:sz="0" w:space="0" w:color="auto"/>
        <w:right w:val="none" w:sz="0" w:space="0" w:color="auto"/>
      </w:divBdr>
    </w:div>
    <w:div w:id="878202650">
      <w:marLeft w:val="0"/>
      <w:marRight w:val="0"/>
      <w:marTop w:val="0"/>
      <w:marBottom w:val="0"/>
      <w:divBdr>
        <w:top w:val="none" w:sz="0" w:space="0" w:color="auto"/>
        <w:left w:val="none" w:sz="0" w:space="0" w:color="auto"/>
        <w:bottom w:val="none" w:sz="0" w:space="0" w:color="auto"/>
        <w:right w:val="none" w:sz="0" w:space="0" w:color="auto"/>
      </w:divBdr>
      <w:divsChild>
        <w:div w:id="600991089">
          <w:marLeft w:val="0"/>
          <w:marRight w:val="0"/>
          <w:marTop w:val="0"/>
          <w:marBottom w:val="0"/>
          <w:divBdr>
            <w:top w:val="none" w:sz="0" w:space="0" w:color="auto"/>
            <w:left w:val="none" w:sz="0" w:space="0" w:color="auto"/>
            <w:bottom w:val="none" w:sz="0" w:space="0" w:color="auto"/>
            <w:right w:val="none" w:sz="0" w:space="0" w:color="auto"/>
          </w:divBdr>
        </w:div>
      </w:divsChild>
    </w:div>
    <w:div w:id="880483653">
      <w:marLeft w:val="0"/>
      <w:marRight w:val="0"/>
      <w:marTop w:val="180"/>
      <w:marBottom w:val="180"/>
      <w:divBdr>
        <w:top w:val="none" w:sz="0" w:space="0" w:color="auto"/>
        <w:left w:val="none" w:sz="0" w:space="0" w:color="auto"/>
        <w:bottom w:val="none" w:sz="0" w:space="0" w:color="auto"/>
        <w:right w:val="none" w:sz="0" w:space="0" w:color="auto"/>
      </w:divBdr>
    </w:div>
    <w:div w:id="881864167">
      <w:marLeft w:val="0"/>
      <w:marRight w:val="0"/>
      <w:marTop w:val="0"/>
      <w:marBottom w:val="0"/>
      <w:divBdr>
        <w:top w:val="none" w:sz="0" w:space="0" w:color="auto"/>
        <w:left w:val="none" w:sz="0" w:space="0" w:color="auto"/>
        <w:bottom w:val="none" w:sz="0" w:space="0" w:color="auto"/>
        <w:right w:val="none" w:sz="0" w:space="0" w:color="auto"/>
      </w:divBdr>
      <w:divsChild>
        <w:div w:id="765342631">
          <w:marLeft w:val="0"/>
          <w:marRight w:val="0"/>
          <w:marTop w:val="0"/>
          <w:marBottom w:val="0"/>
          <w:divBdr>
            <w:top w:val="none" w:sz="0" w:space="0" w:color="auto"/>
            <w:left w:val="none" w:sz="0" w:space="0" w:color="auto"/>
            <w:bottom w:val="none" w:sz="0" w:space="0" w:color="auto"/>
            <w:right w:val="none" w:sz="0" w:space="0" w:color="auto"/>
          </w:divBdr>
        </w:div>
      </w:divsChild>
    </w:div>
    <w:div w:id="883371571">
      <w:marLeft w:val="0"/>
      <w:marRight w:val="0"/>
      <w:marTop w:val="0"/>
      <w:marBottom w:val="0"/>
      <w:divBdr>
        <w:top w:val="none" w:sz="0" w:space="0" w:color="auto"/>
        <w:left w:val="none" w:sz="0" w:space="0" w:color="auto"/>
        <w:bottom w:val="none" w:sz="0" w:space="0" w:color="auto"/>
        <w:right w:val="none" w:sz="0" w:space="0" w:color="auto"/>
      </w:divBdr>
      <w:divsChild>
        <w:div w:id="335576761">
          <w:marLeft w:val="0"/>
          <w:marRight w:val="0"/>
          <w:marTop w:val="0"/>
          <w:marBottom w:val="0"/>
          <w:divBdr>
            <w:top w:val="none" w:sz="0" w:space="0" w:color="auto"/>
            <w:left w:val="none" w:sz="0" w:space="0" w:color="auto"/>
            <w:bottom w:val="none" w:sz="0" w:space="0" w:color="auto"/>
            <w:right w:val="none" w:sz="0" w:space="0" w:color="auto"/>
          </w:divBdr>
        </w:div>
      </w:divsChild>
    </w:div>
    <w:div w:id="887764630">
      <w:marLeft w:val="0"/>
      <w:marRight w:val="0"/>
      <w:marTop w:val="120"/>
      <w:marBottom w:val="120"/>
      <w:divBdr>
        <w:top w:val="none" w:sz="0" w:space="0" w:color="auto"/>
        <w:left w:val="none" w:sz="0" w:space="0" w:color="auto"/>
        <w:bottom w:val="none" w:sz="0" w:space="0" w:color="auto"/>
        <w:right w:val="none" w:sz="0" w:space="0" w:color="auto"/>
      </w:divBdr>
    </w:div>
    <w:div w:id="887961197">
      <w:marLeft w:val="0"/>
      <w:marRight w:val="0"/>
      <w:marTop w:val="0"/>
      <w:marBottom w:val="240"/>
      <w:divBdr>
        <w:top w:val="none" w:sz="0" w:space="0" w:color="auto"/>
        <w:left w:val="none" w:sz="0" w:space="0" w:color="auto"/>
        <w:bottom w:val="none" w:sz="0" w:space="0" w:color="auto"/>
        <w:right w:val="none" w:sz="0" w:space="0" w:color="auto"/>
      </w:divBdr>
    </w:div>
    <w:div w:id="890768426">
      <w:marLeft w:val="0"/>
      <w:marRight w:val="0"/>
      <w:marTop w:val="120"/>
      <w:marBottom w:val="120"/>
      <w:divBdr>
        <w:top w:val="none" w:sz="0" w:space="0" w:color="auto"/>
        <w:left w:val="none" w:sz="0" w:space="0" w:color="auto"/>
        <w:bottom w:val="none" w:sz="0" w:space="0" w:color="auto"/>
        <w:right w:val="none" w:sz="0" w:space="0" w:color="auto"/>
      </w:divBdr>
    </w:div>
    <w:div w:id="890969226">
      <w:marLeft w:val="0"/>
      <w:marRight w:val="0"/>
      <w:marTop w:val="100"/>
      <w:marBottom w:val="180"/>
      <w:divBdr>
        <w:top w:val="none" w:sz="0" w:space="0" w:color="auto"/>
        <w:left w:val="none" w:sz="0" w:space="0" w:color="auto"/>
        <w:bottom w:val="none" w:sz="0" w:space="0" w:color="auto"/>
        <w:right w:val="none" w:sz="0" w:space="0" w:color="auto"/>
      </w:divBdr>
    </w:div>
    <w:div w:id="891816844">
      <w:marLeft w:val="0"/>
      <w:marRight w:val="0"/>
      <w:marTop w:val="120"/>
      <w:marBottom w:val="120"/>
      <w:divBdr>
        <w:top w:val="none" w:sz="0" w:space="0" w:color="auto"/>
        <w:left w:val="none" w:sz="0" w:space="0" w:color="auto"/>
        <w:bottom w:val="none" w:sz="0" w:space="0" w:color="auto"/>
        <w:right w:val="none" w:sz="0" w:space="0" w:color="auto"/>
      </w:divBdr>
    </w:div>
    <w:div w:id="892616232">
      <w:marLeft w:val="0"/>
      <w:marRight w:val="0"/>
      <w:marTop w:val="0"/>
      <w:marBottom w:val="180"/>
      <w:divBdr>
        <w:top w:val="none" w:sz="0" w:space="0" w:color="auto"/>
        <w:left w:val="none" w:sz="0" w:space="0" w:color="auto"/>
        <w:bottom w:val="none" w:sz="0" w:space="0" w:color="auto"/>
        <w:right w:val="none" w:sz="0" w:space="0" w:color="auto"/>
      </w:divBdr>
    </w:div>
    <w:div w:id="893005967">
      <w:marLeft w:val="0"/>
      <w:marRight w:val="0"/>
      <w:marTop w:val="0"/>
      <w:marBottom w:val="0"/>
      <w:divBdr>
        <w:top w:val="none" w:sz="0" w:space="0" w:color="auto"/>
        <w:left w:val="none" w:sz="0" w:space="0" w:color="auto"/>
        <w:bottom w:val="none" w:sz="0" w:space="0" w:color="auto"/>
        <w:right w:val="none" w:sz="0" w:space="0" w:color="auto"/>
      </w:divBdr>
    </w:div>
    <w:div w:id="899092315">
      <w:marLeft w:val="0"/>
      <w:marRight w:val="0"/>
      <w:marTop w:val="0"/>
      <w:marBottom w:val="0"/>
      <w:divBdr>
        <w:top w:val="none" w:sz="0" w:space="0" w:color="auto"/>
        <w:left w:val="none" w:sz="0" w:space="0" w:color="auto"/>
        <w:bottom w:val="none" w:sz="0" w:space="0" w:color="auto"/>
        <w:right w:val="none" w:sz="0" w:space="0" w:color="auto"/>
      </w:divBdr>
    </w:div>
    <w:div w:id="902253779">
      <w:marLeft w:val="0"/>
      <w:marRight w:val="0"/>
      <w:marTop w:val="0"/>
      <w:marBottom w:val="0"/>
      <w:divBdr>
        <w:top w:val="none" w:sz="0" w:space="0" w:color="auto"/>
        <w:left w:val="none" w:sz="0" w:space="0" w:color="auto"/>
        <w:bottom w:val="none" w:sz="0" w:space="0" w:color="auto"/>
        <w:right w:val="none" w:sz="0" w:space="0" w:color="auto"/>
      </w:divBdr>
      <w:divsChild>
        <w:div w:id="1611085082">
          <w:marLeft w:val="0"/>
          <w:marRight w:val="0"/>
          <w:marTop w:val="0"/>
          <w:marBottom w:val="0"/>
          <w:divBdr>
            <w:top w:val="none" w:sz="0" w:space="0" w:color="auto"/>
            <w:left w:val="none" w:sz="0" w:space="0" w:color="auto"/>
            <w:bottom w:val="none" w:sz="0" w:space="0" w:color="auto"/>
            <w:right w:val="none" w:sz="0" w:space="0" w:color="auto"/>
          </w:divBdr>
        </w:div>
      </w:divsChild>
    </w:div>
    <w:div w:id="902522955">
      <w:marLeft w:val="0"/>
      <w:marRight w:val="0"/>
      <w:marTop w:val="0"/>
      <w:marBottom w:val="0"/>
      <w:divBdr>
        <w:top w:val="none" w:sz="0" w:space="0" w:color="auto"/>
        <w:left w:val="none" w:sz="0" w:space="0" w:color="auto"/>
        <w:bottom w:val="none" w:sz="0" w:space="0" w:color="auto"/>
        <w:right w:val="none" w:sz="0" w:space="0" w:color="auto"/>
      </w:divBdr>
      <w:divsChild>
        <w:div w:id="1388262291">
          <w:marLeft w:val="0"/>
          <w:marRight w:val="0"/>
          <w:marTop w:val="0"/>
          <w:marBottom w:val="0"/>
          <w:divBdr>
            <w:top w:val="none" w:sz="0" w:space="0" w:color="auto"/>
            <w:left w:val="none" w:sz="0" w:space="0" w:color="auto"/>
            <w:bottom w:val="none" w:sz="0" w:space="0" w:color="auto"/>
            <w:right w:val="none" w:sz="0" w:space="0" w:color="auto"/>
          </w:divBdr>
        </w:div>
      </w:divsChild>
    </w:div>
    <w:div w:id="903177199">
      <w:marLeft w:val="0"/>
      <w:marRight w:val="0"/>
      <w:marTop w:val="0"/>
      <w:marBottom w:val="0"/>
      <w:divBdr>
        <w:top w:val="none" w:sz="0" w:space="0" w:color="auto"/>
        <w:left w:val="none" w:sz="0" w:space="0" w:color="auto"/>
        <w:bottom w:val="none" w:sz="0" w:space="0" w:color="auto"/>
        <w:right w:val="none" w:sz="0" w:space="0" w:color="auto"/>
      </w:divBdr>
    </w:div>
    <w:div w:id="906769628">
      <w:marLeft w:val="0"/>
      <w:marRight w:val="0"/>
      <w:marTop w:val="0"/>
      <w:marBottom w:val="180"/>
      <w:divBdr>
        <w:top w:val="none" w:sz="0" w:space="0" w:color="auto"/>
        <w:left w:val="none" w:sz="0" w:space="0" w:color="auto"/>
        <w:bottom w:val="none" w:sz="0" w:space="0" w:color="auto"/>
        <w:right w:val="none" w:sz="0" w:space="0" w:color="auto"/>
      </w:divBdr>
    </w:div>
    <w:div w:id="907040087">
      <w:marLeft w:val="0"/>
      <w:marRight w:val="0"/>
      <w:marTop w:val="0"/>
      <w:marBottom w:val="240"/>
      <w:divBdr>
        <w:top w:val="none" w:sz="0" w:space="0" w:color="auto"/>
        <w:left w:val="none" w:sz="0" w:space="0" w:color="auto"/>
        <w:bottom w:val="none" w:sz="0" w:space="0" w:color="auto"/>
        <w:right w:val="none" w:sz="0" w:space="0" w:color="auto"/>
      </w:divBdr>
    </w:div>
    <w:div w:id="907345978">
      <w:marLeft w:val="0"/>
      <w:marRight w:val="0"/>
      <w:marTop w:val="120"/>
      <w:marBottom w:val="120"/>
      <w:divBdr>
        <w:top w:val="none" w:sz="0" w:space="0" w:color="auto"/>
        <w:left w:val="none" w:sz="0" w:space="0" w:color="auto"/>
        <w:bottom w:val="none" w:sz="0" w:space="0" w:color="auto"/>
        <w:right w:val="none" w:sz="0" w:space="0" w:color="auto"/>
      </w:divBdr>
    </w:div>
    <w:div w:id="907881294">
      <w:marLeft w:val="0"/>
      <w:marRight w:val="0"/>
      <w:marTop w:val="180"/>
      <w:marBottom w:val="180"/>
      <w:divBdr>
        <w:top w:val="none" w:sz="0" w:space="0" w:color="auto"/>
        <w:left w:val="none" w:sz="0" w:space="0" w:color="auto"/>
        <w:bottom w:val="none" w:sz="0" w:space="0" w:color="auto"/>
        <w:right w:val="none" w:sz="0" w:space="0" w:color="auto"/>
      </w:divBdr>
    </w:div>
    <w:div w:id="910040270">
      <w:marLeft w:val="0"/>
      <w:marRight w:val="0"/>
      <w:marTop w:val="0"/>
      <w:marBottom w:val="0"/>
      <w:divBdr>
        <w:top w:val="none" w:sz="0" w:space="0" w:color="auto"/>
        <w:left w:val="none" w:sz="0" w:space="0" w:color="auto"/>
        <w:bottom w:val="none" w:sz="0" w:space="0" w:color="auto"/>
        <w:right w:val="none" w:sz="0" w:space="0" w:color="auto"/>
      </w:divBdr>
      <w:divsChild>
        <w:div w:id="1775903941">
          <w:marLeft w:val="0"/>
          <w:marRight w:val="0"/>
          <w:marTop w:val="0"/>
          <w:marBottom w:val="0"/>
          <w:divBdr>
            <w:top w:val="none" w:sz="0" w:space="0" w:color="auto"/>
            <w:left w:val="none" w:sz="0" w:space="0" w:color="auto"/>
            <w:bottom w:val="none" w:sz="0" w:space="0" w:color="auto"/>
            <w:right w:val="none" w:sz="0" w:space="0" w:color="auto"/>
          </w:divBdr>
        </w:div>
      </w:divsChild>
    </w:div>
    <w:div w:id="912861540">
      <w:marLeft w:val="0"/>
      <w:marRight w:val="0"/>
      <w:marTop w:val="0"/>
      <w:marBottom w:val="0"/>
      <w:divBdr>
        <w:top w:val="none" w:sz="0" w:space="0" w:color="auto"/>
        <w:left w:val="none" w:sz="0" w:space="0" w:color="auto"/>
        <w:bottom w:val="none" w:sz="0" w:space="0" w:color="auto"/>
        <w:right w:val="none" w:sz="0" w:space="0" w:color="auto"/>
      </w:divBdr>
    </w:div>
    <w:div w:id="913472287">
      <w:marLeft w:val="0"/>
      <w:marRight w:val="0"/>
      <w:marTop w:val="120"/>
      <w:marBottom w:val="240"/>
      <w:divBdr>
        <w:top w:val="none" w:sz="0" w:space="0" w:color="auto"/>
        <w:left w:val="none" w:sz="0" w:space="0" w:color="auto"/>
        <w:bottom w:val="none" w:sz="0" w:space="0" w:color="auto"/>
        <w:right w:val="none" w:sz="0" w:space="0" w:color="auto"/>
      </w:divBdr>
    </w:div>
    <w:div w:id="917130182">
      <w:marLeft w:val="0"/>
      <w:marRight w:val="0"/>
      <w:marTop w:val="120"/>
      <w:marBottom w:val="120"/>
      <w:divBdr>
        <w:top w:val="none" w:sz="0" w:space="0" w:color="auto"/>
        <w:left w:val="none" w:sz="0" w:space="0" w:color="auto"/>
        <w:bottom w:val="none" w:sz="0" w:space="0" w:color="auto"/>
        <w:right w:val="none" w:sz="0" w:space="0" w:color="auto"/>
      </w:divBdr>
    </w:div>
    <w:div w:id="919409629">
      <w:marLeft w:val="0"/>
      <w:marRight w:val="0"/>
      <w:marTop w:val="0"/>
      <w:marBottom w:val="240"/>
      <w:divBdr>
        <w:top w:val="none" w:sz="0" w:space="0" w:color="auto"/>
        <w:left w:val="none" w:sz="0" w:space="0" w:color="auto"/>
        <w:bottom w:val="none" w:sz="0" w:space="0" w:color="auto"/>
        <w:right w:val="none" w:sz="0" w:space="0" w:color="auto"/>
      </w:divBdr>
    </w:div>
    <w:div w:id="920914659">
      <w:marLeft w:val="0"/>
      <w:marRight w:val="0"/>
      <w:marTop w:val="120"/>
      <w:marBottom w:val="240"/>
      <w:divBdr>
        <w:top w:val="none" w:sz="0" w:space="0" w:color="auto"/>
        <w:left w:val="none" w:sz="0" w:space="0" w:color="auto"/>
        <w:bottom w:val="none" w:sz="0" w:space="0" w:color="auto"/>
        <w:right w:val="none" w:sz="0" w:space="0" w:color="auto"/>
      </w:divBdr>
    </w:div>
    <w:div w:id="921110426">
      <w:marLeft w:val="0"/>
      <w:marRight w:val="0"/>
      <w:marTop w:val="0"/>
      <w:marBottom w:val="240"/>
      <w:divBdr>
        <w:top w:val="none" w:sz="0" w:space="0" w:color="auto"/>
        <w:left w:val="none" w:sz="0" w:space="0" w:color="auto"/>
        <w:bottom w:val="none" w:sz="0" w:space="0" w:color="auto"/>
        <w:right w:val="none" w:sz="0" w:space="0" w:color="auto"/>
      </w:divBdr>
    </w:div>
    <w:div w:id="922107434">
      <w:marLeft w:val="0"/>
      <w:marRight w:val="0"/>
      <w:marTop w:val="0"/>
      <w:marBottom w:val="180"/>
      <w:divBdr>
        <w:top w:val="none" w:sz="0" w:space="0" w:color="auto"/>
        <w:left w:val="none" w:sz="0" w:space="0" w:color="auto"/>
        <w:bottom w:val="none" w:sz="0" w:space="0" w:color="auto"/>
        <w:right w:val="none" w:sz="0" w:space="0" w:color="auto"/>
      </w:divBdr>
    </w:div>
    <w:div w:id="922374424">
      <w:marLeft w:val="0"/>
      <w:marRight w:val="0"/>
      <w:marTop w:val="0"/>
      <w:marBottom w:val="60"/>
      <w:divBdr>
        <w:top w:val="none" w:sz="0" w:space="0" w:color="auto"/>
        <w:left w:val="none" w:sz="0" w:space="0" w:color="auto"/>
        <w:bottom w:val="none" w:sz="0" w:space="0" w:color="auto"/>
        <w:right w:val="none" w:sz="0" w:space="0" w:color="auto"/>
      </w:divBdr>
    </w:div>
    <w:div w:id="923221967">
      <w:marLeft w:val="0"/>
      <w:marRight w:val="0"/>
      <w:marTop w:val="0"/>
      <w:marBottom w:val="0"/>
      <w:divBdr>
        <w:top w:val="none" w:sz="0" w:space="0" w:color="auto"/>
        <w:left w:val="none" w:sz="0" w:space="0" w:color="auto"/>
        <w:bottom w:val="none" w:sz="0" w:space="0" w:color="auto"/>
        <w:right w:val="none" w:sz="0" w:space="0" w:color="auto"/>
      </w:divBdr>
    </w:div>
    <w:div w:id="924724563">
      <w:marLeft w:val="0"/>
      <w:marRight w:val="0"/>
      <w:marTop w:val="0"/>
      <w:marBottom w:val="180"/>
      <w:divBdr>
        <w:top w:val="none" w:sz="0" w:space="0" w:color="auto"/>
        <w:left w:val="none" w:sz="0" w:space="0" w:color="auto"/>
        <w:bottom w:val="none" w:sz="0" w:space="0" w:color="auto"/>
        <w:right w:val="none" w:sz="0" w:space="0" w:color="auto"/>
      </w:divBdr>
    </w:div>
    <w:div w:id="925727180">
      <w:marLeft w:val="0"/>
      <w:marRight w:val="0"/>
      <w:marTop w:val="0"/>
      <w:marBottom w:val="240"/>
      <w:divBdr>
        <w:top w:val="none" w:sz="0" w:space="0" w:color="auto"/>
        <w:left w:val="none" w:sz="0" w:space="0" w:color="auto"/>
        <w:bottom w:val="none" w:sz="0" w:space="0" w:color="auto"/>
        <w:right w:val="none" w:sz="0" w:space="0" w:color="auto"/>
      </w:divBdr>
    </w:div>
    <w:div w:id="926428824">
      <w:marLeft w:val="0"/>
      <w:marRight w:val="0"/>
      <w:marTop w:val="0"/>
      <w:marBottom w:val="0"/>
      <w:divBdr>
        <w:top w:val="none" w:sz="0" w:space="0" w:color="auto"/>
        <w:left w:val="none" w:sz="0" w:space="0" w:color="auto"/>
        <w:bottom w:val="none" w:sz="0" w:space="0" w:color="auto"/>
        <w:right w:val="none" w:sz="0" w:space="0" w:color="auto"/>
      </w:divBdr>
    </w:div>
    <w:div w:id="927009219">
      <w:marLeft w:val="0"/>
      <w:marRight w:val="0"/>
      <w:marTop w:val="0"/>
      <w:marBottom w:val="240"/>
      <w:divBdr>
        <w:top w:val="none" w:sz="0" w:space="0" w:color="auto"/>
        <w:left w:val="none" w:sz="0" w:space="0" w:color="auto"/>
        <w:bottom w:val="none" w:sz="0" w:space="0" w:color="auto"/>
        <w:right w:val="none" w:sz="0" w:space="0" w:color="auto"/>
      </w:divBdr>
    </w:div>
    <w:div w:id="928008374">
      <w:marLeft w:val="0"/>
      <w:marRight w:val="0"/>
      <w:marTop w:val="0"/>
      <w:marBottom w:val="180"/>
      <w:divBdr>
        <w:top w:val="none" w:sz="0" w:space="0" w:color="auto"/>
        <w:left w:val="none" w:sz="0" w:space="0" w:color="auto"/>
        <w:bottom w:val="none" w:sz="0" w:space="0" w:color="auto"/>
        <w:right w:val="none" w:sz="0" w:space="0" w:color="auto"/>
      </w:divBdr>
    </w:div>
    <w:div w:id="929390837">
      <w:marLeft w:val="0"/>
      <w:marRight w:val="0"/>
      <w:marTop w:val="0"/>
      <w:marBottom w:val="180"/>
      <w:divBdr>
        <w:top w:val="none" w:sz="0" w:space="0" w:color="auto"/>
        <w:left w:val="none" w:sz="0" w:space="0" w:color="auto"/>
        <w:bottom w:val="none" w:sz="0" w:space="0" w:color="auto"/>
        <w:right w:val="none" w:sz="0" w:space="0" w:color="auto"/>
      </w:divBdr>
    </w:div>
    <w:div w:id="934434425">
      <w:marLeft w:val="0"/>
      <w:marRight w:val="0"/>
      <w:marTop w:val="0"/>
      <w:marBottom w:val="180"/>
      <w:divBdr>
        <w:top w:val="none" w:sz="0" w:space="0" w:color="auto"/>
        <w:left w:val="none" w:sz="0" w:space="0" w:color="auto"/>
        <w:bottom w:val="none" w:sz="0" w:space="0" w:color="auto"/>
        <w:right w:val="none" w:sz="0" w:space="0" w:color="auto"/>
      </w:divBdr>
    </w:div>
    <w:div w:id="934482034">
      <w:marLeft w:val="0"/>
      <w:marRight w:val="0"/>
      <w:marTop w:val="100"/>
      <w:marBottom w:val="180"/>
      <w:divBdr>
        <w:top w:val="none" w:sz="0" w:space="0" w:color="auto"/>
        <w:left w:val="none" w:sz="0" w:space="0" w:color="auto"/>
        <w:bottom w:val="none" w:sz="0" w:space="0" w:color="auto"/>
        <w:right w:val="none" w:sz="0" w:space="0" w:color="auto"/>
      </w:divBdr>
    </w:div>
    <w:div w:id="934630495">
      <w:marLeft w:val="0"/>
      <w:marRight w:val="0"/>
      <w:marTop w:val="0"/>
      <w:marBottom w:val="0"/>
      <w:divBdr>
        <w:top w:val="none" w:sz="0" w:space="0" w:color="auto"/>
        <w:left w:val="none" w:sz="0" w:space="0" w:color="auto"/>
        <w:bottom w:val="none" w:sz="0" w:space="0" w:color="auto"/>
        <w:right w:val="none" w:sz="0" w:space="0" w:color="auto"/>
      </w:divBdr>
    </w:div>
    <w:div w:id="935359250">
      <w:marLeft w:val="0"/>
      <w:marRight w:val="0"/>
      <w:marTop w:val="120"/>
      <w:marBottom w:val="120"/>
      <w:divBdr>
        <w:top w:val="none" w:sz="0" w:space="0" w:color="auto"/>
        <w:left w:val="none" w:sz="0" w:space="0" w:color="auto"/>
        <w:bottom w:val="none" w:sz="0" w:space="0" w:color="auto"/>
        <w:right w:val="none" w:sz="0" w:space="0" w:color="auto"/>
      </w:divBdr>
    </w:div>
    <w:div w:id="937177686">
      <w:marLeft w:val="0"/>
      <w:marRight w:val="0"/>
      <w:marTop w:val="120"/>
      <w:marBottom w:val="120"/>
      <w:divBdr>
        <w:top w:val="none" w:sz="0" w:space="0" w:color="auto"/>
        <w:left w:val="none" w:sz="0" w:space="0" w:color="auto"/>
        <w:bottom w:val="none" w:sz="0" w:space="0" w:color="auto"/>
        <w:right w:val="none" w:sz="0" w:space="0" w:color="auto"/>
      </w:divBdr>
    </w:div>
    <w:div w:id="937326362">
      <w:marLeft w:val="0"/>
      <w:marRight w:val="0"/>
      <w:marTop w:val="0"/>
      <w:marBottom w:val="240"/>
      <w:divBdr>
        <w:top w:val="none" w:sz="0" w:space="0" w:color="auto"/>
        <w:left w:val="none" w:sz="0" w:space="0" w:color="auto"/>
        <w:bottom w:val="none" w:sz="0" w:space="0" w:color="auto"/>
        <w:right w:val="none" w:sz="0" w:space="0" w:color="auto"/>
      </w:divBdr>
    </w:div>
    <w:div w:id="939414293">
      <w:marLeft w:val="0"/>
      <w:marRight w:val="0"/>
      <w:marTop w:val="0"/>
      <w:marBottom w:val="20"/>
      <w:divBdr>
        <w:top w:val="none" w:sz="0" w:space="0" w:color="auto"/>
        <w:left w:val="none" w:sz="0" w:space="0" w:color="auto"/>
        <w:bottom w:val="none" w:sz="0" w:space="0" w:color="auto"/>
        <w:right w:val="none" w:sz="0" w:space="0" w:color="auto"/>
      </w:divBdr>
    </w:div>
    <w:div w:id="943266005">
      <w:marLeft w:val="0"/>
      <w:marRight w:val="0"/>
      <w:marTop w:val="0"/>
      <w:marBottom w:val="0"/>
      <w:divBdr>
        <w:top w:val="none" w:sz="0" w:space="0" w:color="auto"/>
        <w:left w:val="none" w:sz="0" w:space="0" w:color="auto"/>
        <w:bottom w:val="none" w:sz="0" w:space="0" w:color="auto"/>
        <w:right w:val="none" w:sz="0" w:space="0" w:color="auto"/>
      </w:divBdr>
      <w:divsChild>
        <w:div w:id="65958968">
          <w:marLeft w:val="0"/>
          <w:marRight w:val="0"/>
          <w:marTop w:val="0"/>
          <w:marBottom w:val="180"/>
          <w:divBdr>
            <w:top w:val="none" w:sz="0" w:space="0" w:color="auto"/>
            <w:left w:val="none" w:sz="0" w:space="0" w:color="auto"/>
            <w:bottom w:val="none" w:sz="0" w:space="0" w:color="auto"/>
            <w:right w:val="none" w:sz="0" w:space="0" w:color="auto"/>
          </w:divBdr>
        </w:div>
        <w:div w:id="541986638">
          <w:marLeft w:val="0"/>
          <w:marRight w:val="0"/>
          <w:marTop w:val="0"/>
          <w:marBottom w:val="0"/>
          <w:divBdr>
            <w:top w:val="none" w:sz="0" w:space="0" w:color="auto"/>
            <w:left w:val="none" w:sz="0" w:space="0" w:color="auto"/>
            <w:bottom w:val="none" w:sz="0" w:space="0" w:color="auto"/>
            <w:right w:val="none" w:sz="0" w:space="0" w:color="auto"/>
          </w:divBdr>
        </w:div>
        <w:div w:id="489519270">
          <w:marLeft w:val="0"/>
          <w:marRight w:val="0"/>
          <w:marTop w:val="0"/>
          <w:marBottom w:val="0"/>
          <w:divBdr>
            <w:top w:val="none" w:sz="0" w:space="0" w:color="auto"/>
            <w:left w:val="none" w:sz="0" w:space="0" w:color="auto"/>
            <w:bottom w:val="none" w:sz="0" w:space="0" w:color="auto"/>
            <w:right w:val="none" w:sz="0" w:space="0" w:color="auto"/>
          </w:divBdr>
        </w:div>
        <w:div w:id="742337865">
          <w:marLeft w:val="0"/>
          <w:marRight w:val="0"/>
          <w:marTop w:val="0"/>
          <w:marBottom w:val="0"/>
          <w:divBdr>
            <w:top w:val="none" w:sz="0" w:space="0" w:color="auto"/>
            <w:left w:val="none" w:sz="0" w:space="0" w:color="auto"/>
            <w:bottom w:val="none" w:sz="0" w:space="0" w:color="auto"/>
            <w:right w:val="none" w:sz="0" w:space="0" w:color="auto"/>
          </w:divBdr>
        </w:div>
        <w:div w:id="1858037419">
          <w:marLeft w:val="0"/>
          <w:marRight w:val="0"/>
          <w:marTop w:val="0"/>
          <w:marBottom w:val="0"/>
          <w:divBdr>
            <w:top w:val="none" w:sz="0" w:space="0" w:color="auto"/>
            <w:left w:val="none" w:sz="0" w:space="0" w:color="auto"/>
            <w:bottom w:val="none" w:sz="0" w:space="0" w:color="auto"/>
            <w:right w:val="none" w:sz="0" w:space="0" w:color="auto"/>
          </w:divBdr>
        </w:div>
        <w:div w:id="1279214595">
          <w:marLeft w:val="0"/>
          <w:marRight w:val="0"/>
          <w:marTop w:val="0"/>
          <w:marBottom w:val="0"/>
          <w:divBdr>
            <w:top w:val="none" w:sz="0" w:space="0" w:color="auto"/>
            <w:left w:val="none" w:sz="0" w:space="0" w:color="auto"/>
            <w:bottom w:val="none" w:sz="0" w:space="0" w:color="auto"/>
            <w:right w:val="none" w:sz="0" w:space="0" w:color="auto"/>
          </w:divBdr>
        </w:div>
      </w:divsChild>
    </w:div>
    <w:div w:id="947471595">
      <w:marLeft w:val="0"/>
      <w:marRight w:val="0"/>
      <w:marTop w:val="0"/>
      <w:marBottom w:val="240"/>
      <w:divBdr>
        <w:top w:val="none" w:sz="0" w:space="0" w:color="auto"/>
        <w:left w:val="none" w:sz="0" w:space="0" w:color="auto"/>
        <w:bottom w:val="none" w:sz="0" w:space="0" w:color="auto"/>
        <w:right w:val="none" w:sz="0" w:space="0" w:color="auto"/>
      </w:divBdr>
    </w:div>
    <w:div w:id="948928415">
      <w:marLeft w:val="0"/>
      <w:marRight w:val="0"/>
      <w:marTop w:val="100"/>
      <w:marBottom w:val="0"/>
      <w:divBdr>
        <w:top w:val="none" w:sz="0" w:space="0" w:color="auto"/>
        <w:left w:val="none" w:sz="0" w:space="0" w:color="auto"/>
        <w:bottom w:val="none" w:sz="0" w:space="0" w:color="auto"/>
        <w:right w:val="none" w:sz="0" w:space="0" w:color="auto"/>
      </w:divBdr>
    </w:div>
    <w:div w:id="951671576">
      <w:marLeft w:val="0"/>
      <w:marRight w:val="0"/>
      <w:marTop w:val="0"/>
      <w:marBottom w:val="240"/>
      <w:divBdr>
        <w:top w:val="none" w:sz="0" w:space="0" w:color="auto"/>
        <w:left w:val="none" w:sz="0" w:space="0" w:color="auto"/>
        <w:bottom w:val="none" w:sz="0" w:space="0" w:color="auto"/>
        <w:right w:val="none" w:sz="0" w:space="0" w:color="auto"/>
      </w:divBdr>
    </w:div>
    <w:div w:id="951940503">
      <w:marLeft w:val="0"/>
      <w:marRight w:val="0"/>
      <w:marTop w:val="0"/>
      <w:marBottom w:val="180"/>
      <w:divBdr>
        <w:top w:val="none" w:sz="0" w:space="0" w:color="auto"/>
        <w:left w:val="none" w:sz="0" w:space="0" w:color="auto"/>
        <w:bottom w:val="none" w:sz="0" w:space="0" w:color="auto"/>
        <w:right w:val="none" w:sz="0" w:space="0" w:color="auto"/>
      </w:divBdr>
    </w:div>
    <w:div w:id="953098572">
      <w:marLeft w:val="0"/>
      <w:marRight w:val="0"/>
      <w:marTop w:val="0"/>
      <w:marBottom w:val="0"/>
      <w:divBdr>
        <w:top w:val="none" w:sz="0" w:space="0" w:color="auto"/>
        <w:left w:val="none" w:sz="0" w:space="0" w:color="auto"/>
        <w:bottom w:val="none" w:sz="0" w:space="0" w:color="auto"/>
        <w:right w:val="none" w:sz="0" w:space="0" w:color="auto"/>
      </w:divBdr>
      <w:divsChild>
        <w:div w:id="813526615">
          <w:marLeft w:val="0"/>
          <w:marRight w:val="0"/>
          <w:marTop w:val="0"/>
          <w:marBottom w:val="0"/>
          <w:divBdr>
            <w:top w:val="none" w:sz="0" w:space="0" w:color="auto"/>
            <w:left w:val="none" w:sz="0" w:space="0" w:color="auto"/>
            <w:bottom w:val="none" w:sz="0" w:space="0" w:color="auto"/>
            <w:right w:val="none" w:sz="0" w:space="0" w:color="auto"/>
          </w:divBdr>
        </w:div>
      </w:divsChild>
    </w:div>
    <w:div w:id="953440890">
      <w:marLeft w:val="0"/>
      <w:marRight w:val="0"/>
      <w:marTop w:val="0"/>
      <w:marBottom w:val="0"/>
      <w:divBdr>
        <w:top w:val="none" w:sz="0" w:space="0" w:color="auto"/>
        <w:left w:val="none" w:sz="0" w:space="0" w:color="auto"/>
        <w:bottom w:val="none" w:sz="0" w:space="0" w:color="auto"/>
        <w:right w:val="none" w:sz="0" w:space="0" w:color="auto"/>
      </w:divBdr>
    </w:div>
    <w:div w:id="955063702">
      <w:marLeft w:val="0"/>
      <w:marRight w:val="0"/>
      <w:marTop w:val="0"/>
      <w:marBottom w:val="0"/>
      <w:divBdr>
        <w:top w:val="none" w:sz="0" w:space="0" w:color="auto"/>
        <w:left w:val="none" w:sz="0" w:space="0" w:color="auto"/>
        <w:bottom w:val="none" w:sz="0" w:space="0" w:color="auto"/>
        <w:right w:val="none" w:sz="0" w:space="0" w:color="auto"/>
      </w:divBdr>
      <w:divsChild>
        <w:div w:id="1673528592">
          <w:marLeft w:val="0"/>
          <w:marRight w:val="0"/>
          <w:marTop w:val="0"/>
          <w:marBottom w:val="0"/>
          <w:divBdr>
            <w:top w:val="none" w:sz="0" w:space="0" w:color="auto"/>
            <w:left w:val="none" w:sz="0" w:space="0" w:color="auto"/>
            <w:bottom w:val="none" w:sz="0" w:space="0" w:color="auto"/>
            <w:right w:val="none" w:sz="0" w:space="0" w:color="auto"/>
          </w:divBdr>
        </w:div>
      </w:divsChild>
    </w:div>
    <w:div w:id="955409073">
      <w:marLeft w:val="0"/>
      <w:marRight w:val="0"/>
      <w:marTop w:val="120"/>
      <w:marBottom w:val="120"/>
      <w:divBdr>
        <w:top w:val="none" w:sz="0" w:space="0" w:color="auto"/>
        <w:left w:val="none" w:sz="0" w:space="0" w:color="auto"/>
        <w:bottom w:val="none" w:sz="0" w:space="0" w:color="auto"/>
        <w:right w:val="none" w:sz="0" w:space="0" w:color="auto"/>
      </w:divBdr>
    </w:div>
    <w:div w:id="956913301">
      <w:marLeft w:val="0"/>
      <w:marRight w:val="0"/>
      <w:marTop w:val="0"/>
      <w:marBottom w:val="0"/>
      <w:divBdr>
        <w:top w:val="none" w:sz="0" w:space="0" w:color="auto"/>
        <w:left w:val="none" w:sz="0" w:space="0" w:color="auto"/>
        <w:bottom w:val="none" w:sz="0" w:space="0" w:color="auto"/>
        <w:right w:val="none" w:sz="0" w:space="0" w:color="auto"/>
      </w:divBdr>
    </w:div>
    <w:div w:id="957108776">
      <w:marLeft w:val="0"/>
      <w:marRight w:val="0"/>
      <w:marTop w:val="0"/>
      <w:marBottom w:val="0"/>
      <w:divBdr>
        <w:top w:val="none" w:sz="0" w:space="0" w:color="auto"/>
        <w:left w:val="none" w:sz="0" w:space="0" w:color="auto"/>
        <w:bottom w:val="none" w:sz="0" w:space="0" w:color="auto"/>
        <w:right w:val="none" w:sz="0" w:space="0" w:color="auto"/>
      </w:divBdr>
      <w:divsChild>
        <w:div w:id="2020809041">
          <w:marLeft w:val="0"/>
          <w:marRight w:val="0"/>
          <w:marTop w:val="0"/>
          <w:marBottom w:val="0"/>
          <w:divBdr>
            <w:top w:val="none" w:sz="0" w:space="0" w:color="auto"/>
            <w:left w:val="none" w:sz="0" w:space="0" w:color="auto"/>
            <w:bottom w:val="none" w:sz="0" w:space="0" w:color="auto"/>
            <w:right w:val="none" w:sz="0" w:space="0" w:color="auto"/>
          </w:divBdr>
        </w:div>
      </w:divsChild>
    </w:div>
    <w:div w:id="957220144">
      <w:marLeft w:val="0"/>
      <w:marRight w:val="0"/>
      <w:marTop w:val="120"/>
      <w:marBottom w:val="120"/>
      <w:divBdr>
        <w:top w:val="none" w:sz="0" w:space="0" w:color="auto"/>
        <w:left w:val="none" w:sz="0" w:space="0" w:color="auto"/>
        <w:bottom w:val="none" w:sz="0" w:space="0" w:color="auto"/>
        <w:right w:val="none" w:sz="0" w:space="0" w:color="auto"/>
      </w:divBdr>
    </w:div>
    <w:div w:id="957956762">
      <w:marLeft w:val="0"/>
      <w:marRight w:val="0"/>
      <w:marTop w:val="180"/>
      <w:marBottom w:val="180"/>
      <w:divBdr>
        <w:top w:val="none" w:sz="0" w:space="0" w:color="auto"/>
        <w:left w:val="none" w:sz="0" w:space="0" w:color="auto"/>
        <w:bottom w:val="none" w:sz="0" w:space="0" w:color="auto"/>
        <w:right w:val="none" w:sz="0" w:space="0" w:color="auto"/>
      </w:divBdr>
    </w:div>
    <w:div w:id="960039379">
      <w:marLeft w:val="0"/>
      <w:marRight w:val="0"/>
      <w:marTop w:val="100"/>
      <w:marBottom w:val="0"/>
      <w:divBdr>
        <w:top w:val="none" w:sz="0" w:space="0" w:color="auto"/>
        <w:left w:val="none" w:sz="0" w:space="0" w:color="auto"/>
        <w:bottom w:val="none" w:sz="0" w:space="0" w:color="auto"/>
        <w:right w:val="none" w:sz="0" w:space="0" w:color="auto"/>
      </w:divBdr>
    </w:div>
    <w:div w:id="960066142">
      <w:marLeft w:val="0"/>
      <w:marRight w:val="0"/>
      <w:marTop w:val="0"/>
      <w:marBottom w:val="180"/>
      <w:divBdr>
        <w:top w:val="none" w:sz="0" w:space="0" w:color="auto"/>
        <w:left w:val="none" w:sz="0" w:space="0" w:color="auto"/>
        <w:bottom w:val="none" w:sz="0" w:space="0" w:color="auto"/>
        <w:right w:val="none" w:sz="0" w:space="0" w:color="auto"/>
      </w:divBdr>
    </w:div>
    <w:div w:id="961766269">
      <w:marLeft w:val="0"/>
      <w:marRight w:val="0"/>
      <w:marTop w:val="0"/>
      <w:marBottom w:val="240"/>
      <w:divBdr>
        <w:top w:val="none" w:sz="0" w:space="0" w:color="auto"/>
        <w:left w:val="none" w:sz="0" w:space="0" w:color="auto"/>
        <w:bottom w:val="none" w:sz="0" w:space="0" w:color="auto"/>
        <w:right w:val="none" w:sz="0" w:space="0" w:color="auto"/>
      </w:divBdr>
    </w:div>
    <w:div w:id="964316890">
      <w:marLeft w:val="0"/>
      <w:marRight w:val="0"/>
      <w:marTop w:val="120"/>
      <w:marBottom w:val="120"/>
      <w:divBdr>
        <w:top w:val="none" w:sz="0" w:space="0" w:color="auto"/>
        <w:left w:val="none" w:sz="0" w:space="0" w:color="auto"/>
        <w:bottom w:val="none" w:sz="0" w:space="0" w:color="auto"/>
        <w:right w:val="none" w:sz="0" w:space="0" w:color="auto"/>
      </w:divBdr>
    </w:div>
    <w:div w:id="966424262">
      <w:marLeft w:val="0"/>
      <w:marRight w:val="0"/>
      <w:marTop w:val="0"/>
      <w:marBottom w:val="0"/>
      <w:divBdr>
        <w:top w:val="none" w:sz="0" w:space="0" w:color="auto"/>
        <w:left w:val="none" w:sz="0" w:space="0" w:color="auto"/>
        <w:bottom w:val="none" w:sz="0" w:space="0" w:color="auto"/>
        <w:right w:val="none" w:sz="0" w:space="0" w:color="auto"/>
      </w:divBdr>
      <w:divsChild>
        <w:div w:id="716245374">
          <w:marLeft w:val="0"/>
          <w:marRight w:val="0"/>
          <w:marTop w:val="0"/>
          <w:marBottom w:val="0"/>
          <w:divBdr>
            <w:top w:val="none" w:sz="0" w:space="0" w:color="auto"/>
            <w:left w:val="none" w:sz="0" w:space="0" w:color="auto"/>
            <w:bottom w:val="none" w:sz="0" w:space="0" w:color="auto"/>
            <w:right w:val="none" w:sz="0" w:space="0" w:color="auto"/>
          </w:divBdr>
        </w:div>
      </w:divsChild>
    </w:div>
    <w:div w:id="969363866">
      <w:marLeft w:val="0"/>
      <w:marRight w:val="0"/>
      <w:marTop w:val="0"/>
      <w:marBottom w:val="180"/>
      <w:divBdr>
        <w:top w:val="none" w:sz="0" w:space="0" w:color="auto"/>
        <w:left w:val="none" w:sz="0" w:space="0" w:color="auto"/>
        <w:bottom w:val="none" w:sz="0" w:space="0" w:color="auto"/>
        <w:right w:val="none" w:sz="0" w:space="0" w:color="auto"/>
      </w:divBdr>
    </w:div>
    <w:div w:id="972830159">
      <w:marLeft w:val="0"/>
      <w:marRight w:val="0"/>
      <w:marTop w:val="0"/>
      <w:marBottom w:val="240"/>
      <w:divBdr>
        <w:top w:val="none" w:sz="0" w:space="0" w:color="auto"/>
        <w:left w:val="none" w:sz="0" w:space="0" w:color="auto"/>
        <w:bottom w:val="none" w:sz="0" w:space="0" w:color="auto"/>
        <w:right w:val="none" w:sz="0" w:space="0" w:color="auto"/>
      </w:divBdr>
    </w:div>
    <w:div w:id="973409665">
      <w:marLeft w:val="0"/>
      <w:marRight w:val="0"/>
      <w:marTop w:val="0"/>
      <w:marBottom w:val="0"/>
      <w:divBdr>
        <w:top w:val="none" w:sz="0" w:space="0" w:color="auto"/>
        <w:left w:val="none" w:sz="0" w:space="0" w:color="auto"/>
        <w:bottom w:val="none" w:sz="0" w:space="0" w:color="auto"/>
        <w:right w:val="none" w:sz="0" w:space="0" w:color="auto"/>
      </w:divBdr>
    </w:div>
    <w:div w:id="974142490">
      <w:marLeft w:val="0"/>
      <w:marRight w:val="0"/>
      <w:marTop w:val="0"/>
      <w:marBottom w:val="240"/>
      <w:divBdr>
        <w:top w:val="none" w:sz="0" w:space="0" w:color="auto"/>
        <w:left w:val="none" w:sz="0" w:space="0" w:color="auto"/>
        <w:bottom w:val="none" w:sz="0" w:space="0" w:color="auto"/>
        <w:right w:val="none" w:sz="0" w:space="0" w:color="auto"/>
      </w:divBdr>
    </w:div>
    <w:div w:id="974334976">
      <w:marLeft w:val="0"/>
      <w:marRight w:val="0"/>
      <w:marTop w:val="180"/>
      <w:marBottom w:val="180"/>
      <w:divBdr>
        <w:top w:val="none" w:sz="0" w:space="0" w:color="auto"/>
        <w:left w:val="none" w:sz="0" w:space="0" w:color="auto"/>
        <w:bottom w:val="none" w:sz="0" w:space="0" w:color="auto"/>
        <w:right w:val="none" w:sz="0" w:space="0" w:color="auto"/>
      </w:divBdr>
    </w:div>
    <w:div w:id="975833844">
      <w:marLeft w:val="0"/>
      <w:marRight w:val="0"/>
      <w:marTop w:val="0"/>
      <w:marBottom w:val="180"/>
      <w:divBdr>
        <w:top w:val="none" w:sz="0" w:space="0" w:color="auto"/>
        <w:left w:val="none" w:sz="0" w:space="0" w:color="auto"/>
        <w:bottom w:val="none" w:sz="0" w:space="0" w:color="auto"/>
        <w:right w:val="none" w:sz="0" w:space="0" w:color="auto"/>
      </w:divBdr>
    </w:div>
    <w:div w:id="978729639">
      <w:marLeft w:val="0"/>
      <w:marRight w:val="0"/>
      <w:marTop w:val="0"/>
      <w:marBottom w:val="240"/>
      <w:divBdr>
        <w:top w:val="none" w:sz="0" w:space="0" w:color="auto"/>
        <w:left w:val="none" w:sz="0" w:space="0" w:color="auto"/>
        <w:bottom w:val="none" w:sz="0" w:space="0" w:color="auto"/>
        <w:right w:val="none" w:sz="0" w:space="0" w:color="auto"/>
      </w:divBdr>
    </w:div>
    <w:div w:id="980383313">
      <w:marLeft w:val="0"/>
      <w:marRight w:val="0"/>
      <w:marTop w:val="0"/>
      <w:marBottom w:val="0"/>
      <w:divBdr>
        <w:top w:val="none" w:sz="0" w:space="0" w:color="auto"/>
        <w:left w:val="none" w:sz="0" w:space="0" w:color="auto"/>
        <w:bottom w:val="none" w:sz="0" w:space="0" w:color="auto"/>
        <w:right w:val="none" w:sz="0" w:space="0" w:color="auto"/>
      </w:divBdr>
    </w:div>
    <w:div w:id="981082478">
      <w:marLeft w:val="0"/>
      <w:marRight w:val="0"/>
      <w:marTop w:val="0"/>
      <w:marBottom w:val="240"/>
      <w:divBdr>
        <w:top w:val="none" w:sz="0" w:space="0" w:color="auto"/>
        <w:left w:val="none" w:sz="0" w:space="0" w:color="auto"/>
        <w:bottom w:val="none" w:sz="0" w:space="0" w:color="auto"/>
        <w:right w:val="none" w:sz="0" w:space="0" w:color="auto"/>
      </w:divBdr>
    </w:div>
    <w:div w:id="982084468">
      <w:marLeft w:val="0"/>
      <w:marRight w:val="0"/>
      <w:marTop w:val="100"/>
      <w:marBottom w:val="180"/>
      <w:divBdr>
        <w:top w:val="none" w:sz="0" w:space="0" w:color="auto"/>
        <w:left w:val="none" w:sz="0" w:space="0" w:color="auto"/>
        <w:bottom w:val="none" w:sz="0" w:space="0" w:color="auto"/>
        <w:right w:val="none" w:sz="0" w:space="0" w:color="auto"/>
      </w:divBdr>
    </w:div>
    <w:div w:id="984088604">
      <w:marLeft w:val="0"/>
      <w:marRight w:val="0"/>
      <w:marTop w:val="0"/>
      <w:marBottom w:val="180"/>
      <w:divBdr>
        <w:top w:val="none" w:sz="0" w:space="0" w:color="auto"/>
        <w:left w:val="none" w:sz="0" w:space="0" w:color="auto"/>
        <w:bottom w:val="none" w:sz="0" w:space="0" w:color="auto"/>
        <w:right w:val="none" w:sz="0" w:space="0" w:color="auto"/>
      </w:divBdr>
    </w:div>
    <w:div w:id="989091121">
      <w:marLeft w:val="0"/>
      <w:marRight w:val="0"/>
      <w:marTop w:val="120"/>
      <w:marBottom w:val="120"/>
      <w:divBdr>
        <w:top w:val="none" w:sz="0" w:space="0" w:color="auto"/>
        <w:left w:val="none" w:sz="0" w:space="0" w:color="auto"/>
        <w:bottom w:val="none" w:sz="0" w:space="0" w:color="auto"/>
        <w:right w:val="none" w:sz="0" w:space="0" w:color="auto"/>
      </w:divBdr>
    </w:div>
    <w:div w:id="989404695">
      <w:marLeft w:val="0"/>
      <w:marRight w:val="0"/>
      <w:marTop w:val="0"/>
      <w:marBottom w:val="0"/>
      <w:divBdr>
        <w:top w:val="none" w:sz="0" w:space="0" w:color="auto"/>
        <w:left w:val="none" w:sz="0" w:space="0" w:color="auto"/>
        <w:bottom w:val="none" w:sz="0" w:space="0" w:color="auto"/>
        <w:right w:val="none" w:sz="0" w:space="0" w:color="auto"/>
      </w:divBdr>
    </w:div>
    <w:div w:id="989597076">
      <w:marLeft w:val="0"/>
      <w:marRight w:val="0"/>
      <w:marTop w:val="0"/>
      <w:marBottom w:val="0"/>
      <w:divBdr>
        <w:top w:val="none" w:sz="0" w:space="0" w:color="auto"/>
        <w:left w:val="none" w:sz="0" w:space="0" w:color="auto"/>
        <w:bottom w:val="none" w:sz="0" w:space="0" w:color="auto"/>
        <w:right w:val="none" w:sz="0" w:space="0" w:color="auto"/>
      </w:divBdr>
      <w:divsChild>
        <w:div w:id="346710178">
          <w:marLeft w:val="0"/>
          <w:marRight w:val="0"/>
          <w:marTop w:val="0"/>
          <w:marBottom w:val="0"/>
          <w:divBdr>
            <w:top w:val="none" w:sz="0" w:space="0" w:color="auto"/>
            <w:left w:val="none" w:sz="0" w:space="0" w:color="auto"/>
            <w:bottom w:val="none" w:sz="0" w:space="0" w:color="auto"/>
            <w:right w:val="none" w:sz="0" w:space="0" w:color="auto"/>
          </w:divBdr>
        </w:div>
      </w:divsChild>
    </w:div>
    <w:div w:id="994916401">
      <w:marLeft w:val="0"/>
      <w:marRight w:val="0"/>
      <w:marTop w:val="180"/>
      <w:marBottom w:val="180"/>
      <w:divBdr>
        <w:top w:val="none" w:sz="0" w:space="0" w:color="auto"/>
        <w:left w:val="none" w:sz="0" w:space="0" w:color="auto"/>
        <w:bottom w:val="none" w:sz="0" w:space="0" w:color="auto"/>
        <w:right w:val="none" w:sz="0" w:space="0" w:color="auto"/>
      </w:divBdr>
    </w:div>
    <w:div w:id="996610722">
      <w:marLeft w:val="0"/>
      <w:marRight w:val="0"/>
      <w:marTop w:val="0"/>
      <w:marBottom w:val="0"/>
      <w:divBdr>
        <w:top w:val="none" w:sz="0" w:space="0" w:color="auto"/>
        <w:left w:val="none" w:sz="0" w:space="0" w:color="auto"/>
        <w:bottom w:val="none" w:sz="0" w:space="0" w:color="auto"/>
        <w:right w:val="none" w:sz="0" w:space="0" w:color="auto"/>
      </w:divBdr>
    </w:div>
    <w:div w:id="997079479">
      <w:marLeft w:val="0"/>
      <w:marRight w:val="0"/>
      <w:marTop w:val="0"/>
      <w:marBottom w:val="0"/>
      <w:divBdr>
        <w:top w:val="none" w:sz="0" w:space="0" w:color="auto"/>
        <w:left w:val="none" w:sz="0" w:space="0" w:color="auto"/>
        <w:bottom w:val="none" w:sz="0" w:space="0" w:color="auto"/>
        <w:right w:val="none" w:sz="0" w:space="0" w:color="auto"/>
      </w:divBdr>
    </w:div>
    <w:div w:id="997154796">
      <w:marLeft w:val="0"/>
      <w:marRight w:val="0"/>
      <w:marTop w:val="0"/>
      <w:marBottom w:val="0"/>
      <w:divBdr>
        <w:top w:val="none" w:sz="0" w:space="0" w:color="auto"/>
        <w:left w:val="none" w:sz="0" w:space="0" w:color="auto"/>
        <w:bottom w:val="none" w:sz="0" w:space="0" w:color="auto"/>
        <w:right w:val="none" w:sz="0" w:space="0" w:color="auto"/>
      </w:divBdr>
      <w:divsChild>
        <w:div w:id="379204786">
          <w:marLeft w:val="0"/>
          <w:marRight w:val="0"/>
          <w:marTop w:val="0"/>
          <w:marBottom w:val="0"/>
          <w:divBdr>
            <w:top w:val="none" w:sz="0" w:space="0" w:color="auto"/>
            <w:left w:val="none" w:sz="0" w:space="0" w:color="auto"/>
            <w:bottom w:val="none" w:sz="0" w:space="0" w:color="auto"/>
            <w:right w:val="none" w:sz="0" w:space="0" w:color="auto"/>
          </w:divBdr>
        </w:div>
      </w:divsChild>
    </w:div>
    <w:div w:id="999894316">
      <w:marLeft w:val="0"/>
      <w:marRight w:val="0"/>
      <w:marTop w:val="0"/>
      <w:marBottom w:val="0"/>
      <w:divBdr>
        <w:top w:val="none" w:sz="0" w:space="0" w:color="auto"/>
        <w:left w:val="none" w:sz="0" w:space="0" w:color="auto"/>
        <w:bottom w:val="none" w:sz="0" w:space="0" w:color="auto"/>
        <w:right w:val="none" w:sz="0" w:space="0" w:color="auto"/>
      </w:divBdr>
    </w:div>
    <w:div w:id="1000696138">
      <w:marLeft w:val="0"/>
      <w:marRight w:val="0"/>
      <w:marTop w:val="100"/>
      <w:marBottom w:val="140"/>
      <w:divBdr>
        <w:top w:val="none" w:sz="0" w:space="0" w:color="auto"/>
        <w:left w:val="none" w:sz="0" w:space="0" w:color="auto"/>
        <w:bottom w:val="none" w:sz="0" w:space="0" w:color="auto"/>
        <w:right w:val="none" w:sz="0" w:space="0" w:color="auto"/>
      </w:divBdr>
    </w:div>
    <w:div w:id="1001815733">
      <w:marLeft w:val="0"/>
      <w:marRight w:val="0"/>
      <w:marTop w:val="100"/>
      <w:marBottom w:val="0"/>
      <w:divBdr>
        <w:top w:val="none" w:sz="0" w:space="0" w:color="auto"/>
        <w:left w:val="none" w:sz="0" w:space="0" w:color="auto"/>
        <w:bottom w:val="none" w:sz="0" w:space="0" w:color="auto"/>
        <w:right w:val="none" w:sz="0" w:space="0" w:color="auto"/>
      </w:divBdr>
    </w:div>
    <w:div w:id="1004167155">
      <w:marLeft w:val="0"/>
      <w:marRight w:val="0"/>
      <w:marTop w:val="120"/>
      <w:marBottom w:val="120"/>
      <w:divBdr>
        <w:top w:val="none" w:sz="0" w:space="0" w:color="auto"/>
        <w:left w:val="none" w:sz="0" w:space="0" w:color="auto"/>
        <w:bottom w:val="none" w:sz="0" w:space="0" w:color="auto"/>
        <w:right w:val="none" w:sz="0" w:space="0" w:color="auto"/>
      </w:divBdr>
    </w:div>
    <w:div w:id="1007168829">
      <w:marLeft w:val="0"/>
      <w:marRight w:val="0"/>
      <w:marTop w:val="0"/>
      <w:marBottom w:val="240"/>
      <w:divBdr>
        <w:top w:val="none" w:sz="0" w:space="0" w:color="auto"/>
        <w:left w:val="none" w:sz="0" w:space="0" w:color="auto"/>
        <w:bottom w:val="none" w:sz="0" w:space="0" w:color="auto"/>
        <w:right w:val="none" w:sz="0" w:space="0" w:color="auto"/>
      </w:divBdr>
    </w:div>
    <w:div w:id="1007292147">
      <w:marLeft w:val="0"/>
      <w:marRight w:val="0"/>
      <w:marTop w:val="0"/>
      <w:marBottom w:val="0"/>
      <w:divBdr>
        <w:top w:val="none" w:sz="0" w:space="0" w:color="auto"/>
        <w:left w:val="none" w:sz="0" w:space="0" w:color="auto"/>
        <w:bottom w:val="none" w:sz="0" w:space="0" w:color="auto"/>
        <w:right w:val="none" w:sz="0" w:space="0" w:color="auto"/>
      </w:divBdr>
      <w:divsChild>
        <w:div w:id="1160193178">
          <w:marLeft w:val="0"/>
          <w:marRight w:val="0"/>
          <w:marTop w:val="0"/>
          <w:marBottom w:val="0"/>
          <w:divBdr>
            <w:top w:val="none" w:sz="0" w:space="0" w:color="auto"/>
            <w:left w:val="none" w:sz="0" w:space="0" w:color="auto"/>
            <w:bottom w:val="none" w:sz="0" w:space="0" w:color="auto"/>
            <w:right w:val="none" w:sz="0" w:space="0" w:color="auto"/>
          </w:divBdr>
        </w:div>
      </w:divsChild>
    </w:div>
    <w:div w:id="1010988240">
      <w:marLeft w:val="0"/>
      <w:marRight w:val="0"/>
      <w:marTop w:val="0"/>
      <w:marBottom w:val="240"/>
      <w:divBdr>
        <w:top w:val="none" w:sz="0" w:space="0" w:color="auto"/>
        <w:left w:val="none" w:sz="0" w:space="0" w:color="auto"/>
        <w:bottom w:val="none" w:sz="0" w:space="0" w:color="auto"/>
        <w:right w:val="none" w:sz="0" w:space="0" w:color="auto"/>
      </w:divBdr>
    </w:div>
    <w:div w:id="1011033946">
      <w:marLeft w:val="0"/>
      <w:marRight w:val="0"/>
      <w:marTop w:val="0"/>
      <w:marBottom w:val="0"/>
      <w:divBdr>
        <w:top w:val="none" w:sz="0" w:space="0" w:color="auto"/>
        <w:left w:val="none" w:sz="0" w:space="0" w:color="auto"/>
        <w:bottom w:val="none" w:sz="0" w:space="0" w:color="auto"/>
        <w:right w:val="none" w:sz="0" w:space="0" w:color="auto"/>
      </w:divBdr>
    </w:div>
    <w:div w:id="1013530332">
      <w:marLeft w:val="0"/>
      <w:marRight w:val="0"/>
      <w:marTop w:val="0"/>
      <w:marBottom w:val="0"/>
      <w:divBdr>
        <w:top w:val="none" w:sz="0" w:space="0" w:color="auto"/>
        <w:left w:val="none" w:sz="0" w:space="0" w:color="auto"/>
        <w:bottom w:val="none" w:sz="0" w:space="0" w:color="auto"/>
        <w:right w:val="none" w:sz="0" w:space="0" w:color="auto"/>
      </w:divBdr>
      <w:divsChild>
        <w:div w:id="1992174943">
          <w:marLeft w:val="0"/>
          <w:marRight w:val="0"/>
          <w:marTop w:val="0"/>
          <w:marBottom w:val="0"/>
          <w:divBdr>
            <w:top w:val="none" w:sz="0" w:space="0" w:color="auto"/>
            <w:left w:val="none" w:sz="0" w:space="0" w:color="auto"/>
            <w:bottom w:val="none" w:sz="0" w:space="0" w:color="auto"/>
            <w:right w:val="none" w:sz="0" w:space="0" w:color="auto"/>
          </w:divBdr>
        </w:div>
      </w:divsChild>
    </w:div>
    <w:div w:id="1015033021">
      <w:marLeft w:val="0"/>
      <w:marRight w:val="0"/>
      <w:marTop w:val="0"/>
      <w:marBottom w:val="240"/>
      <w:divBdr>
        <w:top w:val="none" w:sz="0" w:space="0" w:color="auto"/>
        <w:left w:val="none" w:sz="0" w:space="0" w:color="auto"/>
        <w:bottom w:val="none" w:sz="0" w:space="0" w:color="auto"/>
        <w:right w:val="none" w:sz="0" w:space="0" w:color="auto"/>
      </w:divBdr>
    </w:div>
    <w:div w:id="1016083343">
      <w:marLeft w:val="0"/>
      <w:marRight w:val="0"/>
      <w:marTop w:val="0"/>
      <w:marBottom w:val="240"/>
      <w:divBdr>
        <w:top w:val="none" w:sz="0" w:space="0" w:color="auto"/>
        <w:left w:val="none" w:sz="0" w:space="0" w:color="auto"/>
        <w:bottom w:val="none" w:sz="0" w:space="0" w:color="auto"/>
        <w:right w:val="none" w:sz="0" w:space="0" w:color="auto"/>
      </w:divBdr>
    </w:div>
    <w:div w:id="1016342979">
      <w:marLeft w:val="0"/>
      <w:marRight w:val="0"/>
      <w:marTop w:val="180"/>
      <w:marBottom w:val="180"/>
      <w:divBdr>
        <w:top w:val="none" w:sz="0" w:space="0" w:color="auto"/>
        <w:left w:val="none" w:sz="0" w:space="0" w:color="auto"/>
        <w:bottom w:val="none" w:sz="0" w:space="0" w:color="auto"/>
        <w:right w:val="none" w:sz="0" w:space="0" w:color="auto"/>
      </w:divBdr>
    </w:div>
    <w:div w:id="1016543245">
      <w:marLeft w:val="0"/>
      <w:marRight w:val="0"/>
      <w:marTop w:val="180"/>
      <w:marBottom w:val="180"/>
      <w:divBdr>
        <w:top w:val="none" w:sz="0" w:space="0" w:color="auto"/>
        <w:left w:val="none" w:sz="0" w:space="0" w:color="auto"/>
        <w:bottom w:val="none" w:sz="0" w:space="0" w:color="auto"/>
        <w:right w:val="none" w:sz="0" w:space="0" w:color="auto"/>
      </w:divBdr>
    </w:div>
    <w:div w:id="1018309750">
      <w:marLeft w:val="0"/>
      <w:marRight w:val="0"/>
      <w:marTop w:val="0"/>
      <w:marBottom w:val="0"/>
      <w:divBdr>
        <w:top w:val="none" w:sz="0" w:space="0" w:color="auto"/>
        <w:left w:val="none" w:sz="0" w:space="0" w:color="auto"/>
        <w:bottom w:val="none" w:sz="0" w:space="0" w:color="auto"/>
        <w:right w:val="none" w:sz="0" w:space="0" w:color="auto"/>
      </w:divBdr>
    </w:div>
    <w:div w:id="1018433261">
      <w:marLeft w:val="0"/>
      <w:marRight w:val="0"/>
      <w:marTop w:val="0"/>
      <w:marBottom w:val="180"/>
      <w:divBdr>
        <w:top w:val="none" w:sz="0" w:space="0" w:color="auto"/>
        <w:left w:val="none" w:sz="0" w:space="0" w:color="auto"/>
        <w:bottom w:val="none" w:sz="0" w:space="0" w:color="auto"/>
        <w:right w:val="none" w:sz="0" w:space="0" w:color="auto"/>
      </w:divBdr>
    </w:div>
    <w:div w:id="1019232290">
      <w:marLeft w:val="0"/>
      <w:marRight w:val="0"/>
      <w:marTop w:val="0"/>
      <w:marBottom w:val="180"/>
      <w:divBdr>
        <w:top w:val="none" w:sz="0" w:space="0" w:color="auto"/>
        <w:left w:val="none" w:sz="0" w:space="0" w:color="auto"/>
        <w:bottom w:val="none" w:sz="0" w:space="0" w:color="auto"/>
        <w:right w:val="none" w:sz="0" w:space="0" w:color="auto"/>
      </w:divBdr>
    </w:div>
    <w:div w:id="1023213943">
      <w:marLeft w:val="0"/>
      <w:marRight w:val="0"/>
      <w:marTop w:val="0"/>
      <w:marBottom w:val="0"/>
      <w:divBdr>
        <w:top w:val="none" w:sz="0" w:space="0" w:color="auto"/>
        <w:left w:val="none" w:sz="0" w:space="0" w:color="auto"/>
        <w:bottom w:val="none" w:sz="0" w:space="0" w:color="auto"/>
        <w:right w:val="none" w:sz="0" w:space="0" w:color="auto"/>
      </w:divBdr>
      <w:divsChild>
        <w:div w:id="75635839">
          <w:marLeft w:val="0"/>
          <w:marRight w:val="0"/>
          <w:marTop w:val="0"/>
          <w:marBottom w:val="0"/>
          <w:divBdr>
            <w:top w:val="none" w:sz="0" w:space="0" w:color="auto"/>
            <w:left w:val="none" w:sz="0" w:space="0" w:color="auto"/>
            <w:bottom w:val="none" w:sz="0" w:space="0" w:color="auto"/>
            <w:right w:val="none" w:sz="0" w:space="0" w:color="auto"/>
          </w:divBdr>
        </w:div>
      </w:divsChild>
    </w:div>
    <w:div w:id="1024865112">
      <w:marLeft w:val="0"/>
      <w:marRight w:val="0"/>
      <w:marTop w:val="0"/>
      <w:marBottom w:val="180"/>
      <w:divBdr>
        <w:top w:val="none" w:sz="0" w:space="0" w:color="auto"/>
        <w:left w:val="none" w:sz="0" w:space="0" w:color="auto"/>
        <w:bottom w:val="none" w:sz="0" w:space="0" w:color="auto"/>
        <w:right w:val="none" w:sz="0" w:space="0" w:color="auto"/>
      </w:divBdr>
    </w:div>
    <w:div w:id="1025979385">
      <w:marLeft w:val="0"/>
      <w:marRight w:val="0"/>
      <w:marTop w:val="0"/>
      <w:marBottom w:val="240"/>
      <w:divBdr>
        <w:top w:val="none" w:sz="0" w:space="0" w:color="auto"/>
        <w:left w:val="none" w:sz="0" w:space="0" w:color="auto"/>
        <w:bottom w:val="none" w:sz="0" w:space="0" w:color="auto"/>
        <w:right w:val="none" w:sz="0" w:space="0" w:color="auto"/>
      </w:divBdr>
    </w:div>
    <w:div w:id="1026521727">
      <w:marLeft w:val="0"/>
      <w:marRight w:val="0"/>
      <w:marTop w:val="120"/>
      <w:marBottom w:val="120"/>
      <w:divBdr>
        <w:top w:val="none" w:sz="0" w:space="0" w:color="auto"/>
        <w:left w:val="none" w:sz="0" w:space="0" w:color="auto"/>
        <w:bottom w:val="none" w:sz="0" w:space="0" w:color="auto"/>
        <w:right w:val="none" w:sz="0" w:space="0" w:color="auto"/>
      </w:divBdr>
    </w:div>
    <w:div w:id="1030885552">
      <w:marLeft w:val="0"/>
      <w:marRight w:val="0"/>
      <w:marTop w:val="0"/>
      <w:marBottom w:val="240"/>
      <w:divBdr>
        <w:top w:val="none" w:sz="0" w:space="0" w:color="auto"/>
        <w:left w:val="none" w:sz="0" w:space="0" w:color="auto"/>
        <w:bottom w:val="none" w:sz="0" w:space="0" w:color="auto"/>
        <w:right w:val="none" w:sz="0" w:space="0" w:color="auto"/>
      </w:divBdr>
    </w:div>
    <w:div w:id="1032148826">
      <w:marLeft w:val="0"/>
      <w:marRight w:val="0"/>
      <w:marTop w:val="0"/>
      <w:marBottom w:val="180"/>
      <w:divBdr>
        <w:top w:val="none" w:sz="0" w:space="0" w:color="auto"/>
        <w:left w:val="none" w:sz="0" w:space="0" w:color="auto"/>
        <w:bottom w:val="none" w:sz="0" w:space="0" w:color="auto"/>
        <w:right w:val="none" w:sz="0" w:space="0" w:color="auto"/>
      </w:divBdr>
    </w:div>
    <w:div w:id="1036852901">
      <w:marLeft w:val="0"/>
      <w:marRight w:val="0"/>
      <w:marTop w:val="240"/>
      <w:marBottom w:val="180"/>
      <w:divBdr>
        <w:top w:val="none" w:sz="0" w:space="0" w:color="auto"/>
        <w:left w:val="none" w:sz="0" w:space="0" w:color="auto"/>
        <w:bottom w:val="none" w:sz="0" w:space="0" w:color="auto"/>
        <w:right w:val="none" w:sz="0" w:space="0" w:color="auto"/>
      </w:divBdr>
    </w:div>
    <w:div w:id="1037193211">
      <w:marLeft w:val="0"/>
      <w:marRight w:val="0"/>
      <w:marTop w:val="0"/>
      <w:marBottom w:val="240"/>
      <w:divBdr>
        <w:top w:val="none" w:sz="0" w:space="0" w:color="auto"/>
        <w:left w:val="none" w:sz="0" w:space="0" w:color="auto"/>
        <w:bottom w:val="none" w:sz="0" w:space="0" w:color="auto"/>
        <w:right w:val="none" w:sz="0" w:space="0" w:color="auto"/>
      </w:divBdr>
    </w:div>
    <w:div w:id="1037243934">
      <w:marLeft w:val="0"/>
      <w:marRight w:val="0"/>
      <w:marTop w:val="0"/>
      <w:marBottom w:val="0"/>
      <w:divBdr>
        <w:top w:val="none" w:sz="0" w:space="0" w:color="auto"/>
        <w:left w:val="none" w:sz="0" w:space="0" w:color="auto"/>
        <w:bottom w:val="none" w:sz="0" w:space="0" w:color="auto"/>
        <w:right w:val="none" w:sz="0" w:space="0" w:color="auto"/>
      </w:divBdr>
    </w:div>
    <w:div w:id="1047680214">
      <w:marLeft w:val="0"/>
      <w:marRight w:val="0"/>
      <w:marTop w:val="0"/>
      <w:marBottom w:val="0"/>
      <w:divBdr>
        <w:top w:val="none" w:sz="0" w:space="0" w:color="auto"/>
        <w:left w:val="none" w:sz="0" w:space="0" w:color="auto"/>
        <w:bottom w:val="none" w:sz="0" w:space="0" w:color="auto"/>
        <w:right w:val="none" w:sz="0" w:space="0" w:color="auto"/>
      </w:divBdr>
    </w:div>
    <w:div w:id="1047879946">
      <w:marLeft w:val="0"/>
      <w:marRight w:val="0"/>
      <w:marTop w:val="0"/>
      <w:marBottom w:val="0"/>
      <w:divBdr>
        <w:top w:val="none" w:sz="0" w:space="0" w:color="auto"/>
        <w:left w:val="none" w:sz="0" w:space="0" w:color="auto"/>
        <w:bottom w:val="none" w:sz="0" w:space="0" w:color="auto"/>
        <w:right w:val="none" w:sz="0" w:space="0" w:color="auto"/>
      </w:divBdr>
    </w:div>
    <w:div w:id="1048339089">
      <w:marLeft w:val="0"/>
      <w:marRight w:val="0"/>
      <w:marTop w:val="180"/>
      <w:marBottom w:val="180"/>
      <w:divBdr>
        <w:top w:val="none" w:sz="0" w:space="0" w:color="auto"/>
        <w:left w:val="none" w:sz="0" w:space="0" w:color="auto"/>
        <w:bottom w:val="none" w:sz="0" w:space="0" w:color="auto"/>
        <w:right w:val="none" w:sz="0" w:space="0" w:color="auto"/>
      </w:divBdr>
    </w:div>
    <w:div w:id="1048650832">
      <w:marLeft w:val="0"/>
      <w:marRight w:val="0"/>
      <w:marTop w:val="0"/>
      <w:marBottom w:val="0"/>
      <w:divBdr>
        <w:top w:val="none" w:sz="0" w:space="0" w:color="auto"/>
        <w:left w:val="none" w:sz="0" w:space="0" w:color="auto"/>
        <w:bottom w:val="none" w:sz="0" w:space="0" w:color="auto"/>
        <w:right w:val="none" w:sz="0" w:space="0" w:color="auto"/>
      </w:divBdr>
      <w:divsChild>
        <w:div w:id="1144660592">
          <w:marLeft w:val="0"/>
          <w:marRight w:val="0"/>
          <w:marTop w:val="0"/>
          <w:marBottom w:val="0"/>
          <w:divBdr>
            <w:top w:val="none" w:sz="0" w:space="0" w:color="auto"/>
            <w:left w:val="none" w:sz="0" w:space="0" w:color="auto"/>
            <w:bottom w:val="none" w:sz="0" w:space="0" w:color="auto"/>
            <w:right w:val="none" w:sz="0" w:space="0" w:color="auto"/>
          </w:divBdr>
        </w:div>
      </w:divsChild>
    </w:div>
    <w:div w:id="1048720588">
      <w:marLeft w:val="0"/>
      <w:marRight w:val="0"/>
      <w:marTop w:val="0"/>
      <w:marBottom w:val="180"/>
      <w:divBdr>
        <w:top w:val="none" w:sz="0" w:space="0" w:color="auto"/>
        <w:left w:val="none" w:sz="0" w:space="0" w:color="auto"/>
        <w:bottom w:val="none" w:sz="0" w:space="0" w:color="auto"/>
        <w:right w:val="none" w:sz="0" w:space="0" w:color="auto"/>
      </w:divBdr>
    </w:div>
    <w:div w:id="1053312939">
      <w:marLeft w:val="0"/>
      <w:marRight w:val="0"/>
      <w:marTop w:val="0"/>
      <w:marBottom w:val="180"/>
      <w:divBdr>
        <w:top w:val="none" w:sz="0" w:space="0" w:color="auto"/>
        <w:left w:val="none" w:sz="0" w:space="0" w:color="auto"/>
        <w:bottom w:val="none" w:sz="0" w:space="0" w:color="auto"/>
        <w:right w:val="none" w:sz="0" w:space="0" w:color="auto"/>
      </w:divBdr>
    </w:div>
    <w:div w:id="1053970267">
      <w:marLeft w:val="0"/>
      <w:marRight w:val="0"/>
      <w:marTop w:val="0"/>
      <w:marBottom w:val="0"/>
      <w:divBdr>
        <w:top w:val="none" w:sz="0" w:space="0" w:color="auto"/>
        <w:left w:val="none" w:sz="0" w:space="0" w:color="auto"/>
        <w:bottom w:val="none" w:sz="0" w:space="0" w:color="auto"/>
        <w:right w:val="none" w:sz="0" w:space="0" w:color="auto"/>
      </w:divBdr>
      <w:divsChild>
        <w:div w:id="1309749680">
          <w:marLeft w:val="0"/>
          <w:marRight w:val="0"/>
          <w:marTop w:val="0"/>
          <w:marBottom w:val="0"/>
          <w:divBdr>
            <w:top w:val="none" w:sz="0" w:space="0" w:color="auto"/>
            <w:left w:val="none" w:sz="0" w:space="0" w:color="auto"/>
            <w:bottom w:val="none" w:sz="0" w:space="0" w:color="auto"/>
            <w:right w:val="none" w:sz="0" w:space="0" w:color="auto"/>
          </w:divBdr>
        </w:div>
      </w:divsChild>
    </w:div>
    <w:div w:id="1056391459">
      <w:marLeft w:val="0"/>
      <w:marRight w:val="0"/>
      <w:marTop w:val="0"/>
      <w:marBottom w:val="240"/>
      <w:divBdr>
        <w:top w:val="none" w:sz="0" w:space="0" w:color="auto"/>
        <w:left w:val="none" w:sz="0" w:space="0" w:color="auto"/>
        <w:bottom w:val="none" w:sz="0" w:space="0" w:color="auto"/>
        <w:right w:val="none" w:sz="0" w:space="0" w:color="auto"/>
      </w:divBdr>
    </w:div>
    <w:div w:id="1059522169">
      <w:marLeft w:val="0"/>
      <w:marRight w:val="0"/>
      <w:marTop w:val="180"/>
      <w:marBottom w:val="180"/>
      <w:divBdr>
        <w:top w:val="none" w:sz="0" w:space="0" w:color="auto"/>
        <w:left w:val="none" w:sz="0" w:space="0" w:color="auto"/>
        <w:bottom w:val="none" w:sz="0" w:space="0" w:color="auto"/>
        <w:right w:val="none" w:sz="0" w:space="0" w:color="auto"/>
      </w:divBdr>
    </w:div>
    <w:div w:id="1059592547">
      <w:marLeft w:val="0"/>
      <w:marRight w:val="0"/>
      <w:marTop w:val="0"/>
      <w:marBottom w:val="240"/>
      <w:divBdr>
        <w:top w:val="none" w:sz="0" w:space="0" w:color="auto"/>
        <w:left w:val="none" w:sz="0" w:space="0" w:color="auto"/>
        <w:bottom w:val="none" w:sz="0" w:space="0" w:color="auto"/>
        <w:right w:val="none" w:sz="0" w:space="0" w:color="auto"/>
      </w:divBdr>
    </w:div>
    <w:div w:id="1062217570">
      <w:marLeft w:val="0"/>
      <w:marRight w:val="0"/>
      <w:marTop w:val="0"/>
      <w:marBottom w:val="0"/>
      <w:divBdr>
        <w:top w:val="none" w:sz="0" w:space="0" w:color="auto"/>
        <w:left w:val="none" w:sz="0" w:space="0" w:color="auto"/>
        <w:bottom w:val="none" w:sz="0" w:space="0" w:color="auto"/>
        <w:right w:val="none" w:sz="0" w:space="0" w:color="auto"/>
      </w:divBdr>
      <w:divsChild>
        <w:div w:id="141242299">
          <w:marLeft w:val="0"/>
          <w:marRight w:val="0"/>
          <w:marTop w:val="0"/>
          <w:marBottom w:val="0"/>
          <w:divBdr>
            <w:top w:val="none" w:sz="0" w:space="0" w:color="auto"/>
            <w:left w:val="none" w:sz="0" w:space="0" w:color="auto"/>
            <w:bottom w:val="none" w:sz="0" w:space="0" w:color="auto"/>
            <w:right w:val="none" w:sz="0" w:space="0" w:color="auto"/>
          </w:divBdr>
        </w:div>
      </w:divsChild>
    </w:div>
    <w:div w:id="1065645277">
      <w:marLeft w:val="0"/>
      <w:marRight w:val="0"/>
      <w:marTop w:val="100"/>
      <w:marBottom w:val="100"/>
      <w:divBdr>
        <w:top w:val="none" w:sz="0" w:space="0" w:color="auto"/>
        <w:left w:val="none" w:sz="0" w:space="0" w:color="auto"/>
        <w:bottom w:val="none" w:sz="0" w:space="0" w:color="auto"/>
        <w:right w:val="none" w:sz="0" w:space="0" w:color="auto"/>
      </w:divBdr>
    </w:div>
    <w:div w:id="1067260263">
      <w:marLeft w:val="0"/>
      <w:marRight w:val="0"/>
      <w:marTop w:val="0"/>
      <w:marBottom w:val="0"/>
      <w:divBdr>
        <w:top w:val="none" w:sz="0" w:space="0" w:color="auto"/>
        <w:left w:val="none" w:sz="0" w:space="0" w:color="auto"/>
        <w:bottom w:val="none" w:sz="0" w:space="0" w:color="auto"/>
        <w:right w:val="none" w:sz="0" w:space="0" w:color="auto"/>
      </w:divBdr>
      <w:divsChild>
        <w:div w:id="914390023">
          <w:marLeft w:val="0"/>
          <w:marRight w:val="0"/>
          <w:marTop w:val="0"/>
          <w:marBottom w:val="0"/>
          <w:divBdr>
            <w:top w:val="none" w:sz="0" w:space="0" w:color="auto"/>
            <w:left w:val="none" w:sz="0" w:space="0" w:color="auto"/>
            <w:bottom w:val="none" w:sz="0" w:space="0" w:color="auto"/>
            <w:right w:val="none" w:sz="0" w:space="0" w:color="auto"/>
          </w:divBdr>
        </w:div>
      </w:divsChild>
    </w:div>
    <w:div w:id="1068066676">
      <w:marLeft w:val="0"/>
      <w:marRight w:val="0"/>
      <w:marTop w:val="100"/>
      <w:marBottom w:val="0"/>
      <w:divBdr>
        <w:top w:val="none" w:sz="0" w:space="0" w:color="auto"/>
        <w:left w:val="none" w:sz="0" w:space="0" w:color="auto"/>
        <w:bottom w:val="none" w:sz="0" w:space="0" w:color="auto"/>
        <w:right w:val="none" w:sz="0" w:space="0" w:color="auto"/>
      </w:divBdr>
      <w:divsChild>
        <w:div w:id="907836818">
          <w:marLeft w:val="0"/>
          <w:marRight w:val="0"/>
          <w:marTop w:val="0"/>
          <w:marBottom w:val="0"/>
          <w:divBdr>
            <w:top w:val="none" w:sz="0" w:space="0" w:color="auto"/>
            <w:left w:val="none" w:sz="0" w:space="0" w:color="auto"/>
            <w:bottom w:val="none" w:sz="0" w:space="0" w:color="auto"/>
            <w:right w:val="none" w:sz="0" w:space="0" w:color="auto"/>
          </w:divBdr>
        </w:div>
      </w:divsChild>
    </w:div>
    <w:div w:id="1068454529">
      <w:marLeft w:val="0"/>
      <w:marRight w:val="0"/>
      <w:marTop w:val="0"/>
      <w:marBottom w:val="0"/>
      <w:divBdr>
        <w:top w:val="none" w:sz="0" w:space="0" w:color="auto"/>
        <w:left w:val="none" w:sz="0" w:space="0" w:color="auto"/>
        <w:bottom w:val="none" w:sz="0" w:space="0" w:color="auto"/>
        <w:right w:val="none" w:sz="0" w:space="0" w:color="auto"/>
      </w:divBdr>
      <w:divsChild>
        <w:div w:id="413015200">
          <w:marLeft w:val="0"/>
          <w:marRight w:val="0"/>
          <w:marTop w:val="0"/>
          <w:marBottom w:val="0"/>
          <w:divBdr>
            <w:top w:val="none" w:sz="0" w:space="0" w:color="auto"/>
            <w:left w:val="none" w:sz="0" w:space="0" w:color="auto"/>
            <w:bottom w:val="none" w:sz="0" w:space="0" w:color="auto"/>
            <w:right w:val="none" w:sz="0" w:space="0" w:color="auto"/>
          </w:divBdr>
        </w:div>
      </w:divsChild>
    </w:div>
    <w:div w:id="1068457959">
      <w:marLeft w:val="0"/>
      <w:marRight w:val="0"/>
      <w:marTop w:val="180"/>
      <w:marBottom w:val="180"/>
      <w:divBdr>
        <w:top w:val="none" w:sz="0" w:space="0" w:color="auto"/>
        <w:left w:val="none" w:sz="0" w:space="0" w:color="auto"/>
        <w:bottom w:val="none" w:sz="0" w:space="0" w:color="auto"/>
        <w:right w:val="none" w:sz="0" w:space="0" w:color="auto"/>
      </w:divBdr>
    </w:div>
    <w:div w:id="1072316093">
      <w:marLeft w:val="0"/>
      <w:marRight w:val="0"/>
      <w:marTop w:val="0"/>
      <w:marBottom w:val="0"/>
      <w:divBdr>
        <w:top w:val="none" w:sz="0" w:space="0" w:color="auto"/>
        <w:left w:val="none" w:sz="0" w:space="0" w:color="auto"/>
        <w:bottom w:val="none" w:sz="0" w:space="0" w:color="auto"/>
        <w:right w:val="none" w:sz="0" w:space="0" w:color="auto"/>
      </w:divBdr>
      <w:divsChild>
        <w:div w:id="648948744">
          <w:marLeft w:val="0"/>
          <w:marRight w:val="0"/>
          <w:marTop w:val="0"/>
          <w:marBottom w:val="0"/>
          <w:divBdr>
            <w:top w:val="none" w:sz="0" w:space="0" w:color="auto"/>
            <w:left w:val="none" w:sz="0" w:space="0" w:color="auto"/>
            <w:bottom w:val="none" w:sz="0" w:space="0" w:color="auto"/>
            <w:right w:val="none" w:sz="0" w:space="0" w:color="auto"/>
          </w:divBdr>
        </w:div>
      </w:divsChild>
    </w:div>
    <w:div w:id="1074621280">
      <w:marLeft w:val="0"/>
      <w:marRight w:val="0"/>
      <w:marTop w:val="0"/>
      <w:marBottom w:val="180"/>
      <w:divBdr>
        <w:top w:val="none" w:sz="0" w:space="0" w:color="auto"/>
        <w:left w:val="none" w:sz="0" w:space="0" w:color="auto"/>
        <w:bottom w:val="none" w:sz="0" w:space="0" w:color="auto"/>
        <w:right w:val="none" w:sz="0" w:space="0" w:color="auto"/>
      </w:divBdr>
    </w:div>
    <w:div w:id="1077635958">
      <w:marLeft w:val="0"/>
      <w:marRight w:val="0"/>
      <w:marTop w:val="120"/>
      <w:marBottom w:val="120"/>
      <w:divBdr>
        <w:top w:val="none" w:sz="0" w:space="0" w:color="auto"/>
        <w:left w:val="none" w:sz="0" w:space="0" w:color="auto"/>
        <w:bottom w:val="none" w:sz="0" w:space="0" w:color="auto"/>
        <w:right w:val="none" w:sz="0" w:space="0" w:color="auto"/>
      </w:divBdr>
    </w:div>
    <w:div w:id="1082334612">
      <w:marLeft w:val="0"/>
      <w:marRight w:val="0"/>
      <w:marTop w:val="0"/>
      <w:marBottom w:val="0"/>
      <w:divBdr>
        <w:top w:val="none" w:sz="0" w:space="0" w:color="auto"/>
        <w:left w:val="none" w:sz="0" w:space="0" w:color="auto"/>
        <w:bottom w:val="none" w:sz="0" w:space="0" w:color="auto"/>
        <w:right w:val="none" w:sz="0" w:space="0" w:color="auto"/>
      </w:divBdr>
      <w:divsChild>
        <w:div w:id="2084134270">
          <w:marLeft w:val="0"/>
          <w:marRight w:val="0"/>
          <w:marTop w:val="0"/>
          <w:marBottom w:val="0"/>
          <w:divBdr>
            <w:top w:val="none" w:sz="0" w:space="0" w:color="auto"/>
            <w:left w:val="none" w:sz="0" w:space="0" w:color="auto"/>
            <w:bottom w:val="none" w:sz="0" w:space="0" w:color="auto"/>
            <w:right w:val="none" w:sz="0" w:space="0" w:color="auto"/>
          </w:divBdr>
        </w:div>
      </w:divsChild>
    </w:div>
    <w:div w:id="1082486007">
      <w:marLeft w:val="0"/>
      <w:marRight w:val="0"/>
      <w:marTop w:val="0"/>
      <w:marBottom w:val="0"/>
      <w:divBdr>
        <w:top w:val="none" w:sz="0" w:space="0" w:color="auto"/>
        <w:left w:val="none" w:sz="0" w:space="0" w:color="auto"/>
        <w:bottom w:val="none" w:sz="0" w:space="0" w:color="auto"/>
        <w:right w:val="none" w:sz="0" w:space="0" w:color="auto"/>
      </w:divBdr>
    </w:div>
    <w:div w:id="1086077886">
      <w:marLeft w:val="0"/>
      <w:marRight w:val="0"/>
      <w:marTop w:val="0"/>
      <w:marBottom w:val="240"/>
      <w:divBdr>
        <w:top w:val="none" w:sz="0" w:space="0" w:color="auto"/>
        <w:left w:val="none" w:sz="0" w:space="0" w:color="auto"/>
        <w:bottom w:val="none" w:sz="0" w:space="0" w:color="auto"/>
        <w:right w:val="none" w:sz="0" w:space="0" w:color="auto"/>
      </w:divBdr>
    </w:div>
    <w:div w:id="1086803472">
      <w:marLeft w:val="0"/>
      <w:marRight w:val="0"/>
      <w:marTop w:val="0"/>
      <w:marBottom w:val="0"/>
      <w:divBdr>
        <w:top w:val="none" w:sz="0" w:space="0" w:color="auto"/>
        <w:left w:val="none" w:sz="0" w:space="0" w:color="auto"/>
        <w:bottom w:val="none" w:sz="0" w:space="0" w:color="auto"/>
        <w:right w:val="none" w:sz="0" w:space="0" w:color="auto"/>
      </w:divBdr>
    </w:div>
    <w:div w:id="1088649114">
      <w:marLeft w:val="0"/>
      <w:marRight w:val="0"/>
      <w:marTop w:val="0"/>
      <w:marBottom w:val="0"/>
      <w:divBdr>
        <w:top w:val="none" w:sz="0" w:space="0" w:color="auto"/>
        <w:left w:val="none" w:sz="0" w:space="0" w:color="auto"/>
        <w:bottom w:val="none" w:sz="0" w:space="0" w:color="auto"/>
        <w:right w:val="none" w:sz="0" w:space="0" w:color="auto"/>
      </w:divBdr>
    </w:div>
    <w:div w:id="1089235158">
      <w:marLeft w:val="0"/>
      <w:marRight w:val="0"/>
      <w:marTop w:val="0"/>
      <w:marBottom w:val="0"/>
      <w:divBdr>
        <w:top w:val="none" w:sz="0" w:space="0" w:color="auto"/>
        <w:left w:val="none" w:sz="0" w:space="0" w:color="auto"/>
        <w:bottom w:val="none" w:sz="0" w:space="0" w:color="auto"/>
        <w:right w:val="none" w:sz="0" w:space="0" w:color="auto"/>
      </w:divBdr>
    </w:div>
    <w:div w:id="1089889266">
      <w:marLeft w:val="0"/>
      <w:marRight w:val="0"/>
      <w:marTop w:val="0"/>
      <w:marBottom w:val="0"/>
      <w:divBdr>
        <w:top w:val="none" w:sz="0" w:space="0" w:color="auto"/>
        <w:left w:val="none" w:sz="0" w:space="0" w:color="auto"/>
        <w:bottom w:val="none" w:sz="0" w:space="0" w:color="auto"/>
        <w:right w:val="none" w:sz="0" w:space="0" w:color="auto"/>
      </w:divBdr>
      <w:divsChild>
        <w:div w:id="643050978">
          <w:marLeft w:val="0"/>
          <w:marRight w:val="0"/>
          <w:marTop w:val="0"/>
          <w:marBottom w:val="0"/>
          <w:divBdr>
            <w:top w:val="none" w:sz="0" w:space="0" w:color="auto"/>
            <w:left w:val="none" w:sz="0" w:space="0" w:color="auto"/>
            <w:bottom w:val="none" w:sz="0" w:space="0" w:color="auto"/>
            <w:right w:val="none" w:sz="0" w:space="0" w:color="auto"/>
          </w:divBdr>
        </w:div>
      </w:divsChild>
    </w:div>
    <w:div w:id="1090197222">
      <w:marLeft w:val="0"/>
      <w:marRight w:val="0"/>
      <w:marTop w:val="0"/>
      <w:marBottom w:val="0"/>
      <w:divBdr>
        <w:top w:val="none" w:sz="0" w:space="0" w:color="auto"/>
        <w:left w:val="none" w:sz="0" w:space="0" w:color="auto"/>
        <w:bottom w:val="none" w:sz="0" w:space="0" w:color="auto"/>
        <w:right w:val="none" w:sz="0" w:space="0" w:color="auto"/>
      </w:divBdr>
      <w:divsChild>
        <w:div w:id="2032097908">
          <w:marLeft w:val="0"/>
          <w:marRight w:val="0"/>
          <w:marTop w:val="0"/>
          <w:marBottom w:val="0"/>
          <w:divBdr>
            <w:top w:val="none" w:sz="0" w:space="0" w:color="auto"/>
            <w:left w:val="none" w:sz="0" w:space="0" w:color="auto"/>
            <w:bottom w:val="none" w:sz="0" w:space="0" w:color="auto"/>
            <w:right w:val="none" w:sz="0" w:space="0" w:color="auto"/>
          </w:divBdr>
        </w:div>
      </w:divsChild>
    </w:div>
    <w:div w:id="1090588084">
      <w:marLeft w:val="0"/>
      <w:marRight w:val="0"/>
      <w:marTop w:val="120"/>
      <w:marBottom w:val="120"/>
      <w:divBdr>
        <w:top w:val="none" w:sz="0" w:space="0" w:color="auto"/>
        <w:left w:val="none" w:sz="0" w:space="0" w:color="auto"/>
        <w:bottom w:val="none" w:sz="0" w:space="0" w:color="auto"/>
        <w:right w:val="none" w:sz="0" w:space="0" w:color="auto"/>
      </w:divBdr>
    </w:div>
    <w:div w:id="1092774801">
      <w:marLeft w:val="0"/>
      <w:marRight w:val="0"/>
      <w:marTop w:val="0"/>
      <w:marBottom w:val="180"/>
      <w:divBdr>
        <w:top w:val="none" w:sz="0" w:space="0" w:color="auto"/>
        <w:left w:val="none" w:sz="0" w:space="0" w:color="auto"/>
        <w:bottom w:val="none" w:sz="0" w:space="0" w:color="auto"/>
        <w:right w:val="none" w:sz="0" w:space="0" w:color="auto"/>
      </w:divBdr>
    </w:div>
    <w:div w:id="1093089495">
      <w:marLeft w:val="0"/>
      <w:marRight w:val="0"/>
      <w:marTop w:val="0"/>
      <w:marBottom w:val="180"/>
      <w:divBdr>
        <w:top w:val="none" w:sz="0" w:space="0" w:color="auto"/>
        <w:left w:val="none" w:sz="0" w:space="0" w:color="auto"/>
        <w:bottom w:val="none" w:sz="0" w:space="0" w:color="auto"/>
        <w:right w:val="none" w:sz="0" w:space="0" w:color="auto"/>
      </w:divBdr>
    </w:div>
    <w:div w:id="1098216645">
      <w:marLeft w:val="0"/>
      <w:marRight w:val="0"/>
      <w:marTop w:val="0"/>
      <w:marBottom w:val="0"/>
      <w:divBdr>
        <w:top w:val="none" w:sz="0" w:space="0" w:color="auto"/>
        <w:left w:val="none" w:sz="0" w:space="0" w:color="auto"/>
        <w:bottom w:val="none" w:sz="0" w:space="0" w:color="auto"/>
        <w:right w:val="none" w:sz="0" w:space="0" w:color="auto"/>
      </w:divBdr>
      <w:divsChild>
        <w:div w:id="1356735752">
          <w:marLeft w:val="0"/>
          <w:marRight w:val="0"/>
          <w:marTop w:val="0"/>
          <w:marBottom w:val="0"/>
          <w:divBdr>
            <w:top w:val="none" w:sz="0" w:space="0" w:color="auto"/>
            <w:left w:val="none" w:sz="0" w:space="0" w:color="auto"/>
            <w:bottom w:val="none" w:sz="0" w:space="0" w:color="auto"/>
            <w:right w:val="none" w:sz="0" w:space="0" w:color="auto"/>
          </w:divBdr>
        </w:div>
      </w:divsChild>
    </w:div>
    <w:div w:id="1098673937">
      <w:marLeft w:val="0"/>
      <w:marRight w:val="0"/>
      <w:marTop w:val="0"/>
      <w:marBottom w:val="240"/>
      <w:divBdr>
        <w:top w:val="none" w:sz="0" w:space="0" w:color="auto"/>
        <w:left w:val="none" w:sz="0" w:space="0" w:color="auto"/>
        <w:bottom w:val="none" w:sz="0" w:space="0" w:color="auto"/>
        <w:right w:val="none" w:sz="0" w:space="0" w:color="auto"/>
      </w:divBdr>
    </w:div>
    <w:div w:id="1100101835">
      <w:marLeft w:val="0"/>
      <w:marRight w:val="0"/>
      <w:marTop w:val="180"/>
      <w:marBottom w:val="180"/>
      <w:divBdr>
        <w:top w:val="none" w:sz="0" w:space="0" w:color="auto"/>
        <w:left w:val="none" w:sz="0" w:space="0" w:color="auto"/>
        <w:bottom w:val="none" w:sz="0" w:space="0" w:color="auto"/>
        <w:right w:val="none" w:sz="0" w:space="0" w:color="auto"/>
      </w:divBdr>
    </w:div>
    <w:div w:id="1105147914">
      <w:marLeft w:val="0"/>
      <w:marRight w:val="0"/>
      <w:marTop w:val="100"/>
      <w:marBottom w:val="0"/>
      <w:divBdr>
        <w:top w:val="none" w:sz="0" w:space="0" w:color="auto"/>
        <w:left w:val="none" w:sz="0" w:space="0" w:color="auto"/>
        <w:bottom w:val="none" w:sz="0" w:space="0" w:color="auto"/>
        <w:right w:val="none" w:sz="0" w:space="0" w:color="auto"/>
      </w:divBdr>
    </w:div>
    <w:div w:id="1105199536">
      <w:marLeft w:val="0"/>
      <w:marRight w:val="0"/>
      <w:marTop w:val="0"/>
      <w:marBottom w:val="0"/>
      <w:divBdr>
        <w:top w:val="none" w:sz="0" w:space="0" w:color="auto"/>
        <w:left w:val="none" w:sz="0" w:space="0" w:color="auto"/>
        <w:bottom w:val="none" w:sz="0" w:space="0" w:color="auto"/>
        <w:right w:val="none" w:sz="0" w:space="0" w:color="auto"/>
      </w:divBdr>
    </w:div>
    <w:div w:id="1105613453">
      <w:marLeft w:val="0"/>
      <w:marRight w:val="0"/>
      <w:marTop w:val="180"/>
      <w:marBottom w:val="180"/>
      <w:divBdr>
        <w:top w:val="none" w:sz="0" w:space="0" w:color="auto"/>
        <w:left w:val="none" w:sz="0" w:space="0" w:color="auto"/>
        <w:bottom w:val="none" w:sz="0" w:space="0" w:color="auto"/>
        <w:right w:val="none" w:sz="0" w:space="0" w:color="auto"/>
      </w:divBdr>
    </w:div>
    <w:div w:id="1105928968">
      <w:marLeft w:val="0"/>
      <w:marRight w:val="0"/>
      <w:marTop w:val="100"/>
      <w:marBottom w:val="120"/>
      <w:divBdr>
        <w:top w:val="none" w:sz="0" w:space="0" w:color="auto"/>
        <w:left w:val="none" w:sz="0" w:space="0" w:color="auto"/>
        <w:bottom w:val="none" w:sz="0" w:space="0" w:color="auto"/>
        <w:right w:val="none" w:sz="0" w:space="0" w:color="auto"/>
      </w:divBdr>
      <w:divsChild>
        <w:div w:id="1145128608">
          <w:marLeft w:val="0"/>
          <w:marRight w:val="0"/>
          <w:marTop w:val="0"/>
          <w:marBottom w:val="180"/>
          <w:divBdr>
            <w:top w:val="none" w:sz="0" w:space="0" w:color="auto"/>
            <w:left w:val="none" w:sz="0" w:space="0" w:color="auto"/>
            <w:bottom w:val="none" w:sz="0" w:space="0" w:color="auto"/>
            <w:right w:val="none" w:sz="0" w:space="0" w:color="auto"/>
          </w:divBdr>
        </w:div>
      </w:divsChild>
    </w:div>
    <w:div w:id="1106116620">
      <w:marLeft w:val="0"/>
      <w:marRight w:val="0"/>
      <w:marTop w:val="0"/>
      <w:marBottom w:val="240"/>
      <w:divBdr>
        <w:top w:val="none" w:sz="0" w:space="0" w:color="auto"/>
        <w:left w:val="none" w:sz="0" w:space="0" w:color="auto"/>
        <w:bottom w:val="none" w:sz="0" w:space="0" w:color="auto"/>
        <w:right w:val="none" w:sz="0" w:space="0" w:color="auto"/>
      </w:divBdr>
    </w:div>
    <w:div w:id="1107307897">
      <w:marLeft w:val="0"/>
      <w:marRight w:val="0"/>
      <w:marTop w:val="240"/>
      <w:marBottom w:val="240"/>
      <w:divBdr>
        <w:top w:val="none" w:sz="0" w:space="0" w:color="auto"/>
        <w:left w:val="none" w:sz="0" w:space="0" w:color="auto"/>
        <w:bottom w:val="none" w:sz="0" w:space="0" w:color="auto"/>
        <w:right w:val="none" w:sz="0" w:space="0" w:color="auto"/>
      </w:divBdr>
    </w:div>
    <w:div w:id="1109662429">
      <w:marLeft w:val="0"/>
      <w:marRight w:val="0"/>
      <w:marTop w:val="0"/>
      <w:marBottom w:val="0"/>
      <w:divBdr>
        <w:top w:val="none" w:sz="0" w:space="0" w:color="auto"/>
        <w:left w:val="none" w:sz="0" w:space="0" w:color="auto"/>
        <w:bottom w:val="none" w:sz="0" w:space="0" w:color="auto"/>
        <w:right w:val="none" w:sz="0" w:space="0" w:color="auto"/>
      </w:divBdr>
    </w:div>
    <w:div w:id="1110667800">
      <w:marLeft w:val="0"/>
      <w:marRight w:val="0"/>
      <w:marTop w:val="100"/>
      <w:marBottom w:val="0"/>
      <w:divBdr>
        <w:top w:val="none" w:sz="0" w:space="0" w:color="auto"/>
        <w:left w:val="none" w:sz="0" w:space="0" w:color="auto"/>
        <w:bottom w:val="none" w:sz="0" w:space="0" w:color="auto"/>
        <w:right w:val="none" w:sz="0" w:space="0" w:color="auto"/>
      </w:divBdr>
    </w:div>
    <w:div w:id="1110931411">
      <w:marLeft w:val="0"/>
      <w:marRight w:val="0"/>
      <w:marTop w:val="180"/>
      <w:marBottom w:val="180"/>
      <w:divBdr>
        <w:top w:val="none" w:sz="0" w:space="0" w:color="auto"/>
        <w:left w:val="none" w:sz="0" w:space="0" w:color="auto"/>
        <w:bottom w:val="none" w:sz="0" w:space="0" w:color="auto"/>
        <w:right w:val="none" w:sz="0" w:space="0" w:color="auto"/>
      </w:divBdr>
    </w:div>
    <w:div w:id="1111971858">
      <w:marLeft w:val="0"/>
      <w:marRight w:val="0"/>
      <w:marTop w:val="180"/>
      <w:marBottom w:val="180"/>
      <w:divBdr>
        <w:top w:val="none" w:sz="0" w:space="0" w:color="auto"/>
        <w:left w:val="none" w:sz="0" w:space="0" w:color="auto"/>
        <w:bottom w:val="none" w:sz="0" w:space="0" w:color="auto"/>
        <w:right w:val="none" w:sz="0" w:space="0" w:color="auto"/>
      </w:divBdr>
    </w:div>
    <w:div w:id="1113328934">
      <w:marLeft w:val="0"/>
      <w:marRight w:val="0"/>
      <w:marTop w:val="180"/>
      <w:marBottom w:val="180"/>
      <w:divBdr>
        <w:top w:val="none" w:sz="0" w:space="0" w:color="auto"/>
        <w:left w:val="none" w:sz="0" w:space="0" w:color="auto"/>
        <w:bottom w:val="none" w:sz="0" w:space="0" w:color="auto"/>
        <w:right w:val="none" w:sz="0" w:space="0" w:color="auto"/>
      </w:divBdr>
    </w:div>
    <w:div w:id="1114789566">
      <w:marLeft w:val="0"/>
      <w:marRight w:val="0"/>
      <w:marTop w:val="0"/>
      <w:marBottom w:val="0"/>
      <w:divBdr>
        <w:top w:val="none" w:sz="0" w:space="0" w:color="auto"/>
        <w:left w:val="none" w:sz="0" w:space="0" w:color="auto"/>
        <w:bottom w:val="none" w:sz="0" w:space="0" w:color="auto"/>
        <w:right w:val="none" w:sz="0" w:space="0" w:color="auto"/>
      </w:divBdr>
    </w:div>
    <w:div w:id="1114908464">
      <w:marLeft w:val="0"/>
      <w:marRight w:val="0"/>
      <w:marTop w:val="0"/>
      <w:marBottom w:val="0"/>
      <w:divBdr>
        <w:top w:val="none" w:sz="0" w:space="0" w:color="auto"/>
        <w:left w:val="none" w:sz="0" w:space="0" w:color="auto"/>
        <w:bottom w:val="none" w:sz="0" w:space="0" w:color="auto"/>
        <w:right w:val="none" w:sz="0" w:space="0" w:color="auto"/>
      </w:divBdr>
    </w:div>
    <w:div w:id="1114908995">
      <w:marLeft w:val="0"/>
      <w:marRight w:val="0"/>
      <w:marTop w:val="0"/>
      <w:marBottom w:val="180"/>
      <w:divBdr>
        <w:top w:val="none" w:sz="0" w:space="0" w:color="auto"/>
        <w:left w:val="none" w:sz="0" w:space="0" w:color="auto"/>
        <w:bottom w:val="none" w:sz="0" w:space="0" w:color="auto"/>
        <w:right w:val="none" w:sz="0" w:space="0" w:color="auto"/>
      </w:divBdr>
    </w:div>
    <w:div w:id="1114982819">
      <w:marLeft w:val="0"/>
      <w:marRight w:val="0"/>
      <w:marTop w:val="0"/>
      <w:marBottom w:val="0"/>
      <w:divBdr>
        <w:top w:val="none" w:sz="0" w:space="0" w:color="auto"/>
        <w:left w:val="none" w:sz="0" w:space="0" w:color="auto"/>
        <w:bottom w:val="none" w:sz="0" w:space="0" w:color="auto"/>
        <w:right w:val="none" w:sz="0" w:space="0" w:color="auto"/>
      </w:divBdr>
    </w:div>
    <w:div w:id="1115254179">
      <w:marLeft w:val="0"/>
      <w:marRight w:val="0"/>
      <w:marTop w:val="0"/>
      <w:marBottom w:val="180"/>
      <w:divBdr>
        <w:top w:val="none" w:sz="0" w:space="0" w:color="auto"/>
        <w:left w:val="none" w:sz="0" w:space="0" w:color="auto"/>
        <w:bottom w:val="none" w:sz="0" w:space="0" w:color="auto"/>
        <w:right w:val="none" w:sz="0" w:space="0" w:color="auto"/>
      </w:divBdr>
    </w:div>
    <w:div w:id="1115324255">
      <w:marLeft w:val="0"/>
      <w:marRight w:val="0"/>
      <w:marTop w:val="0"/>
      <w:marBottom w:val="240"/>
      <w:divBdr>
        <w:top w:val="none" w:sz="0" w:space="0" w:color="auto"/>
        <w:left w:val="none" w:sz="0" w:space="0" w:color="auto"/>
        <w:bottom w:val="none" w:sz="0" w:space="0" w:color="auto"/>
        <w:right w:val="none" w:sz="0" w:space="0" w:color="auto"/>
      </w:divBdr>
    </w:div>
    <w:div w:id="1115829791">
      <w:marLeft w:val="0"/>
      <w:marRight w:val="0"/>
      <w:marTop w:val="0"/>
      <w:marBottom w:val="0"/>
      <w:divBdr>
        <w:top w:val="none" w:sz="0" w:space="0" w:color="auto"/>
        <w:left w:val="none" w:sz="0" w:space="0" w:color="auto"/>
        <w:bottom w:val="none" w:sz="0" w:space="0" w:color="auto"/>
        <w:right w:val="none" w:sz="0" w:space="0" w:color="auto"/>
      </w:divBdr>
      <w:divsChild>
        <w:div w:id="1132022007">
          <w:marLeft w:val="0"/>
          <w:marRight w:val="0"/>
          <w:marTop w:val="0"/>
          <w:marBottom w:val="0"/>
          <w:divBdr>
            <w:top w:val="none" w:sz="0" w:space="0" w:color="auto"/>
            <w:left w:val="none" w:sz="0" w:space="0" w:color="auto"/>
            <w:bottom w:val="none" w:sz="0" w:space="0" w:color="auto"/>
            <w:right w:val="none" w:sz="0" w:space="0" w:color="auto"/>
          </w:divBdr>
        </w:div>
      </w:divsChild>
    </w:div>
    <w:div w:id="1120564768">
      <w:marLeft w:val="0"/>
      <w:marRight w:val="0"/>
      <w:marTop w:val="0"/>
      <w:marBottom w:val="240"/>
      <w:divBdr>
        <w:top w:val="none" w:sz="0" w:space="0" w:color="auto"/>
        <w:left w:val="none" w:sz="0" w:space="0" w:color="auto"/>
        <w:bottom w:val="none" w:sz="0" w:space="0" w:color="auto"/>
        <w:right w:val="none" w:sz="0" w:space="0" w:color="auto"/>
      </w:divBdr>
    </w:div>
    <w:div w:id="1122573084">
      <w:marLeft w:val="0"/>
      <w:marRight w:val="0"/>
      <w:marTop w:val="180"/>
      <w:marBottom w:val="180"/>
      <w:divBdr>
        <w:top w:val="none" w:sz="0" w:space="0" w:color="auto"/>
        <w:left w:val="none" w:sz="0" w:space="0" w:color="auto"/>
        <w:bottom w:val="none" w:sz="0" w:space="0" w:color="auto"/>
        <w:right w:val="none" w:sz="0" w:space="0" w:color="auto"/>
      </w:divBdr>
    </w:div>
    <w:div w:id="1122648436">
      <w:marLeft w:val="0"/>
      <w:marRight w:val="0"/>
      <w:marTop w:val="0"/>
      <w:marBottom w:val="0"/>
      <w:divBdr>
        <w:top w:val="none" w:sz="0" w:space="0" w:color="auto"/>
        <w:left w:val="none" w:sz="0" w:space="0" w:color="auto"/>
        <w:bottom w:val="none" w:sz="0" w:space="0" w:color="auto"/>
        <w:right w:val="none" w:sz="0" w:space="0" w:color="auto"/>
      </w:divBdr>
    </w:div>
    <w:div w:id="1124613781">
      <w:marLeft w:val="0"/>
      <w:marRight w:val="0"/>
      <w:marTop w:val="120"/>
      <w:marBottom w:val="60"/>
      <w:divBdr>
        <w:top w:val="none" w:sz="0" w:space="0" w:color="auto"/>
        <w:left w:val="none" w:sz="0" w:space="0" w:color="auto"/>
        <w:bottom w:val="none" w:sz="0" w:space="0" w:color="auto"/>
        <w:right w:val="none" w:sz="0" w:space="0" w:color="auto"/>
      </w:divBdr>
    </w:div>
    <w:div w:id="1125467889">
      <w:marLeft w:val="0"/>
      <w:marRight w:val="0"/>
      <w:marTop w:val="0"/>
      <w:marBottom w:val="240"/>
      <w:divBdr>
        <w:top w:val="none" w:sz="0" w:space="0" w:color="auto"/>
        <w:left w:val="none" w:sz="0" w:space="0" w:color="auto"/>
        <w:bottom w:val="none" w:sz="0" w:space="0" w:color="auto"/>
        <w:right w:val="none" w:sz="0" w:space="0" w:color="auto"/>
      </w:divBdr>
    </w:div>
    <w:div w:id="1126045831">
      <w:marLeft w:val="0"/>
      <w:marRight w:val="0"/>
      <w:marTop w:val="0"/>
      <w:marBottom w:val="0"/>
      <w:divBdr>
        <w:top w:val="none" w:sz="0" w:space="0" w:color="auto"/>
        <w:left w:val="none" w:sz="0" w:space="0" w:color="auto"/>
        <w:bottom w:val="none" w:sz="0" w:space="0" w:color="auto"/>
        <w:right w:val="none" w:sz="0" w:space="0" w:color="auto"/>
      </w:divBdr>
      <w:divsChild>
        <w:div w:id="1541016912">
          <w:marLeft w:val="0"/>
          <w:marRight w:val="0"/>
          <w:marTop w:val="0"/>
          <w:marBottom w:val="0"/>
          <w:divBdr>
            <w:top w:val="none" w:sz="0" w:space="0" w:color="auto"/>
            <w:left w:val="none" w:sz="0" w:space="0" w:color="auto"/>
            <w:bottom w:val="none" w:sz="0" w:space="0" w:color="auto"/>
            <w:right w:val="none" w:sz="0" w:space="0" w:color="auto"/>
          </w:divBdr>
        </w:div>
      </w:divsChild>
    </w:div>
    <w:div w:id="1126503742">
      <w:marLeft w:val="0"/>
      <w:marRight w:val="0"/>
      <w:marTop w:val="0"/>
      <w:marBottom w:val="0"/>
      <w:divBdr>
        <w:top w:val="none" w:sz="0" w:space="0" w:color="auto"/>
        <w:left w:val="none" w:sz="0" w:space="0" w:color="auto"/>
        <w:bottom w:val="none" w:sz="0" w:space="0" w:color="auto"/>
        <w:right w:val="none" w:sz="0" w:space="0" w:color="auto"/>
      </w:divBdr>
      <w:divsChild>
        <w:div w:id="935746348">
          <w:marLeft w:val="0"/>
          <w:marRight w:val="0"/>
          <w:marTop w:val="0"/>
          <w:marBottom w:val="0"/>
          <w:divBdr>
            <w:top w:val="none" w:sz="0" w:space="0" w:color="auto"/>
            <w:left w:val="none" w:sz="0" w:space="0" w:color="auto"/>
            <w:bottom w:val="none" w:sz="0" w:space="0" w:color="auto"/>
            <w:right w:val="none" w:sz="0" w:space="0" w:color="auto"/>
          </w:divBdr>
        </w:div>
      </w:divsChild>
    </w:div>
    <w:div w:id="1128820437">
      <w:marLeft w:val="0"/>
      <w:marRight w:val="0"/>
      <w:marTop w:val="180"/>
      <w:marBottom w:val="180"/>
      <w:divBdr>
        <w:top w:val="none" w:sz="0" w:space="0" w:color="auto"/>
        <w:left w:val="none" w:sz="0" w:space="0" w:color="auto"/>
        <w:bottom w:val="none" w:sz="0" w:space="0" w:color="auto"/>
        <w:right w:val="none" w:sz="0" w:space="0" w:color="auto"/>
      </w:divBdr>
    </w:div>
    <w:div w:id="1129199452">
      <w:marLeft w:val="0"/>
      <w:marRight w:val="0"/>
      <w:marTop w:val="0"/>
      <w:marBottom w:val="240"/>
      <w:divBdr>
        <w:top w:val="none" w:sz="0" w:space="0" w:color="auto"/>
        <w:left w:val="none" w:sz="0" w:space="0" w:color="auto"/>
        <w:bottom w:val="none" w:sz="0" w:space="0" w:color="auto"/>
        <w:right w:val="none" w:sz="0" w:space="0" w:color="auto"/>
      </w:divBdr>
    </w:div>
    <w:div w:id="1129595270">
      <w:marLeft w:val="0"/>
      <w:marRight w:val="0"/>
      <w:marTop w:val="120"/>
      <w:marBottom w:val="240"/>
      <w:divBdr>
        <w:top w:val="none" w:sz="0" w:space="0" w:color="auto"/>
        <w:left w:val="none" w:sz="0" w:space="0" w:color="auto"/>
        <w:bottom w:val="none" w:sz="0" w:space="0" w:color="auto"/>
        <w:right w:val="none" w:sz="0" w:space="0" w:color="auto"/>
      </w:divBdr>
    </w:div>
    <w:div w:id="1129981818">
      <w:marLeft w:val="0"/>
      <w:marRight w:val="0"/>
      <w:marTop w:val="0"/>
      <w:marBottom w:val="180"/>
      <w:divBdr>
        <w:top w:val="none" w:sz="0" w:space="0" w:color="auto"/>
        <w:left w:val="none" w:sz="0" w:space="0" w:color="auto"/>
        <w:bottom w:val="none" w:sz="0" w:space="0" w:color="auto"/>
        <w:right w:val="none" w:sz="0" w:space="0" w:color="auto"/>
      </w:divBdr>
    </w:div>
    <w:div w:id="1131946052">
      <w:marLeft w:val="0"/>
      <w:marRight w:val="0"/>
      <w:marTop w:val="180"/>
      <w:marBottom w:val="180"/>
      <w:divBdr>
        <w:top w:val="none" w:sz="0" w:space="0" w:color="auto"/>
        <w:left w:val="none" w:sz="0" w:space="0" w:color="auto"/>
        <w:bottom w:val="none" w:sz="0" w:space="0" w:color="auto"/>
        <w:right w:val="none" w:sz="0" w:space="0" w:color="auto"/>
      </w:divBdr>
    </w:div>
    <w:div w:id="1132357687">
      <w:marLeft w:val="0"/>
      <w:marRight w:val="0"/>
      <w:marTop w:val="0"/>
      <w:marBottom w:val="0"/>
      <w:divBdr>
        <w:top w:val="none" w:sz="0" w:space="0" w:color="auto"/>
        <w:left w:val="none" w:sz="0" w:space="0" w:color="auto"/>
        <w:bottom w:val="none" w:sz="0" w:space="0" w:color="auto"/>
        <w:right w:val="none" w:sz="0" w:space="0" w:color="auto"/>
      </w:divBdr>
    </w:div>
    <w:div w:id="1133256077">
      <w:marLeft w:val="0"/>
      <w:marRight w:val="0"/>
      <w:marTop w:val="0"/>
      <w:marBottom w:val="0"/>
      <w:divBdr>
        <w:top w:val="none" w:sz="0" w:space="0" w:color="auto"/>
        <w:left w:val="none" w:sz="0" w:space="0" w:color="auto"/>
        <w:bottom w:val="none" w:sz="0" w:space="0" w:color="auto"/>
        <w:right w:val="none" w:sz="0" w:space="0" w:color="auto"/>
      </w:divBdr>
      <w:divsChild>
        <w:div w:id="232938227">
          <w:marLeft w:val="0"/>
          <w:marRight w:val="0"/>
          <w:marTop w:val="0"/>
          <w:marBottom w:val="0"/>
          <w:divBdr>
            <w:top w:val="none" w:sz="0" w:space="0" w:color="auto"/>
            <w:left w:val="none" w:sz="0" w:space="0" w:color="auto"/>
            <w:bottom w:val="none" w:sz="0" w:space="0" w:color="auto"/>
            <w:right w:val="none" w:sz="0" w:space="0" w:color="auto"/>
          </w:divBdr>
        </w:div>
      </w:divsChild>
    </w:div>
    <w:div w:id="1137798252">
      <w:marLeft w:val="0"/>
      <w:marRight w:val="0"/>
      <w:marTop w:val="120"/>
      <w:marBottom w:val="120"/>
      <w:divBdr>
        <w:top w:val="none" w:sz="0" w:space="0" w:color="auto"/>
        <w:left w:val="none" w:sz="0" w:space="0" w:color="auto"/>
        <w:bottom w:val="none" w:sz="0" w:space="0" w:color="auto"/>
        <w:right w:val="none" w:sz="0" w:space="0" w:color="auto"/>
      </w:divBdr>
    </w:div>
    <w:div w:id="1141271132">
      <w:marLeft w:val="0"/>
      <w:marRight w:val="0"/>
      <w:marTop w:val="0"/>
      <w:marBottom w:val="0"/>
      <w:divBdr>
        <w:top w:val="none" w:sz="0" w:space="0" w:color="auto"/>
        <w:left w:val="none" w:sz="0" w:space="0" w:color="auto"/>
        <w:bottom w:val="none" w:sz="0" w:space="0" w:color="auto"/>
        <w:right w:val="none" w:sz="0" w:space="0" w:color="auto"/>
      </w:divBdr>
      <w:divsChild>
        <w:div w:id="1531801736">
          <w:marLeft w:val="0"/>
          <w:marRight w:val="0"/>
          <w:marTop w:val="0"/>
          <w:marBottom w:val="0"/>
          <w:divBdr>
            <w:top w:val="none" w:sz="0" w:space="0" w:color="auto"/>
            <w:left w:val="none" w:sz="0" w:space="0" w:color="auto"/>
            <w:bottom w:val="none" w:sz="0" w:space="0" w:color="auto"/>
            <w:right w:val="none" w:sz="0" w:space="0" w:color="auto"/>
          </w:divBdr>
        </w:div>
      </w:divsChild>
    </w:div>
    <w:div w:id="1144078861">
      <w:marLeft w:val="0"/>
      <w:marRight w:val="0"/>
      <w:marTop w:val="0"/>
      <w:marBottom w:val="240"/>
      <w:divBdr>
        <w:top w:val="none" w:sz="0" w:space="0" w:color="auto"/>
        <w:left w:val="none" w:sz="0" w:space="0" w:color="auto"/>
        <w:bottom w:val="none" w:sz="0" w:space="0" w:color="auto"/>
        <w:right w:val="none" w:sz="0" w:space="0" w:color="auto"/>
      </w:divBdr>
    </w:div>
    <w:div w:id="1146319597">
      <w:marLeft w:val="0"/>
      <w:marRight w:val="0"/>
      <w:marTop w:val="120"/>
      <w:marBottom w:val="120"/>
      <w:divBdr>
        <w:top w:val="none" w:sz="0" w:space="0" w:color="auto"/>
        <w:left w:val="none" w:sz="0" w:space="0" w:color="auto"/>
        <w:bottom w:val="none" w:sz="0" w:space="0" w:color="auto"/>
        <w:right w:val="none" w:sz="0" w:space="0" w:color="auto"/>
      </w:divBdr>
    </w:div>
    <w:div w:id="1146894681">
      <w:marLeft w:val="0"/>
      <w:marRight w:val="0"/>
      <w:marTop w:val="0"/>
      <w:marBottom w:val="180"/>
      <w:divBdr>
        <w:top w:val="none" w:sz="0" w:space="0" w:color="auto"/>
        <w:left w:val="none" w:sz="0" w:space="0" w:color="auto"/>
        <w:bottom w:val="none" w:sz="0" w:space="0" w:color="auto"/>
        <w:right w:val="none" w:sz="0" w:space="0" w:color="auto"/>
      </w:divBdr>
    </w:div>
    <w:div w:id="1147747426">
      <w:marLeft w:val="0"/>
      <w:marRight w:val="0"/>
      <w:marTop w:val="0"/>
      <w:marBottom w:val="0"/>
      <w:divBdr>
        <w:top w:val="none" w:sz="0" w:space="0" w:color="auto"/>
        <w:left w:val="none" w:sz="0" w:space="0" w:color="auto"/>
        <w:bottom w:val="none" w:sz="0" w:space="0" w:color="auto"/>
        <w:right w:val="none" w:sz="0" w:space="0" w:color="auto"/>
      </w:divBdr>
      <w:divsChild>
        <w:div w:id="449321774">
          <w:marLeft w:val="0"/>
          <w:marRight w:val="0"/>
          <w:marTop w:val="0"/>
          <w:marBottom w:val="0"/>
          <w:divBdr>
            <w:top w:val="none" w:sz="0" w:space="0" w:color="auto"/>
            <w:left w:val="none" w:sz="0" w:space="0" w:color="auto"/>
            <w:bottom w:val="none" w:sz="0" w:space="0" w:color="auto"/>
            <w:right w:val="none" w:sz="0" w:space="0" w:color="auto"/>
          </w:divBdr>
        </w:div>
      </w:divsChild>
    </w:div>
    <w:div w:id="1148284542">
      <w:marLeft w:val="0"/>
      <w:marRight w:val="0"/>
      <w:marTop w:val="120"/>
      <w:marBottom w:val="240"/>
      <w:divBdr>
        <w:top w:val="none" w:sz="0" w:space="0" w:color="auto"/>
        <w:left w:val="none" w:sz="0" w:space="0" w:color="auto"/>
        <w:bottom w:val="none" w:sz="0" w:space="0" w:color="auto"/>
        <w:right w:val="none" w:sz="0" w:space="0" w:color="auto"/>
      </w:divBdr>
    </w:div>
    <w:div w:id="1149714130">
      <w:marLeft w:val="0"/>
      <w:marRight w:val="0"/>
      <w:marTop w:val="0"/>
      <w:marBottom w:val="0"/>
      <w:divBdr>
        <w:top w:val="none" w:sz="0" w:space="0" w:color="auto"/>
        <w:left w:val="none" w:sz="0" w:space="0" w:color="auto"/>
        <w:bottom w:val="none" w:sz="0" w:space="0" w:color="auto"/>
        <w:right w:val="none" w:sz="0" w:space="0" w:color="auto"/>
      </w:divBdr>
    </w:div>
    <w:div w:id="1150826233">
      <w:marLeft w:val="0"/>
      <w:marRight w:val="0"/>
      <w:marTop w:val="120"/>
      <w:marBottom w:val="120"/>
      <w:divBdr>
        <w:top w:val="none" w:sz="0" w:space="0" w:color="auto"/>
        <w:left w:val="none" w:sz="0" w:space="0" w:color="auto"/>
        <w:bottom w:val="none" w:sz="0" w:space="0" w:color="auto"/>
        <w:right w:val="none" w:sz="0" w:space="0" w:color="auto"/>
      </w:divBdr>
    </w:div>
    <w:div w:id="1151943748">
      <w:marLeft w:val="0"/>
      <w:marRight w:val="0"/>
      <w:marTop w:val="0"/>
      <w:marBottom w:val="0"/>
      <w:divBdr>
        <w:top w:val="none" w:sz="0" w:space="0" w:color="auto"/>
        <w:left w:val="none" w:sz="0" w:space="0" w:color="auto"/>
        <w:bottom w:val="none" w:sz="0" w:space="0" w:color="auto"/>
        <w:right w:val="none" w:sz="0" w:space="0" w:color="auto"/>
      </w:divBdr>
      <w:divsChild>
        <w:div w:id="62720282">
          <w:marLeft w:val="0"/>
          <w:marRight w:val="0"/>
          <w:marTop w:val="0"/>
          <w:marBottom w:val="0"/>
          <w:divBdr>
            <w:top w:val="none" w:sz="0" w:space="0" w:color="auto"/>
            <w:left w:val="none" w:sz="0" w:space="0" w:color="auto"/>
            <w:bottom w:val="none" w:sz="0" w:space="0" w:color="auto"/>
            <w:right w:val="none" w:sz="0" w:space="0" w:color="auto"/>
          </w:divBdr>
        </w:div>
      </w:divsChild>
    </w:div>
    <w:div w:id="1152211273">
      <w:marLeft w:val="0"/>
      <w:marRight w:val="0"/>
      <w:marTop w:val="120"/>
      <w:marBottom w:val="120"/>
      <w:divBdr>
        <w:top w:val="none" w:sz="0" w:space="0" w:color="auto"/>
        <w:left w:val="none" w:sz="0" w:space="0" w:color="auto"/>
        <w:bottom w:val="none" w:sz="0" w:space="0" w:color="auto"/>
        <w:right w:val="none" w:sz="0" w:space="0" w:color="auto"/>
      </w:divBdr>
    </w:div>
    <w:div w:id="1154641280">
      <w:marLeft w:val="0"/>
      <w:marRight w:val="0"/>
      <w:marTop w:val="0"/>
      <w:marBottom w:val="180"/>
      <w:divBdr>
        <w:top w:val="none" w:sz="0" w:space="0" w:color="auto"/>
        <w:left w:val="none" w:sz="0" w:space="0" w:color="auto"/>
        <w:bottom w:val="none" w:sz="0" w:space="0" w:color="auto"/>
        <w:right w:val="none" w:sz="0" w:space="0" w:color="auto"/>
      </w:divBdr>
    </w:div>
    <w:div w:id="1156729553">
      <w:marLeft w:val="0"/>
      <w:marRight w:val="0"/>
      <w:marTop w:val="0"/>
      <w:marBottom w:val="0"/>
      <w:divBdr>
        <w:top w:val="none" w:sz="0" w:space="0" w:color="auto"/>
        <w:left w:val="none" w:sz="0" w:space="0" w:color="auto"/>
        <w:bottom w:val="none" w:sz="0" w:space="0" w:color="auto"/>
        <w:right w:val="none" w:sz="0" w:space="0" w:color="auto"/>
      </w:divBdr>
      <w:divsChild>
        <w:div w:id="1115061228">
          <w:marLeft w:val="0"/>
          <w:marRight w:val="0"/>
          <w:marTop w:val="0"/>
          <w:marBottom w:val="0"/>
          <w:divBdr>
            <w:top w:val="none" w:sz="0" w:space="0" w:color="auto"/>
            <w:left w:val="none" w:sz="0" w:space="0" w:color="auto"/>
            <w:bottom w:val="none" w:sz="0" w:space="0" w:color="auto"/>
            <w:right w:val="none" w:sz="0" w:space="0" w:color="auto"/>
          </w:divBdr>
        </w:div>
      </w:divsChild>
    </w:div>
    <w:div w:id="1158183498">
      <w:marLeft w:val="0"/>
      <w:marRight w:val="0"/>
      <w:marTop w:val="0"/>
      <w:marBottom w:val="0"/>
      <w:divBdr>
        <w:top w:val="none" w:sz="0" w:space="0" w:color="auto"/>
        <w:left w:val="none" w:sz="0" w:space="0" w:color="auto"/>
        <w:bottom w:val="none" w:sz="0" w:space="0" w:color="auto"/>
        <w:right w:val="none" w:sz="0" w:space="0" w:color="auto"/>
      </w:divBdr>
      <w:divsChild>
        <w:div w:id="1799568633">
          <w:marLeft w:val="0"/>
          <w:marRight w:val="0"/>
          <w:marTop w:val="0"/>
          <w:marBottom w:val="0"/>
          <w:divBdr>
            <w:top w:val="none" w:sz="0" w:space="0" w:color="auto"/>
            <w:left w:val="none" w:sz="0" w:space="0" w:color="auto"/>
            <w:bottom w:val="none" w:sz="0" w:space="0" w:color="auto"/>
            <w:right w:val="none" w:sz="0" w:space="0" w:color="auto"/>
          </w:divBdr>
        </w:div>
      </w:divsChild>
    </w:div>
    <w:div w:id="1158378968">
      <w:marLeft w:val="0"/>
      <w:marRight w:val="0"/>
      <w:marTop w:val="0"/>
      <w:marBottom w:val="0"/>
      <w:divBdr>
        <w:top w:val="none" w:sz="0" w:space="0" w:color="auto"/>
        <w:left w:val="none" w:sz="0" w:space="0" w:color="auto"/>
        <w:bottom w:val="none" w:sz="0" w:space="0" w:color="auto"/>
        <w:right w:val="none" w:sz="0" w:space="0" w:color="auto"/>
      </w:divBdr>
      <w:divsChild>
        <w:div w:id="2059082826">
          <w:marLeft w:val="0"/>
          <w:marRight w:val="0"/>
          <w:marTop w:val="0"/>
          <w:marBottom w:val="0"/>
          <w:divBdr>
            <w:top w:val="none" w:sz="0" w:space="0" w:color="auto"/>
            <w:left w:val="none" w:sz="0" w:space="0" w:color="auto"/>
            <w:bottom w:val="none" w:sz="0" w:space="0" w:color="auto"/>
            <w:right w:val="none" w:sz="0" w:space="0" w:color="auto"/>
          </w:divBdr>
        </w:div>
      </w:divsChild>
    </w:div>
    <w:div w:id="1159878975">
      <w:marLeft w:val="0"/>
      <w:marRight w:val="0"/>
      <w:marTop w:val="0"/>
      <w:marBottom w:val="240"/>
      <w:divBdr>
        <w:top w:val="none" w:sz="0" w:space="0" w:color="auto"/>
        <w:left w:val="none" w:sz="0" w:space="0" w:color="auto"/>
        <w:bottom w:val="none" w:sz="0" w:space="0" w:color="auto"/>
        <w:right w:val="none" w:sz="0" w:space="0" w:color="auto"/>
      </w:divBdr>
    </w:div>
    <w:div w:id="1160343478">
      <w:marLeft w:val="0"/>
      <w:marRight w:val="0"/>
      <w:marTop w:val="0"/>
      <w:marBottom w:val="180"/>
      <w:divBdr>
        <w:top w:val="none" w:sz="0" w:space="0" w:color="auto"/>
        <w:left w:val="none" w:sz="0" w:space="0" w:color="auto"/>
        <w:bottom w:val="none" w:sz="0" w:space="0" w:color="auto"/>
        <w:right w:val="none" w:sz="0" w:space="0" w:color="auto"/>
      </w:divBdr>
    </w:div>
    <w:div w:id="1161002785">
      <w:marLeft w:val="0"/>
      <w:marRight w:val="0"/>
      <w:marTop w:val="0"/>
      <w:marBottom w:val="0"/>
      <w:divBdr>
        <w:top w:val="none" w:sz="0" w:space="0" w:color="auto"/>
        <w:left w:val="none" w:sz="0" w:space="0" w:color="auto"/>
        <w:bottom w:val="none" w:sz="0" w:space="0" w:color="auto"/>
        <w:right w:val="none" w:sz="0" w:space="0" w:color="auto"/>
      </w:divBdr>
      <w:divsChild>
        <w:div w:id="1665620977">
          <w:marLeft w:val="0"/>
          <w:marRight w:val="0"/>
          <w:marTop w:val="0"/>
          <w:marBottom w:val="0"/>
          <w:divBdr>
            <w:top w:val="none" w:sz="0" w:space="0" w:color="auto"/>
            <w:left w:val="none" w:sz="0" w:space="0" w:color="auto"/>
            <w:bottom w:val="none" w:sz="0" w:space="0" w:color="auto"/>
            <w:right w:val="none" w:sz="0" w:space="0" w:color="auto"/>
          </w:divBdr>
        </w:div>
      </w:divsChild>
    </w:div>
    <w:div w:id="1161384454">
      <w:marLeft w:val="0"/>
      <w:marRight w:val="0"/>
      <w:marTop w:val="0"/>
      <w:marBottom w:val="180"/>
      <w:divBdr>
        <w:top w:val="none" w:sz="0" w:space="0" w:color="auto"/>
        <w:left w:val="none" w:sz="0" w:space="0" w:color="auto"/>
        <w:bottom w:val="none" w:sz="0" w:space="0" w:color="auto"/>
        <w:right w:val="none" w:sz="0" w:space="0" w:color="auto"/>
      </w:divBdr>
    </w:div>
    <w:div w:id="1166476024">
      <w:marLeft w:val="0"/>
      <w:marRight w:val="0"/>
      <w:marTop w:val="180"/>
      <w:marBottom w:val="180"/>
      <w:divBdr>
        <w:top w:val="none" w:sz="0" w:space="0" w:color="auto"/>
        <w:left w:val="none" w:sz="0" w:space="0" w:color="auto"/>
        <w:bottom w:val="none" w:sz="0" w:space="0" w:color="auto"/>
        <w:right w:val="none" w:sz="0" w:space="0" w:color="auto"/>
      </w:divBdr>
    </w:div>
    <w:div w:id="1167012634">
      <w:marLeft w:val="0"/>
      <w:marRight w:val="0"/>
      <w:marTop w:val="0"/>
      <w:marBottom w:val="240"/>
      <w:divBdr>
        <w:top w:val="none" w:sz="0" w:space="0" w:color="auto"/>
        <w:left w:val="none" w:sz="0" w:space="0" w:color="auto"/>
        <w:bottom w:val="none" w:sz="0" w:space="0" w:color="auto"/>
        <w:right w:val="none" w:sz="0" w:space="0" w:color="auto"/>
      </w:divBdr>
    </w:div>
    <w:div w:id="1169709054">
      <w:marLeft w:val="0"/>
      <w:marRight w:val="0"/>
      <w:marTop w:val="0"/>
      <w:marBottom w:val="0"/>
      <w:divBdr>
        <w:top w:val="none" w:sz="0" w:space="0" w:color="auto"/>
        <w:left w:val="none" w:sz="0" w:space="0" w:color="auto"/>
        <w:bottom w:val="none" w:sz="0" w:space="0" w:color="auto"/>
        <w:right w:val="none" w:sz="0" w:space="0" w:color="auto"/>
      </w:divBdr>
    </w:div>
    <w:div w:id="1170752990">
      <w:marLeft w:val="0"/>
      <w:marRight w:val="0"/>
      <w:marTop w:val="0"/>
      <w:marBottom w:val="240"/>
      <w:divBdr>
        <w:top w:val="none" w:sz="0" w:space="0" w:color="auto"/>
        <w:left w:val="none" w:sz="0" w:space="0" w:color="auto"/>
        <w:bottom w:val="none" w:sz="0" w:space="0" w:color="auto"/>
        <w:right w:val="none" w:sz="0" w:space="0" w:color="auto"/>
      </w:divBdr>
    </w:div>
    <w:div w:id="1171675857">
      <w:marLeft w:val="0"/>
      <w:marRight w:val="0"/>
      <w:marTop w:val="0"/>
      <w:marBottom w:val="240"/>
      <w:divBdr>
        <w:top w:val="none" w:sz="0" w:space="0" w:color="auto"/>
        <w:left w:val="none" w:sz="0" w:space="0" w:color="auto"/>
        <w:bottom w:val="none" w:sz="0" w:space="0" w:color="auto"/>
        <w:right w:val="none" w:sz="0" w:space="0" w:color="auto"/>
      </w:divBdr>
    </w:div>
    <w:div w:id="1172451909">
      <w:marLeft w:val="0"/>
      <w:marRight w:val="0"/>
      <w:marTop w:val="0"/>
      <w:marBottom w:val="240"/>
      <w:divBdr>
        <w:top w:val="none" w:sz="0" w:space="0" w:color="auto"/>
        <w:left w:val="none" w:sz="0" w:space="0" w:color="auto"/>
        <w:bottom w:val="none" w:sz="0" w:space="0" w:color="auto"/>
        <w:right w:val="none" w:sz="0" w:space="0" w:color="auto"/>
      </w:divBdr>
    </w:div>
    <w:div w:id="1174149145">
      <w:marLeft w:val="0"/>
      <w:marRight w:val="0"/>
      <w:marTop w:val="180"/>
      <w:marBottom w:val="180"/>
      <w:divBdr>
        <w:top w:val="none" w:sz="0" w:space="0" w:color="auto"/>
        <w:left w:val="none" w:sz="0" w:space="0" w:color="auto"/>
        <w:bottom w:val="none" w:sz="0" w:space="0" w:color="auto"/>
        <w:right w:val="none" w:sz="0" w:space="0" w:color="auto"/>
      </w:divBdr>
      <w:divsChild>
        <w:div w:id="499321135">
          <w:marLeft w:val="0"/>
          <w:marRight w:val="0"/>
          <w:marTop w:val="0"/>
          <w:marBottom w:val="120"/>
          <w:divBdr>
            <w:top w:val="none" w:sz="0" w:space="0" w:color="auto"/>
            <w:left w:val="none" w:sz="0" w:space="0" w:color="auto"/>
            <w:bottom w:val="none" w:sz="0" w:space="0" w:color="auto"/>
            <w:right w:val="none" w:sz="0" w:space="0" w:color="auto"/>
          </w:divBdr>
        </w:div>
        <w:div w:id="1638802410">
          <w:marLeft w:val="0"/>
          <w:marRight w:val="0"/>
          <w:marTop w:val="0"/>
          <w:marBottom w:val="120"/>
          <w:divBdr>
            <w:top w:val="none" w:sz="0" w:space="0" w:color="auto"/>
            <w:left w:val="none" w:sz="0" w:space="0" w:color="auto"/>
            <w:bottom w:val="none" w:sz="0" w:space="0" w:color="auto"/>
            <w:right w:val="none" w:sz="0" w:space="0" w:color="auto"/>
          </w:divBdr>
        </w:div>
      </w:divsChild>
    </w:div>
    <w:div w:id="1177111131">
      <w:marLeft w:val="0"/>
      <w:marRight w:val="0"/>
      <w:marTop w:val="100"/>
      <w:marBottom w:val="100"/>
      <w:divBdr>
        <w:top w:val="none" w:sz="0" w:space="0" w:color="auto"/>
        <w:left w:val="none" w:sz="0" w:space="0" w:color="auto"/>
        <w:bottom w:val="none" w:sz="0" w:space="0" w:color="auto"/>
        <w:right w:val="none" w:sz="0" w:space="0" w:color="auto"/>
      </w:divBdr>
    </w:div>
    <w:div w:id="1177845229">
      <w:marLeft w:val="0"/>
      <w:marRight w:val="0"/>
      <w:marTop w:val="100"/>
      <w:marBottom w:val="0"/>
      <w:divBdr>
        <w:top w:val="none" w:sz="0" w:space="0" w:color="auto"/>
        <w:left w:val="none" w:sz="0" w:space="0" w:color="auto"/>
        <w:bottom w:val="none" w:sz="0" w:space="0" w:color="auto"/>
        <w:right w:val="none" w:sz="0" w:space="0" w:color="auto"/>
      </w:divBdr>
    </w:div>
    <w:div w:id="1178665056">
      <w:marLeft w:val="0"/>
      <w:marRight w:val="0"/>
      <w:marTop w:val="0"/>
      <w:marBottom w:val="240"/>
      <w:divBdr>
        <w:top w:val="none" w:sz="0" w:space="0" w:color="auto"/>
        <w:left w:val="none" w:sz="0" w:space="0" w:color="auto"/>
        <w:bottom w:val="none" w:sz="0" w:space="0" w:color="auto"/>
        <w:right w:val="none" w:sz="0" w:space="0" w:color="auto"/>
      </w:divBdr>
    </w:div>
    <w:div w:id="1182358505">
      <w:marLeft w:val="0"/>
      <w:marRight w:val="0"/>
      <w:marTop w:val="0"/>
      <w:marBottom w:val="0"/>
      <w:divBdr>
        <w:top w:val="none" w:sz="0" w:space="0" w:color="auto"/>
        <w:left w:val="none" w:sz="0" w:space="0" w:color="auto"/>
        <w:bottom w:val="none" w:sz="0" w:space="0" w:color="auto"/>
        <w:right w:val="none" w:sz="0" w:space="0" w:color="auto"/>
      </w:divBdr>
      <w:divsChild>
        <w:div w:id="1920746532">
          <w:marLeft w:val="0"/>
          <w:marRight w:val="0"/>
          <w:marTop w:val="0"/>
          <w:marBottom w:val="0"/>
          <w:divBdr>
            <w:top w:val="none" w:sz="0" w:space="0" w:color="auto"/>
            <w:left w:val="none" w:sz="0" w:space="0" w:color="auto"/>
            <w:bottom w:val="none" w:sz="0" w:space="0" w:color="auto"/>
            <w:right w:val="none" w:sz="0" w:space="0" w:color="auto"/>
          </w:divBdr>
        </w:div>
      </w:divsChild>
    </w:div>
    <w:div w:id="1182745588">
      <w:marLeft w:val="0"/>
      <w:marRight w:val="0"/>
      <w:marTop w:val="60"/>
      <w:marBottom w:val="120"/>
      <w:divBdr>
        <w:top w:val="none" w:sz="0" w:space="0" w:color="auto"/>
        <w:left w:val="none" w:sz="0" w:space="0" w:color="auto"/>
        <w:bottom w:val="none" w:sz="0" w:space="0" w:color="auto"/>
        <w:right w:val="none" w:sz="0" w:space="0" w:color="auto"/>
      </w:divBdr>
    </w:div>
    <w:div w:id="1182819384">
      <w:marLeft w:val="0"/>
      <w:marRight w:val="0"/>
      <w:marTop w:val="180"/>
      <w:marBottom w:val="180"/>
      <w:divBdr>
        <w:top w:val="none" w:sz="0" w:space="0" w:color="auto"/>
        <w:left w:val="none" w:sz="0" w:space="0" w:color="auto"/>
        <w:bottom w:val="none" w:sz="0" w:space="0" w:color="auto"/>
        <w:right w:val="none" w:sz="0" w:space="0" w:color="auto"/>
      </w:divBdr>
    </w:div>
    <w:div w:id="1183517532">
      <w:marLeft w:val="0"/>
      <w:marRight w:val="0"/>
      <w:marTop w:val="0"/>
      <w:marBottom w:val="0"/>
      <w:divBdr>
        <w:top w:val="none" w:sz="0" w:space="0" w:color="auto"/>
        <w:left w:val="none" w:sz="0" w:space="0" w:color="auto"/>
        <w:bottom w:val="none" w:sz="0" w:space="0" w:color="auto"/>
        <w:right w:val="none" w:sz="0" w:space="0" w:color="auto"/>
      </w:divBdr>
    </w:div>
    <w:div w:id="1188373014">
      <w:marLeft w:val="0"/>
      <w:marRight w:val="0"/>
      <w:marTop w:val="0"/>
      <w:marBottom w:val="180"/>
      <w:divBdr>
        <w:top w:val="none" w:sz="0" w:space="0" w:color="auto"/>
        <w:left w:val="none" w:sz="0" w:space="0" w:color="auto"/>
        <w:bottom w:val="none" w:sz="0" w:space="0" w:color="auto"/>
        <w:right w:val="none" w:sz="0" w:space="0" w:color="auto"/>
      </w:divBdr>
    </w:div>
    <w:div w:id="1192379406">
      <w:marLeft w:val="0"/>
      <w:marRight w:val="0"/>
      <w:marTop w:val="0"/>
      <w:marBottom w:val="240"/>
      <w:divBdr>
        <w:top w:val="none" w:sz="0" w:space="0" w:color="auto"/>
        <w:left w:val="none" w:sz="0" w:space="0" w:color="auto"/>
        <w:bottom w:val="none" w:sz="0" w:space="0" w:color="auto"/>
        <w:right w:val="none" w:sz="0" w:space="0" w:color="auto"/>
      </w:divBdr>
    </w:div>
    <w:div w:id="1193113210">
      <w:marLeft w:val="0"/>
      <w:marRight w:val="0"/>
      <w:marTop w:val="120"/>
      <w:marBottom w:val="120"/>
      <w:divBdr>
        <w:top w:val="none" w:sz="0" w:space="0" w:color="auto"/>
        <w:left w:val="none" w:sz="0" w:space="0" w:color="auto"/>
        <w:bottom w:val="none" w:sz="0" w:space="0" w:color="auto"/>
        <w:right w:val="none" w:sz="0" w:space="0" w:color="auto"/>
      </w:divBdr>
    </w:div>
    <w:div w:id="1194421385">
      <w:marLeft w:val="0"/>
      <w:marRight w:val="0"/>
      <w:marTop w:val="120"/>
      <w:marBottom w:val="120"/>
      <w:divBdr>
        <w:top w:val="none" w:sz="0" w:space="0" w:color="auto"/>
        <w:left w:val="none" w:sz="0" w:space="0" w:color="auto"/>
        <w:bottom w:val="none" w:sz="0" w:space="0" w:color="auto"/>
        <w:right w:val="none" w:sz="0" w:space="0" w:color="auto"/>
      </w:divBdr>
    </w:div>
    <w:div w:id="1195266091">
      <w:marLeft w:val="0"/>
      <w:marRight w:val="0"/>
      <w:marTop w:val="0"/>
      <w:marBottom w:val="240"/>
      <w:divBdr>
        <w:top w:val="none" w:sz="0" w:space="0" w:color="auto"/>
        <w:left w:val="none" w:sz="0" w:space="0" w:color="auto"/>
        <w:bottom w:val="none" w:sz="0" w:space="0" w:color="auto"/>
        <w:right w:val="none" w:sz="0" w:space="0" w:color="auto"/>
      </w:divBdr>
    </w:div>
    <w:div w:id="1195384054">
      <w:marLeft w:val="0"/>
      <w:marRight w:val="0"/>
      <w:marTop w:val="0"/>
      <w:marBottom w:val="180"/>
      <w:divBdr>
        <w:top w:val="none" w:sz="0" w:space="0" w:color="auto"/>
        <w:left w:val="none" w:sz="0" w:space="0" w:color="auto"/>
        <w:bottom w:val="none" w:sz="0" w:space="0" w:color="auto"/>
        <w:right w:val="none" w:sz="0" w:space="0" w:color="auto"/>
      </w:divBdr>
    </w:div>
    <w:div w:id="1198855051">
      <w:marLeft w:val="0"/>
      <w:marRight w:val="0"/>
      <w:marTop w:val="0"/>
      <w:marBottom w:val="0"/>
      <w:divBdr>
        <w:top w:val="none" w:sz="0" w:space="0" w:color="auto"/>
        <w:left w:val="none" w:sz="0" w:space="0" w:color="auto"/>
        <w:bottom w:val="none" w:sz="0" w:space="0" w:color="auto"/>
        <w:right w:val="none" w:sz="0" w:space="0" w:color="auto"/>
      </w:divBdr>
    </w:div>
    <w:div w:id="1199467199">
      <w:marLeft w:val="0"/>
      <w:marRight w:val="0"/>
      <w:marTop w:val="120"/>
      <w:marBottom w:val="120"/>
      <w:divBdr>
        <w:top w:val="none" w:sz="0" w:space="0" w:color="auto"/>
        <w:left w:val="none" w:sz="0" w:space="0" w:color="auto"/>
        <w:bottom w:val="none" w:sz="0" w:space="0" w:color="auto"/>
        <w:right w:val="none" w:sz="0" w:space="0" w:color="auto"/>
      </w:divBdr>
    </w:div>
    <w:div w:id="1210337756">
      <w:marLeft w:val="0"/>
      <w:marRight w:val="0"/>
      <w:marTop w:val="0"/>
      <w:marBottom w:val="240"/>
      <w:divBdr>
        <w:top w:val="none" w:sz="0" w:space="0" w:color="auto"/>
        <w:left w:val="none" w:sz="0" w:space="0" w:color="auto"/>
        <w:bottom w:val="none" w:sz="0" w:space="0" w:color="auto"/>
        <w:right w:val="none" w:sz="0" w:space="0" w:color="auto"/>
      </w:divBdr>
    </w:div>
    <w:div w:id="1211721143">
      <w:marLeft w:val="0"/>
      <w:marRight w:val="0"/>
      <w:marTop w:val="0"/>
      <w:marBottom w:val="0"/>
      <w:divBdr>
        <w:top w:val="none" w:sz="0" w:space="0" w:color="auto"/>
        <w:left w:val="none" w:sz="0" w:space="0" w:color="auto"/>
        <w:bottom w:val="none" w:sz="0" w:space="0" w:color="auto"/>
        <w:right w:val="none" w:sz="0" w:space="0" w:color="auto"/>
      </w:divBdr>
    </w:div>
    <w:div w:id="1213539647">
      <w:marLeft w:val="0"/>
      <w:marRight w:val="0"/>
      <w:marTop w:val="0"/>
      <w:marBottom w:val="0"/>
      <w:divBdr>
        <w:top w:val="none" w:sz="0" w:space="0" w:color="auto"/>
        <w:left w:val="none" w:sz="0" w:space="0" w:color="auto"/>
        <w:bottom w:val="none" w:sz="0" w:space="0" w:color="auto"/>
        <w:right w:val="none" w:sz="0" w:space="0" w:color="auto"/>
      </w:divBdr>
      <w:divsChild>
        <w:div w:id="1961254173">
          <w:marLeft w:val="0"/>
          <w:marRight w:val="0"/>
          <w:marTop w:val="0"/>
          <w:marBottom w:val="0"/>
          <w:divBdr>
            <w:top w:val="none" w:sz="0" w:space="0" w:color="auto"/>
            <w:left w:val="none" w:sz="0" w:space="0" w:color="auto"/>
            <w:bottom w:val="none" w:sz="0" w:space="0" w:color="auto"/>
            <w:right w:val="none" w:sz="0" w:space="0" w:color="auto"/>
          </w:divBdr>
        </w:div>
      </w:divsChild>
    </w:div>
    <w:div w:id="1217280549">
      <w:marLeft w:val="0"/>
      <w:marRight w:val="0"/>
      <w:marTop w:val="0"/>
      <w:marBottom w:val="0"/>
      <w:divBdr>
        <w:top w:val="none" w:sz="0" w:space="0" w:color="auto"/>
        <w:left w:val="none" w:sz="0" w:space="0" w:color="auto"/>
        <w:bottom w:val="none" w:sz="0" w:space="0" w:color="auto"/>
        <w:right w:val="none" w:sz="0" w:space="0" w:color="auto"/>
      </w:divBdr>
    </w:div>
    <w:div w:id="1219317430">
      <w:marLeft w:val="0"/>
      <w:marRight w:val="0"/>
      <w:marTop w:val="0"/>
      <w:marBottom w:val="0"/>
      <w:divBdr>
        <w:top w:val="none" w:sz="0" w:space="0" w:color="auto"/>
        <w:left w:val="none" w:sz="0" w:space="0" w:color="auto"/>
        <w:bottom w:val="none" w:sz="0" w:space="0" w:color="auto"/>
        <w:right w:val="none" w:sz="0" w:space="0" w:color="auto"/>
      </w:divBdr>
      <w:divsChild>
        <w:div w:id="1042632111">
          <w:marLeft w:val="0"/>
          <w:marRight w:val="0"/>
          <w:marTop w:val="0"/>
          <w:marBottom w:val="0"/>
          <w:divBdr>
            <w:top w:val="none" w:sz="0" w:space="0" w:color="auto"/>
            <w:left w:val="none" w:sz="0" w:space="0" w:color="auto"/>
            <w:bottom w:val="none" w:sz="0" w:space="0" w:color="auto"/>
            <w:right w:val="none" w:sz="0" w:space="0" w:color="auto"/>
          </w:divBdr>
        </w:div>
      </w:divsChild>
    </w:div>
    <w:div w:id="1219975631">
      <w:marLeft w:val="0"/>
      <w:marRight w:val="0"/>
      <w:marTop w:val="0"/>
      <w:marBottom w:val="0"/>
      <w:divBdr>
        <w:top w:val="none" w:sz="0" w:space="0" w:color="auto"/>
        <w:left w:val="none" w:sz="0" w:space="0" w:color="auto"/>
        <w:bottom w:val="none" w:sz="0" w:space="0" w:color="auto"/>
        <w:right w:val="none" w:sz="0" w:space="0" w:color="auto"/>
      </w:divBdr>
    </w:div>
    <w:div w:id="1220946199">
      <w:marLeft w:val="0"/>
      <w:marRight w:val="0"/>
      <w:marTop w:val="0"/>
      <w:marBottom w:val="0"/>
      <w:divBdr>
        <w:top w:val="none" w:sz="0" w:space="0" w:color="auto"/>
        <w:left w:val="none" w:sz="0" w:space="0" w:color="auto"/>
        <w:bottom w:val="none" w:sz="0" w:space="0" w:color="auto"/>
        <w:right w:val="none" w:sz="0" w:space="0" w:color="auto"/>
      </w:divBdr>
      <w:divsChild>
        <w:div w:id="1707295914">
          <w:marLeft w:val="0"/>
          <w:marRight w:val="0"/>
          <w:marTop w:val="0"/>
          <w:marBottom w:val="0"/>
          <w:divBdr>
            <w:top w:val="none" w:sz="0" w:space="0" w:color="auto"/>
            <w:left w:val="none" w:sz="0" w:space="0" w:color="auto"/>
            <w:bottom w:val="none" w:sz="0" w:space="0" w:color="auto"/>
            <w:right w:val="none" w:sz="0" w:space="0" w:color="auto"/>
          </w:divBdr>
        </w:div>
      </w:divsChild>
    </w:div>
    <w:div w:id="1221819003">
      <w:marLeft w:val="0"/>
      <w:marRight w:val="0"/>
      <w:marTop w:val="120"/>
      <w:marBottom w:val="120"/>
      <w:divBdr>
        <w:top w:val="none" w:sz="0" w:space="0" w:color="auto"/>
        <w:left w:val="none" w:sz="0" w:space="0" w:color="auto"/>
        <w:bottom w:val="none" w:sz="0" w:space="0" w:color="auto"/>
        <w:right w:val="none" w:sz="0" w:space="0" w:color="auto"/>
      </w:divBdr>
    </w:div>
    <w:div w:id="1222013857">
      <w:marLeft w:val="0"/>
      <w:marRight w:val="0"/>
      <w:marTop w:val="100"/>
      <w:marBottom w:val="0"/>
      <w:divBdr>
        <w:top w:val="none" w:sz="0" w:space="0" w:color="auto"/>
        <w:left w:val="none" w:sz="0" w:space="0" w:color="auto"/>
        <w:bottom w:val="none" w:sz="0" w:space="0" w:color="auto"/>
        <w:right w:val="none" w:sz="0" w:space="0" w:color="auto"/>
      </w:divBdr>
    </w:div>
    <w:div w:id="1222325030">
      <w:marLeft w:val="0"/>
      <w:marRight w:val="0"/>
      <w:marTop w:val="0"/>
      <w:marBottom w:val="0"/>
      <w:divBdr>
        <w:top w:val="none" w:sz="0" w:space="0" w:color="auto"/>
        <w:left w:val="none" w:sz="0" w:space="0" w:color="auto"/>
        <w:bottom w:val="none" w:sz="0" w:space="0" w:color="auto"/>
        <w:right w:val="none" w:sz="0" w:space="0" w:color="auto"/>
      </w:divBdr>
      <w:divsChild>
        <w:div w:id="1686516831">
          <w:marLeft w:val="0"/>
          <w:marRight w:val="0"/>
          <w:marTop w:val="0"/>
          <w:marBottom w:val="0"/>
          <w:divBdr>
            <w:top w:val="none" w:sz="0" w:space="0" w:color="auto"/>
            <w:left w:val="none" w:sz="0" w:space="0" w:color="auto"/>
            <w:bottom w:val="none" w:sz="0" w:space="0" w:color="auto"/>
            <w:right w:val="none" w:sz="0" w:space="0" w:color="auto"/>
          </w:divBdr>
        </w:div>
      </w:divsChild>
    </w:div>
    <w:div w:id="1225409088">
      <w:marLeft w:val="0"/>
      <w:marRight w:val="0"/>
      <w:marTop w:val="0"/>
      <w:marBottom w:val="240"/>
      <w:divBdr>
        <w:top w:val="none" w:sz="0" w:space="0" w:color="auto"/>
        <w:left w:val="none" w:sz="0" w:space="0" w:color="auto"/>
        <w:bottom w:val="none" w:sz="0" w:space="0" w:color="auto"/>
        <w:right w:val="none" w:sz="0" w:space="0" w:color="auto"/>
      </w:divBdr>
    </w:div>
    <w:div w:id="1227955062">
      <w:marLeft w:val="0"/>
      <w:marRight w:val="0"/>
      <w:marTop w:val="180"/>
      <w:marBottom w:val="240"/>
      <w:divBdr>
        <w:top w:val="none" w:sz="0" w:space="0" w:color="auto"/>
        <w:left w:val="none" w:sz="0" w:space="0" w:color="auto"/>
        <w:bottom w:val="none" w:sz="0" w:space="0" w:color="auto"/>
        <w:right w:val="none" w:sz="0" w:space="0" w:color="auto"/>
      </w:divBdr>
    </w:div>
    <w:div w:id="1229026752">
      <w:marLeft w:val="0"/>
      <w:marRight w:val="0"/>
      <w:marTop w:val="0"/>
      <w:marBottom w:val="240"/>
      <w:divBdr>
        <w:top w:val="none" w:sz="0" w:space="0" w:color="auto"/>
        <w:left w:val="none" w:sz="0" w:space="0" w:color="auto"/>
        <w:bottom w:val="none" w:sz="0" w:space="0" w:color="auto"/>
        <w:right w:val="none" w:sz="0" w:space="0" w:color="auto"/>
      </w:divBdr>
    </w:div>
    <w:div w:id="1231042166">
      <w:marLeft w:val="0"/>
      <w:marRight w:val="0"/>
      <w:marTop w:val="0"/>
      <w:marBottom w:val="240"/>
      <w:divBdr>
        <w:top w:val="none" w:sz="0" w:space="0" w:color="auto"/>
        <w:left w:val="none" w:sz="0" w:space="0" w:color="auto"/>
        <w:bottom w:val="none" w:sz="0" w:space="0" w:color="auto"/>
        <w:right w:val="none" w:sz="0" w:space="0" w:color="auto"/>
      </w:divBdr>
    </w:div>
    <w:div w:id="1231113078">
      <w:marLeft w:val="0"/>
      <w:marRight w:val="0"/>
      <w:marTop w:val="0"/>
      <w:marBottom w:val="180"/>
      <w:divBdr>
        <w:top w:val="none" w:sz="0" w:space="0" w:color="auto"/>
        <w:left w:val="none" w:sz="0" w:space="0" w:color="auto"/>
        <w:bottom w:val="none" w:sz="0" w:space="0" w:color="auto"/>
        <w:right w:val="none" w:sz="0" w:space="0" w:color="auto"/>
      </w:divBdr>
    </w:div>
    <w:div w:id="1232814469">
      <w:marLeft w:val="0"/>
      <w:marRight w:val="0"/>
      <w:marTop w:val="0"/>
      <w:marBottom w:val="0"/>
      <w:divBdr>
        <w:top w:val="none" w:sz="0" w:space="0" w:color="auto"/>
        <w:left w:val="none" w:sz="0" w:space="0" w:color="auto"/>
        <w:bottom w:val="none" w:sz="0" w:space="0" w:color="auto"/>
        <w:right w:val="none" w:sz="0" w:space="0" w:color="auto"/>
      </w:divBdr>
    </w:div>
    <w:div w:id="1234314790">
      <w:marLeft w:val="0"/>
      <w:marRight w:val="0"/>
      <w:marTop w:val="120"/>
      <w:marBottom w:val="120"/>
      <w:divBdr>
        <w:top w:val="none" w:sz="0" w:space="0" w:color="auto"/>
        <w:left w:val="none" w:sz="0" w:space="0" w:color="auto"/>
        <w:bottom w:val="none" w:sz="0" w:space="0" w:color="auto"/>
        <w:right w:val="none" w:sz="0" w:space="0" w:color="auto"/>
      </w:divBdr>
    </w:div>
    <w:div w:id="1235824324">
      <w:marLeft w:val="0"/>
      <w:marRight w:val="0"/>
      <w:marTop w:val="0"/>
      <w:marBottom w:val="240"/>
      <w:divBdr>
        <w:top w:val="none" w:sz="0" w:space="0" w:color="auto"/>
        <w:left w:val="none" w:sz="0" w:space="0" w:color="auto"/>
        <w:bottom w:val="none" w:sz="0" w:space="0" w:color="auto"/>
        <w:right w:val="none" w:sz="0" w:space="0" w:color="auto"/>
      </w:divBdr>
    </w:div>
    <w:div w:id="1237788638">
      <w:marLeft w:val="0"/>
      <w:marRight w:val="0"/>
      <w:marTop w:val="120"/>
      <w:marBottom w:val="180"/>
      <w:divBdr>
        <w:top w:val="none" w:sz="0" w:space="0" w:color="auto"/>
        <w:left w:val="none" w:sz="0" w:space="0" w:color="auto"/>
        <w:bottom w:val="none" w:sz="0" w:space="0" w:color="auto"/>
        <w:right w:val="none" w:sz="0" w:space="0" w:color="auto"/>
      </w:divBdr>
    </w:div>
    <w:div w:id="1238130154">
      <w:marLeft w:val="0"/>
      <w:marRight w:val="0"/>
      <w:marTop w:val="0"/>
      <w:marBottom w:val="180"/>
      <w:divBdr>
        <w:top w:val="none" w:sz="0" w:space="0" w:color="auto"/>
        <w:left w:val="none" w:sz="0" w:space="0" w:color="auto"/>
        <w:bottom w:val="none" w:sz="0" w:space="0" w:color="auto"/>
        <w:right w:val="none" w:sz="0" w:space="0" w:color="auto"/>
      </w:divBdr>
    </w:div>
    <w:div w:id="1238982851">
      <w:marLeft w:val="0"/>
      <w:marRight w:val="0"/>
      <w:marTop w:val="0"/>
      <w:marBottom w:val="0"/>
      <w:divBdr>
        <w:top w:val="none" w:sz="0" w:space="0" w:color="auto"/>
        <w:left w:val="none" w:sz="0" w:space="0" w:color="auto"/>
        <w:bottom w:val="none" w:sz="0" w:space="0" w:color="auto"/>
        <w:right w:val="none" w:sz="0" w:space="0" w:color="auto"/>
      </w:divBdr>
    </w:div>
    <w:div w:id="1239364204">
      <w:marLeft w:val="0"/>
      <w:marRight w:val="0"/>
      <w:marTop w:val="120"/>
      <w:marBottom w:val="120"/>
      <w:divBdr>
        <w:top w:val="none" w:sz="0" w:space="0" w:color="auto"/>
        <w:left w:val="none" w:sz="0" w:space="0" w:color="auto"/>
        <w:bottom w:val="none" w:sz="0" w:space="0" w:color="auto"/>
        <w:right w:val="none" w:sz="0" w:space="0" w:color="auto"/>
      </w:divBdr>
    </w:div>
    <w:div w:id="1240214049">
      <w:marLeft w:val="0"/>
      <w:marRight w:val="0"/>
      <w:marTop w:val="120"/>
      <w:marBottom w:val="120"/>
      <w:divBdr>
        <w:top w:val="none" w:sz="0" w:space="0" w:color="auto"/>
        <w:left w:val="none" w:sz="0" w:space="0" w:color="auto"/>
        <w:bottom w:val="none" w:sz="0" w:space="0" w:color="auto"/>
        <w:right w:val="none" w:sz="0" w:space="0" w:color="auto"/>
      </w:divBdr>
    </w:div>
    <w:div w:id="1240795408">
      <w:marLeft w:val="0"/>
      <w:marRight w:val="0"/>
      <w:marTop w:val="0"/>
      <w:marBottom w:val="0"/>
      <w:divBdr>
        <w:top w:val="none" w:sz="0" w:space="0" w:color="auto"/>
        <w:left w:val="none" w:sz="0" w:space="0" w:color="auto"/>
        <w:bottom w:val="none" w:sz="0" w:space="0" w:color="auto"/>
        <w:right w:val="none" w:sz="0" w:space="0" w:color="auto"/>
      </w:divBdr>
      <w:divsChild>
        <w:div w:id="1520503817">
          <w:marLeft w:val="0"/>
          <w:marRight w:val="0"/>
          <w:marTop w:val="0"/>
          <w:marBottom w:val="0"/>
          <w:divBdr>
            <w:top w:val="none" w:sz="0" w:space="0" w:color="auto"/>
            <w:left w:val="none" w:sz="0" w:space="0" w:color="auto"/>
            <w:bottom w:val="none" w:sz="0" w:space="0" w:color="auto"/>
            <w:right w:val="none" w:sz="0" w:space="0" w:color="auto"/>
          </w:divBdr>
        </w:div>
      </w:divsChild>
    </w:div>
    <w:div w:id="1244030292">
      <w:marLeft w:val="0"/>
      <w:marRight w:val="0"/>
      <w:marTop w:val="0"/>
      <w:marBottom w:val="180"/>
      <w:divBdr>
        <w:top w:val="none" w:sz="0" w:space="0" w:color="auto"/>
        <w:left w:val="none" w:sz="0" w:space="0" w:color="auto"/>
        <w:bottom w:val="none" w:sz="0" w:space="0" w:color="auto"/>
        <w:right w:val="none" w:sz="0" w:space="0" w:color="auto"/>
      </w:divBdr>
    </w:div>
    <w:div w:id="1245384507">
      <w:marLeft w:val="0"/>
      <w:marRight w:val="0"/>
      <w:marTop w:val="0"/>
      <w:marBottom w:val="0"/>
      <w:divBdr>
        <w:top w:val="none" w:sz="0" w:space="0" w:color="auto"/>
        <w:left w:val="none" w:sz="0" w:space="0" w:color="auto"/>
        <w:bottom w:val="none" w:sz="0" w:space="0" w:color="auto"/>
        <w:right w:val="none" w:sz="0" w:space="0" w:color="auto"/>
      </w:divBdr>
      <w:divsChild>
        <w:div w:id="2053536869">
          <w:marLeft w:val="0"/>
          <w:marRight w:val="0"/>
          <w:marTop w:val="0"/>
          <w:marBottom w:val="0"/>
          <w:divBdr>
            <w:top w:val="none" w:sz="0" w:space="0" w:color="auto"/>
            <w:left w:val="none" w:sz="0" w:space="0" w:color="auto"/>
            <w:bottom w:val="none" w:sz="0" w:space="0" w:color="auto"/>
            <w:right w:val="none" w:sz="0" w:space="0" w:color="auto"/>
          </w:divBdr>
        </w:div>
      </w:divsChild>
    </w:div>
    <w:div w:id="1250045456">
      <w:marLeft w:val="0"/>
      <w:marRight w:val="0"/>
      <w:marTop w:val="0"/>
      <w:marBottom w:val="180"/>
      <w:divBdr>
        <w:top w:val="none" w:sz="0" w:space="0" w:color="auto"/>
        <w:left w:val="none" w:sz="0" w:space="0" w:color="auto"/>
        <w:bottom w:val="none" w:sz="0" w:space="0" w:color="auto"/>
        <w:right w:val="none" w:sz="0" w:space="0" w:color="auto"/>
      </w:divBdr>
    </w:div>
    <w:div w:id="1252279078">
      <w:marLeft w:val="0"/>
      <w:marRight w:val="0"/>
      <w:marTop w:val="0"/>
      <w:marBottom w:val="0"/>
      <w:divBdr>
        <w:top w:val="none" w:sz="0" w:space="0" w:color="auto"/>
        <w:left w:val="none" w:sz="0" w:space="0" w:color="auto"/>
        <w:bottom w:val="none" w:sz="0" w:space="0" w:color="auto"/>
        <w:right w:val="none" w:sz="0" w:space="0" w:color="auto"/>
      </w:divBdr>
      <w:divsChild>
        <w:div w:id="813639081">
          <w:marLeft w:val="0"/>
          <w:marRight w:val="0"/>
          <w:marTop w:val="0"/>
          <w:marBottom w:val="0"/>
          <w:divBdr>
            <w:top w:val="none" w:sz="0" w:space="0" w:color="auto"/>
            <w:left w:val="none" w:sz="0" w:space="0" w:color="auto"/>
            <w:bottom w:val="none" w:sz="0" w:space="0" w:color="auto"/>
            <w:right w:val="none" w:sz="0" w:space="0" w:color="auto"/>
          </w:divBdr>
        </w:div>
      </w:divsChild>
    </w:div>
    <w:div w:id="1252665600">
      <w:marLeft w:val="0"/>
      <w:marRight w:val="0"/>
      <w:marTop w:val="0"/>
      <w:marBottom w:val="0"/>
      <w:divBdr>
        <w:top w:val="none" w:sz="0" w:space="0" w:color="auto"/>
        <w:left w:val="none" w:sz="0" w:space="0" w:color="auto"/>
        <w:bottom w:val="none" w:sz="0" w:space="0" w:color="auto"/>
        <w:right w:val="none" w:sz="0" w:space="0" w:color="auto"/>
      </w:divBdr>
    </w:div>
    <w:div w:id="1253516186">
      <w:marLeft w:val="0"/>
      <w:marRight w:val="0"/>
      <w:marTop w:val="0"/>
      <w:marBottom w:val="240"/>
      <w:divBdr>
        <w:top w:val="none" w:sz="0" w:space="0" w:color="auto"/>
        <w:left w:val="none" w:sz="0" w:space="0" w:color="auto"/>
        <w:bottom w:val="none" w:sz="0" w:space="0" w:color="auto"/>
        <w:right w:val="none" w:sz="0" w:space="0" w:color="auto"/>
      </w:divBdr>
    </w:div>
    <w:div w:id="1253585625">
      <w:marLeft w:val="0"/>
      <w:marRight w:val="0"/>
      <w:marTop w:val="0"/>
      <w:marBottom w:val="0"/>
      <w:divBdr>
        <w:top w:val="none" w:sz="0" w:space="0" w:color="auto"/>
        <w:left w:val="none" w:sz="0" w:space="0" w:color="auto"/>
        <w:bottom w:val="none" w:sz="0" w:space="0" w:color="auto"/>
        <w:right w:val="none" w:sz="0" w:space="0" w:color="auto"/>
      </w:divBdr>
    </w:div>
    <w:div w:id="1255479120">
      <w:marLeft w:val="0"/>
      <w:marRight w:val="0"/>
      <w:marTop w:val="0"/>
      <w:marBottom w:val="0"/>
      <w:divBdr>
        <w:top w:val="none" w:sz="0" w:space="0" w:color="auto"/>
        <w:left w:val="none" w:sz="0" w:space="0" w:color="auto"/>
        <w:bottom w:val="none" w:sz="0" w:space="0" w:color="auto"/>
        <w:right w:val="none" w:sz="0" w:space="0" w:color="auto"/>
      </w:divBdr>
      <w:divsChild>
        <w:div w:id="75247821">
          <w:marLeft w:val="0"/>
          <w:marRight w:val="0"/>
          <w:marTop w:val="0"/>
          <w:marBottom w:val="0"/>
          <w:divBdr>
            <w:top w:val="none" w:sz="0" w:space="0" w:color="auto"/>
            <w:left w:val="none" w:sz="0" w:space="0" w:color="auto"/>
            <w:bottom w:val="none" w:sz="0" w:space="0" w:color="auto"/>
            <w:right w:val="none" w:sz="0" w:space="0" w:color="auto"/>
          </w:divBdr>
        </w:div>
      </w:divsChild>
    </w:div>
    <w:div w:id="1256012626">
      <w:marLeft w:val="0"/>
      <w:marRight w:val="0"/>
      <w:marTop w:val="0"/>
      <w:marBottom w:val="240"/>
      <w:divBdr>
        <w:top w:val="none" w:sz="0" w:space="0" w:color="auto"/>
        <w:left w:val="none" w:sz="0" w:space="0" w:color="auto"/>
        <w:bottom w:val="none" w:sz="0" w:space="0" w:color="auto"/>
        <w:right w:val="none" w:sz="0" w:space="0" w:color="auto"/>
      </w:divBdr>
    </w:div>
    <w:div w:id="1256792463">
      <w:marLeft w:val="0"/>
      <w:marRight w:val="0"/>
      <w:marTop w:val="120"/>
      <w:marBottom w:val="120"/>
      <w:divBdr>
        <w:top w:val="none" w:sz="0" w:space="0" w:color="auto"/>
        <w:left w:val="none" w:sz="0" w:space="0" w:color="auto"/>
        <w:bottom w:val="none" w:sz="0" w:space="0" w:color="auto"/>
        <w:right w:val="none" w:sz="0" w:space="0" w:color="auto"/>
      </w:divBdr>
    </w:div>
    <w:div w:id="1259829407">
      <w:marLeft w:val="0"/>
      <w:marRight w:val="0"/>
      <w:marTop w:val="0"/>
      <w:marBottom w:val="0"/>
      <w:divBdr>
        <w:top w:val="none" w:sz="0" w:space="0" w:color="auto"/>
        <w:left w:val="none" w:sz="0" w:space="0" w:color="auto"/>
        <w:bottom w:val="none" w:sz="0" w:space="0" w:color="auto"/>
        <w:right w:val="none" w:sz="0" w:space="0" w:color="auto"/>
      </w:divBdr>
    </w:div>
    <w:div w:id="1260093112">
      <w:marLeft w:val="0"/>
      <w:marRight w:val="0"/>
      <w:marTop w:val="100"/>
      <w:marBottom w:val="0"/>
      <w:divBdr>
        <w:top w:val="none" w:sz="0" w:space="0" w:color="auto"/>
        <w:left w:val="none" w:sz="0" w:space="0" w:color="auto"/>
        <w:bottom w:val="none" w:sz="0" w:space="0" w:color="auto"/>
        <w:right w:val="none" w:sz="0" w:space="0" w:color="auto"/>
      </w:divBdr>
    </w:div>
    <w:div w:id="1262449583">
      <w:marLeft w:val="0"/>
      <w:marRight w:val="0"/>
      <w:marTop w:val="120"/>
      <w:marBottom w:val="120"/>
      <w:divBdr>
        <w:top w:val="none" w:sz="0" w:space="0" w:color="auto"/>
        <w:left w:val="none" w:sz="0" w:space="0" w:color="auto"/>
        <w:bottom w:val="none" w:sz="0" w:space="0" w:color="auto"/>
        <w:right w:val="none" w:sz="0" w:space="0" w:color="auto"/>
      </w:divBdr>
    </w:div>
    <w:div w:id="1265192378">
      <w:marLeft w:val="0"/>
      <w:marRight w:val="0"/>
      <w:marTop w:val="120"/>
      <w:marBottom w:val="120"/>
      <w:divBdr>
        <w:top w:val="none" w:sz="0" w:space="0" w:color="auto"/>
        <w:left w:val="none" w:sz="0" w:space="0" w:color="auto"/>
        <w:bottom w:val="none" w:sz="0" w:space="0" w:color="auto"/>
        <w:right w:val="none" w:sz="0" w:space="0" w:color="auto"/>
      </w:divBdr>
    </w:div>
    <w:div w:id="1269237752">
      <w:marLeft w:val="0"/>
      <w:marRight w:val="0"/>
      <w:marTop w:val="0"/>
      <w:marBottom w:val="0"/>
      <w:divBdr>
        <w:top w:val="none" w:sz="0" w:space="0" w:color="auto"/>
        <w:left w:val="none" w:sz="0" w:space="0" w:color="auto"/>
        <w:bottom w:val="none" w:sz="0" w:space="0" w:color="auto"/>
        <w:right w:val="none" w:sz="0" w:space="0" w:color="auto"/>
      </w:divBdr>
    </w:div>
    <w:div w:id="1269504624">
      <w:marLeft w:val="0"/>
      <w:marRight w:val="0"/>
      <w:marTop w:val="180"/>
      <w:marBottom w:val="180"/>
      <w:divBdr>
        <w:top w:val="none" w:sz="0" w:space="0" w:color="auto"/>
        <w:left w:val="none" w:sz="0" w:space="0" w:color="auto"/>
        <w:bottom w:val="none" w:sz="0" w:space="0" w:color="auto"/>
        <w:right w:val="none" w:sz="0" w:space="0" w:color="auto"/>
      </w:divBdr>
    </w:div>
    <w:div w:id="1270115558">
      <w:marLeft w:val="0"/>
      <w:marRight w:val="0"/>
      <w:marTop w:val="0"/>
      <w:marBottom w:val="0"/>
      <w:divBdr>
        <w:top w:val="none" w:sz="0" w:space="0" w:color="auto"/>
        <w:left w:val="none" w:sz="0" w:space="0" w:color="auto"/>
        <w:bottom w:val="none" w:sz="0" w:space="0" w:color="auto"/>
        <w:right w:val="none" w:sz="0" w:space="0" w:color="auto"/>
      </w:divBdr>
      <w:divsChild>
        <w:div w:id="261643065">
          <w:marLeft w:val="0"/>
          <w:marRight w:val="0"/>
          <w:marTop w:val="0"/>
          <w:marBottom w:val="0"/>
          <w:divBdr>
            <w:top w:val="none" w:sz="0" w:space="0" w:color="auto"/>
            <w:left w:val="none" w:sz="0" w:space="0" w:color="auto"/>
            <w:bottom w:val="none" w:sz="0" w:space="0" w:color="auto"/>
            <w:right w:val="none" w:sz="0" w:space="0" w:color="auto"/>
          </w:divBdr>
        </w:div>
      </w:divsChild>
    </w:div>
    <w:div w:id="1271471548">
      <w:marLeft w:val="0"/>
      <w:marRight w:val="0"/>
      <w:marTop w:val="0"/>
      <w:marBottom w:val="180"/>
      <w:divBdr>
        <w:top w:val="none" w:sz="0" w:space="0" w:color="auto"/>
        <w:left w:val="none" w:sz="0" w:space="0" w:color="auto"/>
        <w:bottom w:val="none" w:sz="0" w:space="0" w:color="auto"/>
        <w:right w:val="none" w:sz="0" w:space="0" w:color="auto"/>
      </w:divBdr>
    </w:div>
    <w:div w:id="1272588158">
      <w:marLeft w:val="0"/>
      <w:marRight w:val="0"/>
      <w:marTop w:val="0"/>
      <w:marBottom w:val="180"/>
      <w:divBdr>
        <w:top w:val="none" w:sz="0" w:space="0" w:color="auto"/>
        <w:left w:val="none" w:sz="0" w:space="0" w:color="auto"/>
        <w:bottom w:val="none" w:sz="0" w:space="0" w:color="auto"/>
        <w:right w:val="none" w:sz="0" w:space="0" w:color="auto"/>
      </w:divBdr>
    </w:div>
    <w:div w:id="1272711237">
      <w:marLeft w:val="0"/>
      <w:marRight w:val="0"/>
      <w:marTop w:val="0"/>
      <w:marBottom w:val="0"/>
      <w:divBdr>
        <w:top w:val="none" w:sz="0" w:space="0" w:color="auto"/>
        <w:left w:val="none" w:sz="0" w:space="0" w:color="auto"/>
        <w:bottom w:val="none" w:sz="0" w:space="0" w:color="auto"/>
        <w:right w:val="none" w:sz="0" w:space="0" w:color="auto"/>
      </w:divBdr>
    </w:div>
    <w:div w:id="1274052241">
      <w:marLeft w:val="0"/>
      <w:marRight w:val="0"/>
      <w:marTop w:val="0"/>
      <w:marBottom w:val="240"/>
      <w:divBdr>
        <w:top w:val="none" w:sz="0" w:space="0" w:color="auto"/>
        <w:left w:val="none" w:sz="0" w:space="0" w:color="auto"/>
        <w:bottom w:val="none" w:sz="0" w:space="0" w:color="auto"/>
        <w:right w:val="none" w:sz="0" w:space="0" w:color="auto"/>
      </w:divBdr>
    </w:div>
    <w:div w:id="1274820169">
      <w:marLeft w:val="0"/>
      <w:marRight w:val="0"/>
      <w:marTop w:val="0"/>
      <w:marBottom w:val="0"/>
      <w:divBdr>
        <w:top w:val="none" w:sz="0" w:space="0" w:color="auto"/>
        <w:left w:val="none" w:sz="0" w:space="0" w:color="auto"/>
        <w:bottom w:val="none" w:sz="0" w:space="0" w:color="auto"/>
        <w:right w:val="none" w:sz="0" w:space="0" w:color="auto"/>
      </w:divBdr>
    </w:div>
    <w:div w:id="1275669221">
      <w:marLeft w:val="0"/>
      <w:marRight w:val="0"/>
      <w:marTop w:val="0"/>
      <w:marBottom w:val="0"/>
      <w:divBdr>
        <w:top w:val="none" w:sz="0" w:space="0" w:color="auto"/>
        <w:left w:val="none" w:sz="0" w:space="0" w:color="auto"/>
        <w:bottom w:val="none" w:sz="0" w:space="0" w:color="auto"/>
        <w:right w:val="none" w:sz="0" w:space="0" w:color="auto"/>
      </w:divBdr>
    </w:div>
    <w:div w:id="1275941544">
      <w:marLeft w:val="0"/>
      <w:marRight w:val="0"/>
      <w:marTop w:val="0"/>
      <w:marBottom w:val="0"/>
      <w:divBdr>
        <w:top w:val="none" w:sz="0" w:space="0" w:color="auto"/>
        <w:left w:val="none" w:sz="0" w:space="0" w:color="auto"/>
        <w:bottom w:val="none" w:sz="0" w:space="0" w:color="auto"/>
        <w:right w:val="none" w:sz="0" w:space="0" w:color="auto"/>
      </w:divBdr>
      <w:divsChild>
        <w:div w:id="1518305114">
          <w:marLeft w:val="0"/>
          <w:marRight w:val="0"/>
          <w:marTop w:val="0"/>
          <w:marBottom w:val="0"/>
          <w:divBdr>
            <w:top w:val="none" w:sz="0" w:space="0" w:color="auto"/>
            <w:left w:val="none" w:sz="0" w:space="0" w:color="auto"/>
            <w:bottom w:val="none" w:sz="0" w:space="0" w:color="auto"/>
            <w:right w:val="none" w:sz="0" w:space="0" w:color="auto"/>
          </w:divBdr>
        </w:div>
      </w:divsChild>
    </w:div>
    <w:div w:id="1277130216">
      <w:marLeft w:val="0"/>
      <w:marRight w:val="0"/>
      <w:marTop w:val="0"/>
      <w:marBottom w:val="240"/>
      <w:divBdr>
        <w:top w:val="none" w:sz="0" w:space="0" w:color="auto"/>
        <w:left w:val="none" w:sz="0" w:space="0" w:color="auto"/>
        <w:bottom w:val="none" w:sz="0" w:space="0" w:color="auto"/>
        <w:right w:val="none" w:sz="0" w:space="0" w:color="auto"/>
      </w:divBdr>
    </w:div>
    <w:div w:id="1277983324">
      <w:marLeft w:val="0"/>
      <w:marRight w:val="0"/>
      <w:marTop w:val="0"/>
      <w:marBottom w:val="240"/>
      <w:divBdr>
        <w:top w:val="none" w:sz="0" w:space="0" w:color="auto"/>
        <w:left w:val="none" w:sz="0" w:space="0" w:color="auto"/>
        <w:bottom w:val="none" w:sz="0" w:space="0" w:color="auto"/>
        <w:right w:val="none" w:sz="0" w:space="0" w:color="auto"/>
      </w:divBdr>
    </w:div>
    <w:div w:id="1279027613">
      <w:marLeft w:val="0"/>
      <w:marRight w:val="0"/>
      <w:marTop w:val="0"/>
      <w:marBottom w:val="0"/>
      <w:divBdr>
        <w:top w:val="none" w:sz="0" w:space="0" w:color="auto"/>
        <w:left w:val="none" w:sz="0" w:space="0" w:color="auto"/>
        <w:bottom w:val="none" w:sz="0" w:space="0" w:color="auto"/>
        <w:right w:val="none" w:sz="0" w:space="0" w:color="auto"/>
      </w:divBdr>
    </w:div>
    <w:div w:id="1279987971">
      <w:marLeft w:val="0"/>
      <w:marRight w:val="0"/>
      <w:marTop w:val="0"/>
      <w:marBottom w:val="0"/>
      <w:divBdr>
        <w:top w:val="none" w:sz="0" w:space="0" w:color="auto"/>
        <w:left w:val="none" w:sz="0" w:space="0" w:color="auto"/>
        <w:bottom w:val="none" w:sz="0" w:space="0" w:color="auto"/>
        <w:right w:val="none" w:sz="0" w:space="0" w:color="auto"/>
      </w:divBdr>
    </w:div>
    <w:div w:id="1280379898">
      <w:marLeft w:val="0"/>
      <w:marRight w:val="0"/>
      <w:marTop w:val="0"/>
      <w:marBottom w:val="180"/>
      <w:divBdr>
        <w:top w:val="none" w:sz="0" w:space="0" w:color="auto"/>
        <w:left w:val="none" w:sz="0" w:space="0" w:color="auto"/>
        <w:bottom w:val="none" w:sz="0" w:space="0" w:color="auto"/>
        <w:right w:val="none" w:sz="0" w:space="0" w:color="auto"/>
      </w:divBdr>
    </w:div>
    <w:div w:id="1281381413">
      <w:marLeft w:val="0"/>
      <w:marRight w:val="0"/>
      <w:marTop w:val="100"/>
      <w:marBottom w:val="0"/>
      <w:divBdr>
        <w:top w:val="none" w:sz="0" w:space="0" w:color="auto"/>
        <w:left w:val="none" w:sz="0" w:space="0" w:color="auto"/>
        <w:bottom w:val="none" w:sz="0" w:space="0" w:color="auto"/>
        <w:right w:val="none" w:sz="0" w:space="0" w:color="auto"/>
      </w:divBdr>
    </w:div>
    <w:div w:id="1283030909">
      <w:marLeft w:val="0"/>
      <w:marRight w:val="0"/>
      <w:marTop w:val="100"/>
      <w:marBottom w:val="0"/>
      <w:divBdr>
        <w:top w:val="none" w:sz="0" w:space="0" w:color="auto"/>
        <w:left w:val="none" w:sz="0" w:space="0" w:color="auto"/>
        <w:bottom w:val="none" w:sz="0" w:space="0" w:color="auto"/>
        <w:right w:val="none" w:sz="0" w:space="0" w:color="auto"/>
      </w:divBdr>
    </w:div>
    <w:div w:id="1284650483">
      <w:marLeft w:val="0"/>
      <w:marRight w:val="0"/>
      <w:marTop w:val="0"/>
      <w:marBottom w:val="0"/>
      <w:divBdr>
        <w:top w:val="none" w:sz="0" w:space="0" w:color="auto"/>
        <w:left w:val="none" w:sz="0" w:space="0" w:color="auto"/>
        <w:bottom w:val="none" w:sz="0" w:space="0" w:color="auto"/>
        <w:right w:val="none" w:sz="0" w:space="0" w:color="auto"/>
      </w:divBdr>
    </w:div>
    <w:div w:id="1285848571">
      <w:marLeft w:val="0"/>
      <w:marRight w:val="0"/>
      <w:marTop w:val="0"/>
      <w:marBottom w:val="0"/>
      <w:divBdr>
        <w:top w:val="none" w:sz="0" w:space="0" w:color="auto"/>
        <w:left w:val="none" w:sz="0" w:space="0" w:color="auto"/>
        <w:bottom w:val="none" w:sz="0" w:space="0" w:color="auto"/>
        <w:right w:val="none" w:sz="0" w:space="0" w:color="auto"/>
      </w:divBdr>
      <w:divsChild>
        <w:div w:id="840780243">
          <w:marLeft w:val="0"/>
          <w:marRight w:val="0"/>
          <w:marTop w:val="0"/>
          <w:marBottom w:val="0"/>
          <w:divBdr>
            <w:top w:val="none" w:sz="0" w:space="0" w:color="auto"/>
            <w:left w:val="none" w:sz="0" w:space="0" w:color="auto"/>
            <w:bottom w:val="none" w:sz="0" w:space="0" w:color="auto"/>
            <w:right w:val="none" w:sz="0" w:space="0" w:color="auto"/>
          </w:divBdr>
        </w:div>
      </w:divsChild>
    </w:div>
    <w:div w:id="1290164715">
      <w:marLeft w:val="0"/>
      <w:marRight w:val="0"/>
      <w:marTop w:val="0"/>
      <w:marBottom w:val="60"/>
      <w:divBdr>
        <w:top w:val="none" w:sz="0" w:space="0" w:color="auto"/>
        <w:left w:val="none" w:sz="0" w:space="0" w:color="auto"/>
        <w:bottom w:val="none" w:sz="0" w:space="0" w:color="auto"/>
        <w:right w:val="none" w:sz="0" w:space="0" w:color="auto"/>
      </w:divBdr>
    </w:div>
    <w:div w:id="1290893544">
      <w:marLeft w:val="0"/>
      <w:marRight w:val="0"/>
      <w:marTop w:val="0"/>
      <w:marBottom w:val="0"/>
      <w:divBdr>
        <w:top w:val="none" w:sz="0" w:space="0" w:color="auto"/>
        <w:left w:val="none" w:sz="0" w:space="0" w:color="auto"/>
        <w:bottom w:val="none" w:sz="0" w:space="0" w:color="auto"/>
        <w:right w:val="none" w:sz="0" w:space="0" w:color="auto"/>
      </w:divBdr>
    </w:div>
    <w:div w:id="1291666696">
      <w:marLeft w:val="0"/>
      <w:marRight w:val="0"/>
      <w:marTop w:val="0"/>
      <w:marBottom w:val="0"/>
      <w:divBdr>
        <w:top w:val="none" w:sz="0" w:space="0" w:color="auto"/>
        <w:left w:val="none" w:sz="0" w:space="0" w:color="auto"/>
        <w:bottom w:val="none" w:sz="0" w:space="0" w:color="auto"/>
        <w:right w:val="none" w:sz="0" w:space="0" w:color="auto"/>
      </w:divBdr>
      <w:divsChild>
        <w:div w:id="427238107">
          <w:marLeft w:val="0"/>
          <w:marRight w:val="0"/>
          <w:marTop w:val="0"/>
          <w:marBottom w:val="0"/>
          <w:divBdr>
            <w:top w:val="none" w:sz="0" w:space="0" w:color="auto"/>
            <w:left w:val="none" w:sz="0" w:space="0" w:color="auto"/>
            <w:bottom w:val="none" w:sz="0" w:space="0" w:color="auto"/>
            <w:right w:val="none" w:sz="0" w:space="0" w:color="auto"/>
          </w:divBdr>
        </w:div>
      </w:divsChild>
    </w:div>
    <w:div w:id="1295864154">
      <w:marLeft w:val="0"/>
      <w:marRight w:val="0"/>
      <w:marTop w:val="0"/>
      <w:marBottom w:val="0"/>
      <w:divBdr>
        <w:top w:val="none" w:sz="0" w:space="0" w:color="auto"/>
        <w:left w:val="none" w:sz="0" w:space="0" w:color="auto"/>
        <w:bottom w:val="none" w:sz="0" w:space="0" w:color="auto"/>
        <w:right w:val="none" w:sz="0" w:space="0" w:color="auto"/>
      </w:divBdr>
    </w:div>
    <w:div w:id="1300768601">
      <w:marLeft w:val="0"/>
      <w:marRight w:val="0"/>
      <w:marTop w:val="0"/>
      <w:marBottom w:val="0"/>
      <w:divBdr>
        <w:top w:val="none" w:sz="0" w:space="0" w:color="auto"/>
        <w:left w:val="none" w:sz="0" w:space="0" w:color="auto"/>
        <w:bottom w:val="none" w:sz="0" w:space="0" w:color="auto"/>
        <w:right w:val="none" w:sz="0" w:space="0" w:color="auto"/>
      </w:divBdr>
      <w:divsChild>
        <w:div w:id="887111783">
          <w:marLeft w:val="0"/>
          <w:marRight w:val="0"/>
          <w:marTop w:val="0"/>
          <w:marBottom w:val="0"/>
          <w:divBdr>
            <w:top w:val="none" w:sz="0" w:space="0" w:color="auto"/>
            <w:left w:val="none" w:sz="0" w:space="0" w:color="auto"/>
            <w:bottom w:val="none" w:sz="0" w:space="0" w:color="auto"/>
            <w:right w:val="none" w:sz="0" w:space="0" w:color="auto"/>
          </w:divBdr>
        </w:div>
      </w:divsChild>
    </w:div>
    <w:div w:id="1301956997">
      <w:marLeft w:val="0"/>
      <w:marRight w:val="0"/>
      <w:marTop w:val="0"/>
      <w:marBottom w:val="180"/>
      <w:divBdr>
        <w:top w:val="none" w:sz="0" w:space="0" w:color="auto"/>
        <w:left w:val="none" w:sz="0" w:space="0" w:color="auto"/>
        <w:bottom w:val="none" w:sz="0" w:space="0" w:color="auto"/>
        <w:right w:val="none" w:sz="0" w:space="0" w:color="auto"/>
      </w:divBdr>
    </w:div>
    <w:div w:id="1304307252">
      <w:marLeft w:val="0"/>
      <w:marRight w:val="0"/>
      <w:marTop w:val="0"/>
      <w:marBottom w:val="0"/>
      <w:divBdr>
        <w:top w:val="none" w:sz="0" w:space="0" w:color="auto"/>
        <w:left w:val="none" w:sz="0" w:space="0" w:color="auto"/>
        <w:bottom w:val="none" w:sz="0" w:space="0" w:color="auto"/>
        <w:right w:val="none" w:sz="0" w:space="0" w:color="auto"/>
      </w:divBdr>
    </w:div>
    <w:div w:id="1306161957">
      <w:marLeft w:val="0"/>
      <w:marRight w:val="0"/>
      <w:marTop w:val="0"/>
      <w:marBottom w:val="240"/>
      <w:divBdr>
        <w:top w:val="none" w:sz="0" w:space="0" w:color="auto"/>
        <w:left w:val="none" w:sz="0" w:space="0" w:color="auto"/>
        <w:bottom w:val="none" w:sz="0" w:space="0" w:color="auto"/>
        <w:right w:val="none" w:sz="0" w:space="0" w:color="auto"/>
      </w:divBdr>
    </w:div>
    <w:div w:id="1308164103">
      <w:marLeft w:val="0"/>
      <w:marRight w:val="0"/>
      <w:marTop w:val="120"/>
      <w:marBottom w:val="120"/>
      <w:divBdr>
        <w:top w:val="none" w:sz="0" w:space="0" w:color="auto"/>
        <w:left w:val="none" w:sz="0" w:space="0" w:color="auto"/>
        <w:bottom w:val="none" w:sz="0" w:space="0" w:color="auto"/>
        <w:right w:val="none" w:sz="0" w:space="0" w:color="auto"/>
      </w:divBdr>
    </w:div>
    <w:div w:id="1308585628">
      <w:marLeft w:val="0"/>
      <w:marRight w:val="0"/>
      <w:marTop w:val="0"/>
      <w:marBottom w:val="240"/>
      <w:divBdr>
        <w:top w:val="none" w:sz="0" w:space="0" w:color="auto"/>
        <w:left w:val="none" w:sz="0" w:space="0" w:color="auto"/>
        <w:bottom w:val="none" w:sz="0" w:space="0" w:color="auto"/>
        <w:right w:val="none" w:sz="0" w:space="0" w:color="auto"/>
      </w:divBdr>
    </w:div>
    <w:div w:id="1309480560">
      <w:marLeft w:val="0"/>
      <w:marRight w:val="0"/>
      <w:marTop w:val="0"/>
      <w:marBottom w:val="0"/>
      <w:divBdr>
        <w:top w:val="none" w:sz="0" w:space="0" w:color="auto"/>
        <w:left w:val="none" w:sz="0" w:space="0" w:color="auto"/>
        <w:bottom w:val="none" w:sz="0" w:space="0" w:color="auto"/>
        <w:right w:val="none" w:sz="0" w:space="0" w:color="auto"/>
      </w:divBdr>
    </w:div>
    <w:div w:id="1313025718">
      <w:marLeft w:val="0"/>
      <w:marRight w:val="0"/>
      <w:marTop w:val="0"/>
      <w:marBottom w:val="0"/>
      <w:divBdr>
        <w:top w:val="none" w:sz="0" w:space="0" w:color="auto"/>
        <w:left w:val="none" w:sz="0" w:space="0" w:color="auto"/>
        <w:bottom w:val="none" w:sz="0" w:space="0" w:color="auto"/>
        <w:right w:val="none" w:sz="0" w:space="0" w:color="auto"/>
      </w:divBdr>
    </w:div>
    <w:div w:id="1313486948">
      <w:marLeft w:val="0"/>
      <w:marRight w:val="0"/>
      <w:marTop w:val="0"/>
      <w:marBottom w:val="0"/>
      <w:divBdr>
        <w:top w:val="none" w:sz="0" w:space="0" w:color="auto"/>
        <w:left w:val="none" w:sz="0" w:space="0" w:color="auto"/>
        <w:bottom w:val="none" w:sz="0" w:space="0" w:color="auto"/>
        <w:right w:val="none" w:sz="0" w:space="0" w:color="auto"/>
      </w:divBdr>
      <w:divsChild>
        <w:div w:id="346710792">
          <w:marLeft w:val="0"/>
          <w:marRight w:val="0"/>
          <w:marTop w:val="0"/>
          <w:marBottom w:val="0"/>
          <w:divBdr>
            <w:top w:val="none" w:sz="0" w:space="0" w:color="auto"/>
            <w:left w:val="none" w:sz="0" w:space="0" w:color="auto"/>
            <w:bottom w:val="none" w:sz="0" w:space="0" w:color="auto"/>
            <w:right w:val="none" w:sz="0" w:space="0" w:color="auto"/>
          </w:divBdr>
        </w:div>
      </w:divsChild>
    </w:div>
    <w:div w:id="1314027508">
      <w:marLeft w:val="0"/>
      <w:marRight w:val="0"/>
      <w:marTop w:val="0"/>
      <w:marBottom w:val="240"/>
      <w:divBdr>
        <w:top w:val="none" w:sz="0" w:space="0" w:color="auto"/>
        <w:left w:val="none" w:sz="0" w:space="0" w:color="auto"/>
        <w:bottom w:val="none" w:sz="0" w:space="0" w:color="auto"/>
        <w:right w:val="none" w:sz="0" w:space="0" w:color="auto"/>
      </w:divBdr>
    </w:div>
    <w:div w:id="1315258964">
      <w:marLeft w:val="0"/>
      <w:marRight w:val="0"/>
      <w:marTop w:val="120"/>
      <w:marBottom w:val="120"/>
      <w:divBdr>
        <w:top w:val="none" w:sz="0" w:space="0" w:color="auto"/>
        <w:left w:val="none" w:sz="0" w:space="0" w:color="auto"/>
        <w:bottom w:val="none" w:sz="0" w:space="0" w:color="auto"/>
        <w:right w:val="none" w:sz="0" w:space="0" w:color="auto"/>
      </w:divBdr>
    </w:div>
    <w:div w:id="1317034490">
      <w:marLeft w:val="0"/>
      <w:marRight w:val="0"/>
      <w:marTop w:val="0"/>
      <w:marBottom w:val="240"/>
      <w:divBdr>
        <w:top w:val="none" w:sz="0" w:space="0" w:color="auto"/>
        <w:left w:val="none" w:sz="0" w:space="0" w:color="auto"/>
        <w:bottom w:val="none" w:sz="0" w:space="0" w:color="auto"/>
        <w:right w:val="none" w:sz="0" w:space="0" w:color="auto"/>
      </w:divBdr>
    </w:div>
    <w:div w:id="1317997194">
      <w:marLeft w:val="0"/>
      <w:marRight w:val="0"/>
      <w:marTop w:val="0"/>
      <w:marBottom w:val="240"/>
      <w:divBdr>
        <w:top w:val="none" w:sz="0" w:space="0" w:color="auto"/>
        <w:left w:val="none" w:sz="0" w:space="0" w:color="auto"/>
        <w:bottom w:val="none" w:sz="0" w:space="0" w:color="auto"/>
        <w:right w:val="none" w:sz="0" w:space="0" w:color="auto"/>
      </w:divBdr>
    </w:div>
    <w:div w:id="1318921165">
      <w:marLeft w:val="0"/>
      <w:marRight w:val="0"/>
      <w:marTop w:val="0"/>
      <w:marBottom w:val="240"/>
      <w:divBdr>
        <w:top w:val="none" w:sz="0" w:space="0" w:color="auto"/>
        <w:left w:val="none" w:sz="0" w:space="0" w:color="auto"/>
        <w:bottom w:val="none" w:sz="0" w:space="0" w:color="auto"/>
        <w:right w:val="none" w:sz="0" w:space="0" w:color="auto"/>
      </w:divBdr>
    </w:div>
    <w:div w:id="1319379437">
      <w:marLeft w:val="0"/>
      <w:marRight w:val="0"/>
      <w:marTop w:val="0"/>
      <w:marBottom w:val="180"/>
      <w:divBdr>
        <w:top w:val="none" w:sz="0" w:space="0" w:color="auto"/>
        <w:left w:val="none" w:sz="0" w:space="0" w:color="auto"/>
        <w:bottom w:val="none" w:sz="0" w:space="0" w:color="auto"/>
        <w:right w:val="none" w:sz="0" w:space="0" w:color="auto"/>
      </w:divBdr>
    </w:div>
    <w:div w:id="1320302451">
      <w:marLeft w:val="0"/>
      <w:marRight w:val="0"/>
      <w:marTop w:val="120"/>
      <w:marBottom w:val="180"/>
      <w:divBdr>
        <w:top w:val="none" w:sz="0" w:space="0" w:color="auto"/>
        <w:left w:val="none" w:sz="0" w:space="0" w:color="auto"/>
        <w:bottom w:val="none" w:sz="0" w:space="0" w:color="auto"/>
        <w:right w:val="none" w:sz="0" w:space="0" w:color="auto"/>
      </w:divBdr>
    </w:div>
    <w:div w:id="1320377783">
      <w:marLeft w:val="0"/>
      <w:marRight w:val="0"/>
      <w:marTop w:val="0"/>
      <w:marBottom w:val="0"/>
      <w:divBdr>
        <w:top w:val="none" w:sz="0" w:space="0" w:color="auto"/>
        <w:left w:val="none" w:sz="0" w:space="0" w:color="auto"/>
        <w:bottom w:val="none" w:sz="0" w:space="0" w:color="auto"/>
        <w:right w:val="none" w:sz="0" w:space="0" w:color="auto"/>
      </w:divBdr>
    </w:div>
    <w:div w:id="1323313536">
      <w:marLeft w:val="0"/>
      <w:marRight w:val="0"/>
      <w:marTop w:val="0"/>
      <w:marBottom w:val="0"/>
      <w:divBdr>
        <w:top w:val="none" w:sz="0" w:space="0" w:color="auto"/>
        <w:left w:val="none" w:sz="0" w:space="0" w:color="auto"/>
        <w:bottom w:val="none" w:sz="0" w:space="0" w:color="auto"/>
        <w:right w:val="none" w:sz="0" w:space="0" w:color="auto"/>
      </w:divBdr>
    </w:div>
    <w:div w:id="1324505090">
      <w:marLeft w:val="0"/>
      <w:marRight w:val="0"/>
      <w:marTop w:val="0"/>
      <w:marBottom w:val="180"/>
      <w:divBdr>
        <w:top w:val="none" w:sz="0" w:space="0" w:color="auto"/>
        <w:left w:val="none" w:sz="0" w:space="0" w:color="auto"/>
        <w:bottom w:val="none" w:sz="0" w:space="0" w:color="auto"/>
        <w:right w:val="none" w:sz="0" w:space="0" w:color="auto"/>
      </w:divBdr>
    </w:div>
    <w:div w:id="1325087210">
      <w:marLeft w:val="0"/>
      <w:marRight w:val="0"/>
      <w:marTop w:val="0"/>
      <w:marBottom w:val="0"/>
      <w:divBdr>
        <w:top w:val="none" w:sz="0" w:space="0" w:color="auto"/>
        <w:left w:val="none" w:sz="0" w:space="0" w:color="auto"/>
        <w:bottom w:val="none" w:sz="0" w:space="0" w:color="auto"/>
        <w:right w:val="none" w:sz="0" w:space="0" w:color="auto"/>
      </w:divBdr>
      <w:divsChild>
        <w:div w:id="777263498">
          <w:marLeft w:val="0"/>
          <w:marRight w:val="0"/>
          <w:marTop w:val="0"/>
          <w:marBottom w:val="0"/>
          <w:divBdr>
            <w:top w:val="none" w:sz="0" w:space="0" w:color="auto"/>
            <w:left w:val="none" w:sz="0" w:space="0" w:color="auto"/>
            <w:bottom w:val="none" w:sz="0" w:space="0" w:color="auto"/>
            <w:right w:val="none" w:sz="0" w:space="0" w:color="auto"/>
          </w:divBdr>
        </w:div>
      </w:divsChild>
    </w:div>
    <w:div w:id="1325664179">
      <w:marLeft w:val="0"/>
      <w:marRight w:val="0"/>
      <w:marTop w:val="0"/>
      <w:marBottom w:val="0"/>
      <w:divBdr>
        <w:top w:val="none" w:sz="0" w:space="0" w:color="auto"/>
        <w:left w:val="none" w:sz="0" w:space="0" w:color="auto"/>
        <w:bottom w:val="none" w:sz="0" w:space="0" w:color="auto"/>
        <w:right w:val="none" w:sz="0" w:space="0" w:color="auto"/>
      </w:divBdr>
      <w:divsChild>
        <w:div w:id="1896432937">
          <w:marLeft w:val="0"/>
          <w:marRight w:val="0"/>
          <w:marTop w:val="0"/>
          <w:marBottom w:val="0"/>
          <w:divBdr>
            <w:top w:val="none" w:sz="0" w:space="0" w:color="auto"/>
            <w:left w:val="none" w:sz="0" w:space="0" w:color="auto"/>
            <w:bottom w:val="none" w:sz="0" w:space="0" w:color="auto"/>
            <w:right w:val="none" w:sz="0" w:space="0" w:color="auto"/>
          </w:divBdr>
        </w:div>
      </w:divsChild>
    </w:div>
    <w:div w:id="1326974028">
      <w:marLeft w:val="0"/>
      <w:marRight w:val="0"/>
      <w:marTop w:val="180"/>
      <w:marBottom w:val="180"/>
      <w:divBdr>
        <w:top w:val="none" w:sz="0" w:space="0" w:color="auto"/>
        <w:left w:val="none" w:sz="0" w:space="0" w:color="auto"/>
        <w:bottom w:val="none" w:sz="0" w:space="0" w:color="auto"/>
        <w:right w:val="none" w:sz="0" w:space="0" w:color="auto"/>
      </w:divBdr>
    </w:div>
    <w:div w:id="1331329654">
      <w:marLeft w:val="0"/>
      <w:marRight w:val="0"/>
      <w:marTop w:val="0"/>
      <w:marBottom w:val="180"/>
      <w:divBdr>
        <w:top w:val="none" w:sz="0" w:space="0" w:color="auto"/>
        <w:left w:val="none" w:sz="0" w:space="0" w:color="auto"/>
        <w:bottom w:val="none" w:sz="0" w:space="0" w:color="auto"/>
        <w:right w:val="none" w:sz="0" w:space="0" w:color="auto"/>
      </w:divBdr>
    </w:div>
    <w:div w:id="1331561912">
      <w:marLeft w:val="0"/>
      <w:marRight w:val="0"/>
      <w:marTop w:val="120"/>
      <w:marBottom w:val="120"/>
      <w:divBdr>
        <w:top w:val="none" w:sz="0" w:space="0" w:color="auto"/>
        <w:left w:val="none" w:sz="0" w:space="0" w:color="auto"/>
        <w:bottom w:val="none" w:sz="0" w:space="0" w:color="auto"/>
        <w:right w:val="none" w:sz="0" w:space="0" w:color="auto"/>
      </w:divBdr>
    </w:div>
    <w:div w:id="1333414033">
      <w:marLeft w:val="0"/>
      <w:marRight w:val="0"/>
      <w:marTop w:val="0"/>
      <w:marBottom w:val="0"/>
      <w:divBdr>
        <w:top w:val="none" w:sz="0" w:space="0" w:color="auto"/>
        <w:left w:val="none" w:sz="0" w:space="0" w:color="auto"/>
        <w:bottom w:val="none" w:sz="0" w:space="0" w:color="auto"/>
        <w:right w:val="none" w:sz="0" w:space="0" w:color="auto"/>
      </w:divBdr>
    </w:div>
    <w:div w:id="1333874676">
      <w:marLeft w:val="0"/>
      <w:marRight w:val="0"/>
      <w:marTop w:val="0"/>
      <w:marBottom w:val="0"/>
      <w:divBdr>
        <w:top w:val="none" w:sz="0" w:space="0" w:color="auto"/>
        <w:left w:val="none" w:sz="0" w:space="0" w:color="auto"/>
        <w:bottom w:val="none" w:sz="0" w:space="0" w:color="auto"/>
        <w:right w:val="none" w:sz="0" w:space="0" w:color="auto"/>
      </w:divBdr>
    </w:div>
    <w:div w:id="1339307813">
      <w:marLeft w:val="0"/>
      <w:marRight w:val="0"/>
      <w:marTop w:val="0"/>
      <w:marBottom w:val="0"/>
      <w:divBdr>
        <w:top w:val="none" w:sz="0" w:space="0" w:color="auto"/>
        <w:left w:val="none" w:sz="0" w:space="0" w:color="auto"/>
        <w:bottom w:val="none" w:sz="0" w:space="0" w:color="auto"/>
        <w:right w:val="none" w:sz="0" w:space="0" w:color="auto"/>
      </w:divBdr>
    </w:div>
    <w:div w:id="1340037292">
      <w:marLeft w:val="0"/>
      <w:marRight w:val="0"/>
      <w:marTop w:val="0"/>
      <w:marBottom w:val="0"/>
      <w:divBdr>
        <w:top w:val="none" w:sz="0" w:space="0" w:color="auto"/>
        <w:left w:val="none" w:sz="0" w:space="0" w:color="auto"/>
        <w:bottom w:val="none" w:sz="0" w:space="0" w:color="auto"/>
        <w:right w:val="none" w:sz="0" w:space="0" w:color="auto"/>
      </w:divBdr>
      <w:divsChild>
        <w:div w:id="115102681">
          <w:marLeft w:val="0"/>
          <w:marRight w:val="0"/>
          <w:marTop w:val="0"/>
          <w:marBottom w:val="0"/>
          <w:divBdr>
            <w:top w:val="none" w:sz="0" w:space="0" w:color="auto"/>
            <w:left w:val="none" w:sz="0" w:space="0" w:color="auto"/>
            <w:bottom w:val="none" w:sz="0" w:space="0" w:color="auto"/>
            <w:right w:val="none" w:sz="0" w:space="0" w:color="auto"/>
          </w:divBdr>
        </w:div>
      </w:divsChild>
    </w:div>
    <w:div w:id="1340084124">
      <w:marLeft w:val="0"/>
      <w:marRight w:val="0"/>
      <w:marTop w:val="180"/>
      <w:marBottom w:val="180"/>
      <w:divBdr>
        <w:top w:val="none" w:sz="0" w:space="0" w:color="auto"/>
        <w:left w:val="none" w:sz="0" w:space="0" w:color="auto"/>
        <w:bottom w:val="none" w:sz="0" w:space="0" w:color="auto"/>
        <w:right w:val="none" w:sz="0" w:space="0" w:color="auto"/>
      </w:divBdr>
    </w:div>
    <w:div w:id="1341618733">
      <w:marLeft w:val="0"/>
      <w:marRight w:val="0"/>
      <w:marTop w:val="100"/>
      <w:marBottom w:val="0"/>
      <w:divBdr>
        <w:top w:val="none" w:sz="0" w:space="0" w:color="auto"/>
        <w:left w:val="none" w:sz="0" w:space="0" w:color="auto"/>
        <w:bottom w:val="none" w:sz="0" w:space="0" w:color="auto"/>
        <w:right w:val="none" w:sz="0" w:space="0" w:color="auto"/>
      </w:divBdr>
    </w:div>
    <w:div w:id="1342467476">
      <w:marLeft w:val="0"/>
      <w:marRight w:val="0"/>
      <w:marTop w:val="180"/>
      <w:marBottom w:val="180"/>
      <w:divBdr>
        <w:top w:val="none" w:sz="0" w:space="0" w:color="auto"/>
        <w:left w:val="none" w:sz="0" w:space="0" w:color="auto"/>
        <w:bottom w:val="none" w:sz="0" w:space="0" w:color="auto"/>
        <w:right w:val="none" w:sz="0" w:space="0" w:color="auto"/>
      </w:divBdr>
    </w:div>
    <w:div w:id="1342779017">
      <w:marLeft w:val="0"/>
      <w:marRight w:val="0"/>
      <w:marTop w:val="0"/>
      <w:marBottom w:val="0"/>
      <w:divBdr>
        <w:top w:val="none" w:sz="0" w:space="0" w:color="auto"/>
        <w:left w:val="none" w:sz="0" w:space="0" w:color="auto"/>
        <w:bottom w:val="none" w:sz="0" w:space="0" w:color="auto"/>
        <w:right w:val="none" w:sz="0" w:space="0" w:color="auto"/>
      </w:divBdr>
    </w:div>
    <w:div w:id="1345090836">
      <w:marLeft w:val="0"/>
      <w:marRight w:val="0"/>
      <w:marTop w:val="0"/>
      <w:marBottom w:val="240"/>
      <w:divBdr>
        <w:top w:val="none" w:sz="0" w:space="0" w:color="auto"/>
        <w:left w:val="none" w:sz="0" w:space="0" w:color="auto"/>
        <w:bottom w:val="none" w:sz="0" w:space="0" w:color="auto"/>
        <w:right w:val="none" w:sz="0" w:space="0" w:color="auto"/>
      </w:divBdr>
    </w:div>
    <w:div w:id="1348796950">
      <w:marLeft w:val="0"/>
      <w:marRight w:val="0"/>
      <w:marTop w:val="120"/>
      <w:marBottom w:val="180"/>
      <w:divBdr>
        <w:top w:val="none" w:sz="0" w:space="0" w:color="auto"/>
        <w:left w:val="none" w:sz="0" w:space="0" w:color="auto"/>
        <w:bottom w:val="none" w:sz="0" w:space="0" w:color="auto"/>
        <w:right w:val="none" w:sz="0" w:space="0" w:color="auto"/>
      </w:divBdr>
    </w:div>
    <w:div w:id="1355224804">
      <w:marLeft w:val="0"/>
      <w:marRight w:val="0"/>
      <w:marTop w:val="0"/>
      <w:marBottom w:val="180"/>
      <w:divBdr>
        <w:top w:val="none" w:sz="0" w:space="0" w:color="auto"/>
        <w:left w:val="none" w:sz="0" w:space="0" w:color="auto"/>
        <w:bottom w:val="none" w:sz="0" w:space="0" w:color="auto"/>
        <w:right w:val="none" w:sz="0" w:space="0" w:color="auto"/>
      </w:divBdr>
    </w:div>
    <w:div w:id="1359310199">
      <w:marLeft w:val="0"/>
      <w:marRight w:val="0"/>
      <w:marTop w:val="0"/>
      <w:marBottom w:val="0"/>
      <w:divBdr>
        <w:top w:val="none" w:sz="0" w:space="0" w:color="auto"/>
        <w:left w:val="none" w:sz="0" w:space="0" w:color="auto"/>
        <w:bottom w:val="none" w:sz="0" w:space="0" w:color="auto"/>
        <w:right w:val="none" w:sz="0" w:space="0" w:color="auto"/>
      </w:divBdr>
      <w:divsChild>
        <w:div w:id="1722095226">
          <w:marLeft w:val="0"/>
          <w:marRight w:val="0"/>
          <w:marTop w:val="0"/>
          <w:marBottom w:val="0"/>
          <w:divBdr>
            <w:top w:val="none" w:sz="0" w:space="0" w:color="auto"/>
            <w:left w:val="none" w:sz="0" w:space="0" w:color="auto"/>
            <w:bottom w:val="none" w:sz="0" w:space="0" w:color="auto"/>
            <w:right w:val="none" w:sz="0" w:space="0" w:color="auto"/>
          </w:divBdr>
        </w:div>
      </w:divsChild>
    </w:div>
    <w:div w:id="1359500982">
      <w:marLeft w:val="0"/>
      <w:marRight w:val="0"/>
      <w:marTop w:val="0"/>
      <w:marBottom w:val="0"/>
      <w:divBdr>
        <w:top w:val="none" w:sz="0" w:space="0" w:color="auto"/>
        <w:left w:val="none" w:sz="0" w:space="0" w:color="auto"/>
        <w:bottom w:val="none" w:sz="0" w:space="0" w:color="auto"/>
        <w:right w:val="none" w:sz="0" w:space="0" w:color="auto"/>
      </w:divBdr>
      <w:divsChild>
        <w:div w:id="1680496995">
          <w:marLeft w:val="0"/>
          <w:marRight w:val="0"/>
          <w:marTop w:val="0"/>
          <w:marBottom w:val="0"/>
          <w:divBdr>
            <w:top w:val="none" w:sz="0" w:space="0" w:color="auto"/>
            <w:left w:val="none" w:sz="0" w:space="0" w:color="auto"/>
            <w:bottom w:val="none" w:sz="0" w:space="0" w:color="auto"/>
            <w:right w:val="none" w:sz="0" w:space="0" w:color="auto"/>
          </w:divBdr>
        </w:div>
      </w:divsChild>
    </w:div>
    <w:div w:id="1359744060">
      <w:marLeft w:val="0"/>
      <w:marRight w:val="0"/>
      <w:marTop w:val="100"/>
      <w:marBottom w:val="240"/>
      <w:divBdr>
        <w:top w:val="none" w:sz="0" w:space="0" w:color="auto"/>
        <w:left w:val="none" w:sz="0" w:space="0" w:color="auto"/>
        <w:bottom w:val="none" w:sz="0" w:space="0" w:color="auto"/>
        <w:right w:val="none" w:sz="0" w:space="0" w:color="auto"/>
      </w:divBdr>
    </w:div>
    <w:div w:id="1362784402">
      <w:marLeft w:val="0"/>
      <w:marRight w:val="0"/>
      <w:marTop w:val="100"/>
      <w:marBottom w:val="0"/>
      <w:divBdr>
        <w:top w:val="none" w:sz="0" w:space="0" w:color="auto"/>
        <w:left w:val="none" w:sz="0" w:space="0" w:color="auto"/>
        <w:bottom w:val="none" w:sz="0" w:space="0" w:color="auto"/>
        <w:right w:val="none" w:sz="0" w:space="0" w:color="auto"/>
      </w:divBdr>
    </w:div>
    <w:div w:id="1364208667">
      <w:marLeft w:val="0"/>
      <w:marRight w:val="0"/>
      <w:marTop w:val="180"/>
      <w:marBottom w:val="180"/>
      <w:divBdr>
        <w:top w:val="none" w:sz="0" w:space="0" w:color="auto"/>
        <w:left w:val="none" w:sz="0" w:space="0" w:color="auto"/>
        <w:bottom w:val="none" w:sz="0" w:space="0" w:color="auto"/>
        <w:right w:val="none" w:sz="0" w:space="0" w:color="auto"/>
      </w:divBdr>
    </w:div>
    <w:div w:id="1365666735">
      <w:marLeft w:val="0"/>
      <w:marRight w:val="0"/>
      <w:marTop w:val="0"/>
      <w:marBottom w:val="0"/>
      <w:divBdr>
        <w:top w:val="none" w:sz="0" w:space="0" w:color="auto"/>
        <w:left w:val="none" w:sz="0" w:space="0" w:color="auto"/>
        <w:bottom w:val="none" w:sz="0" w:space="0" w:color="auto"/>
        <w:right w:val="none" w:sz="0" w:space="0" w:color="auto"/>
      </w:divBdr>
    </w:div>
    <w:div w:id="1369452203">
      <w:marLeft w:val="0"/>
      <w:marRight w:val="0"/>
      <w:marTop w:val="0"/>
      <w:marBottom w:val="0"/>
      <w:divBdr>
        <w:top w:val="none" w:sz="0" w:space="0" w:color="auto"/>
        <w:left w:val="none" w:sz="0" w:space="0" w:color="auto"/>
        <w:bottom w:val="none" w:sz="0" w:space="0" w:color="auto"/>
        <w:right w:val="none" w:sz="0" w:space="0" w:color="auto"/>
      </w:divBdr>
      <w:divsChild>
        <w:div w:id="224226167">
          <w:marLeft w:val="0"/>
          <w:marRight w:val="0"/>
          <w:marTop w:val="0"/>
          <w:marBottom w:val="0"/>
          <w:divBdr>
            <w:top w:val="none" w:sz="0" w:space="0" w:color="auto"/>
            <w:left w:val="none" w:sz="0" w:space="0" w:color="auto"/>
            <w:bottom w:val="none" w:sz="0" w:space="0" w:color="auto"/>
            <w:right w:val="none" w:sz="0" w:space="0" w:color="auto"/>
          </w:divBdr>
        </w:div>
      </w:divsChild>
    </w:div>
    <w:div w:id="1370833534">
      <w:marLeft w:val="0"/>
      <w:marRight w:val="0"/>
      <w:marTop w:val="0"/>
      <w:marBottom w:val="240"/>
      <w:divBdr>
        <w:top w:val="none" w:sz="0" w:space="0" w:color="auto"/>
        <w:left w:val="none" w:sz="0" w:space="0" w:color="auto"/>
        <w:bottom w:val="none" w:sz="0" w:space="0" w:color="auto"/>
        <w:right w:val="none" w:sz="0" w:space="0" w:color="auto"/>
      </w:divBdr>
    </w:div>
    <w:div w:id="1371224562">
      <w:marLeft w:val="0"/>
      <w:marRight w:val="0"/>
      <w:marTop w:val="0"/>
      <w:marBottom w:val="240"/>
      <w:divBdr>
        <w:top w:val="none" w:sz="0" w:space="0" w:color="auto"/>
        <w:left w:val="none" w:sz="0" w:space="0" w:color="auto"/>
        <w:bottom w:val="none" w:sz="0" w:space="0" w:color="auto"/>
        <w:right w:val="none" w:sz="0" w:space="0" w:color="auto"/>
      </w:divBdr>
    </w:div>
    <w:div w:id="1373385470">
      <w:marLeft w:val="0"/>
      <w:marRight w:val="0"/>
      <w:marTop w:val="120"/>
      <w:marBottom w:val="120"/>
      <w:divBdr>
        <w:top w:val="none" w:sz="0" w:space="0" w:color="auto"/>
        <w:left w:val="none" w:sz="0" w:space="0" w:color="auto"/>
        <w:bottom w:val="none" w:sz="0" w:space="0" w:color="auto"/>
        <w:right w:val="none" w:sz="0" w:space="0" w:color="auto"/>
      </w:divBdr>
    </w:div>
    <w:div w:id="1374378195">
      <w:marLeft w:val="0"/>
      <w:marRight w:val="0"/>
      <w:marTop w:val="0"/>
      <w:marBottom w:val="180"/>
      <w:divBdr>
        <w:top w:val="none" w:sz="0" w:space="0" w:color="auto"/>
        <w:left w:val="none" w:sz="0" w:space="0" w:color="auto"/>
        <w:bottom w:val="none" w:sz="0" w:space="0" w:color="auto"/>
        <w:right w:val="none" w:sz="0" w:space="0" w:color="auto"/>
      </w:divBdr>
    </w:div>
    <w:div w:id="1376662150">
      <w:marLeft w:val="0"/>
      <w:marRight w:val="0"/>
      <w:marTop w:val="0"/>
      <w:marBottom w:val="0"/>
      <w:divBdr>
        <w:top w:val="none" w:sz="0" w:space="0" w:color="auto"/>
        <w:left w:val="none" w:sz="0" w:space="0" w:color="auto"/>
        <w:bottom w:val="none" w:sz="0" w:space="0" w:color="auto"/>
        <w:right w:val="none" w:sz="0" w:space="0" w:color="auto"/>
      </w:divBdr>
      <w:divsChild>
        <w:div w:id="1594318056">
          <w:marLeft w:val="0"/>
          <w:marRight w:val="0"/>
          <w:marTop w:val="0"/>
          <w:marBottom w:val="0"/>
          <w:divBdr>
            <w:top w:val="none" w:sz="0" w:space="0" w:color="auto"/>
            <w:left w:val="none" w:sz="0" w:space="0" w:color="auto"/>
            <w:bottom w:val="none" w:sz="0" w:space="0" w:color="auto"/>
            <w:right w:val="none" w:sz="0" w:space="0" w:color="auto"/>
          </w:divBdr>
        </w:div>
      </w:divsChild>
    </w:div>
    <w:div w:id="1377124430">
      <w:marLeft w:val="0"/>
      <w:marRight w:val="0"/>
      <w:marTop w:val="240"/>
      <w:marBottom w:val="240"/>
      <w:divBdr>
        <w:top w:val="none" w:sz="0" w:space="0" w:color="auto"/>
        <w:left w:val="none" w:sz="0" w:space="0" w:color="auto"/>
        <w:bottom w:val="none" w:sz="0" w:space="0" w:color="auto"/>
        <w:right w:val="none" w:sz="0" w:space="0" w:color="auto"/>
      </w:divBdr>
    </w:div>
    <w:div w:id="1379087064">
      <w:marLeft w:val="0"/>
      <w:marRight w:val="0"/>
      <w:marTop w:val="0"/>
      <w:marBottom w:val="240"/>
      <w:divBdr>
        <w:top w:val="none" w:sz="0" w:space="0" w:color="auto"/>
        <w:left w:val="none" w:sz="0" w:space="0" w:color="auto"/>
        <w:bottom w:val="none" w:sz="0" w:space="0" w:color="auto"/>
        <w:right w:val="none" w:sz="0" w:space="0" w:color="auto"/>
      </w:divBdr>
    </w:div>
    <w:div w:id="1380204400">
      <w:marLeft w:val="0"/>
      <w:marRight w:val="0"/>
      <w:marTop w:val="0"/>
      <w:marBottom w:val="0"/>
      <w:divBdr>
        <w:top w:val="none" w:sz="0" w:space="0" w:color="auto"/>
        <w:left w:val="none" w:sz="0" w:space="0" w:color="auto"/>
        <w:bottom w:val="none" w:sz="0" w:space="0" w:color="auto"/>
        <w:right w:val="none" w:sz="0" w:space="0" w:color="auto"/>
      </w:divBdr>
      <w:divsChild>
        <w:div w:id="1829634894">
          <w:marLeft w:val="0"/>
          <w:marRight w:val="0"/>
          <w:marTop w:val="0"/>
          <w:marBottom w:val="0"/>
          <w:divBdr>
            <w:top w:val="none" w:sz="0" w:space="0" w:color="auto"/>
            <w:left w:val="none" w:sz="0" w:space="0" w:color="auto"/>
            <w:bottom w:val="none" w:sz="0" w:space="0" w:color="auto"/>
            <w:right w:val="none" w:sz="0" w:space="0" w:color="auto"/>
          </w:divBdr>
        </w:div>
      </w:divsChild>
    </w:div>
    <w:div w:id="1380590152">
      <w:marLeft w:val="0"/>
      <w:marRight w:val="0"/>
      <w:marTop w:val="0"/>
      <w:marBottom w:val="0"/>
      <w:divBdr>
        <w:top w:val="none" w:sz="0" w:space="0" w:color="auto"/>
        <w:left w:val="none" w:sz="0" w:space="0" w:color="auto"/>
        <w:bottom w:val="none" w:sz="0" w:space="0" w:color="auto"/>
        <w:right w:val="none" w:sz="0" w:space="0" w:color="auto"/>
      </w:divBdr>
      <w:divsChild>
        <w:div w:id="1440684790">
          <w:marLeft w:val="0"/>
          <w:marRight w:val="0"/>
          <w:marTop w:val="0"/>
          <w:marBottom w:val="0"/>
          <w:divBdr>
            <w:top w:val="none" w:sz="0" w:space="0" w:color="auto"/>
            <w:left w:val="none" w:sz="0" w:space="0" w:color="auto"/>
            <w:bottom w:val="none" w:sz="0" w:space="0" w:color="auto"/>
            <w:right w:val="none" w:sz="0" w:space="0" w:color="auto"/>
          </w:divBdr>
        </w:div>
      </w:divsChild>
    </w:div>
    <w:div w:id="1381052885">
      <w:marLeft w:val="0"/>
      <w:marRight w:val="0"/>
      <w:marTop w:val="0"/>
      <w:marBottom w:val="240"/>
      <w:divBdr>
        <w:top w:val="none" w:sz="0" w:space="0" w:color="auto"/>
        <w:left w:val="none" w:sz="0" w:space="0" w:color="auto"/>
        <w:bottom w:val="none" w:sz="0" w:space="0" w:color="auto"/>
        <w:right w:val="none" w:sz="0" w:space="0" w:color="auto"/>
      </w:divBdr>
    </w:div>
    <w:div w:id="1382095041">
      <w:marLeft w:val="0"/>
      <w:marRight w:val="0"/>
      <w:marTop w:val="180"/>
      <w:marBottom w:val="180"/>
      <w:divBdr>
        <w:top w:val="none" w:sz="0" w:space="0" w:color="auto"/>
        <w:left w:val="none" w:sz="0" w:space="0" w:color="auto"/>
        <w:bottom w:val="none" w:sz="0" w:space="0" w:color="auto"/>
        <w:right w:val="none" w:sz="0" w:space="0" w:color="auto"/>
      </w:divBdr>
    </w:div>
    <w:div w:id="1383410138">
      <w:marLeft w:val="0"/>
      <w:marRight w:val="0"/>
      <w:marTop w:val="0"/>
      <w:marBottom w:val="240"/>
      <w:divBdr>
        <w:top w:val="none" w:sz="0" w:space="0" w:color="auto"/>
        <w:left w:val="none" w:sz="0" w:space="0" w:color="auto"/>
        <w:bottom w:val="none" w:sz="0" w:space="0" w:color="auto"/>
        <w:right w:val="none" w:sz="0" w:space="0" w:color="auto"/>
      </w:divBdr>
    </w:div>
    <w:div w:id="1384911283">
      <w:marLeft w:val="0"/>
      <w:marRight w:val="0"/>
      <w:marTop w:val="0"/>
      <w:marBottom w:val="0"/>
      <w:divBdr>
        <w:top w:val="none" w:sz="0" w:space="0" w:color="auto"/>
        <w:left w:val="none" w:sz="0" w:space="0" w:color="auto"/>
        <w:bottom w:val="none" w:sz="0" w:space="0" w:color="auto"/>
        <w:right w:val="none" w:sz="0" w:space="0" w:color="auto"/>
      </w:divBdr>
      <w:divsChild>
        <w:div w:id="306016386">
          <w:marLeft w:val="0"/>
          <w:marRight w:val="0"/>
          <w:marTop w:val="0"/>
          <w:marBottom w:val="0"/>
          <w:divBdr>
            <w:top w:val="none" w:sz="0" w:space="0" w:color="auto"/>
            <w:left w:val="none" w:sz="0" w:space="0" w:color="auto"/>
            <w:bottom w:val="none" w:sz="0" w:space="0" w:color="auto"/>
            <w:right w:val="none" w:sz="0" w:space="0" w:color="auto"/>
          </w:divBdr>
        </w:div>
      </w:divsChild>
    </w:div>
    <w:div w:id="1385059225">
      <w:marLeft w:val="0"/>
      <w:marRight w:val="0"/>
      <w:marTop w:val="0"/>
      <w:marBottom w:val="0"/>
      <w:divBdr>
        <w:top w:val="none" w:sz="0" w:space="0" w:color="auto"/>
        <w:left w:val="none" w:sz="0" w:space="0" w:color="auto"/>
        <w:bottom w:val="none" w:sz="0" w:space="0" w:color="auto"/>
        <w:right w:val="none" w:sz="0" w:space="0" w:color="auto"/>
      </w:divBdr>
      <w:divsChild>
        <w:div w:id="1543206148">
          <w:marLeft w:val="0"/>
          <w:marRight w:val="0"/>
          <w:marTop w:val="0"/>
          <w:marBottom w:val="0"/>
          <w:divBdr>
            <w:top w:val="none" w:sz="0" w:space="0" w:color="auto"/>
            <w:left w:val="none" w:sz="0" w:space="0" w:color="auto"/>
            <w:bottom w:val="none" w:sz="0" w:space="0" w:color="auto"/>
            <w:right w:val="none" w:sz="0" w:space="0" w:color="auto"/>
          </w:divBdr>
        </w:div>
      </w:divsChild>
    </w:div>
    <w:div w:id="1385131237">
      <w:marLeft w:val="0"/>
      <w:marRight w:val="0"/>
      <w:marTop w:val="120"/>
      <w:marBottom w:val="120"/>
      <w:divBdr>
        <w:top w:val="none" w:sz="0" w:space="0" w:color="auto"/>
        <w:left w:val="none" w:sz="0" w:space="0" w:color="auto"/>
        <w:bottom w:val="none" w:sz="0" w:space="0" w:color="auto"/>
        <w:right w:val="none" w:sz="0" w:space="0" w:color="auto"/>
      </w:divBdr>
    </w:div>
    <w:div w:id="1390303126">
      <w:marLeft w:val="0"/>
      <w:marRight w:val="0"/>
      <w:marTop w:val="0"/>
      <w:marBottom w:val="180"/>
      <w:divBdr>
        <w:top w:val="none" w:sz="0" w:space="0" w:color="auto"/>
        <w:left w:val="none" w:sz="0" w:space="0" w:color="auto"/>
        <w:bottom w:val="none" w:sz="0" w:space="0" w:color="auto"/>
        <w:right w:val="none" w:sz="0" w:space="0" w:color="auto"/>
      </w:divBdr>
    </w:div>
    <w:div w:id="1390611157">
      <w:marLeft w:val="0"/>
      <w:marRight w:val="0"/>
      <w:marTop w:val="120"/>
      <w:marBottom w:val="120"/>
      <w:divBdr>
        <w:top w:val="none" w:sz="0" w:space="0" w:color="auto"/>
        <w:left w:val="none" w:sz="0" w:space="0" w:color="auto"/>
        <w:bottom w:val="none" w:sz="0" w:space="0" w:color="auto"/>
        <w:right w:val="none" w:sz="0" w:space="0" w:color="auto"/>
      </w:divBdr>
    </w:div>
    <w:div w:id="1391150025">
      <w:marLeft w:val="0"/>
      <w:marRight w:val="0"/>
      <w:marTop w:val="0"/>
      <w:marBottom w:val="0"/>
      <w:divBdr>
        <w:top w:val="none" w:sz="0" w:space="0" w:color="auto"/>
        <w:left w:val="none" w:sz="0" w:space="0" w:color="auto"/>
        <w:bottom w:val="none" w:sz="0" w:space="0" w:color="auto"/>
        <w:right w:val="none" w:sz="0" w:space="0" w:color="auto"/>
      </w:divBdr>
      <w:divsChild>
        <w:div w:id="698354828">
          <w:marLeft w:val="0"/>
          <w:marRight w:val="0"/>
          <w:marTop w:val="0"/>
          <w:marBottom w:val="0"/>
          <w:divBdr>
            <w:top w:val="none" w:sz="0" w:space="0" w:color="auto"/>
            <w:left w:val="none" w:sz="0" w:space="0" w:color="auto"/>
            <w:bottom w:val="none" w:sz="0" w:space="0" w:color="auto"/>
            <w:right w:val="none" w:sz="0" w:space="0" w:color="auto"/>
          </w:divBdr>
        </w:div>
      </w:divsChild>
    </w:div>
    <w:div w:id="1392071934">
      <w:marLeft w:val="0"/>
      <w:marRight w:val="0"/>
      <w:marTop w:val="120"/>
      <w:marBottom w:val="120"/>
      <w:divBdr>
        <w:top w:val="none" w:sz="0" w:space="0" w:color="auto"/>
        <w:left w:val="none" w:sz="0" w:space="0" w:color="auto"/>
        <w:bottom w:val="none" w:sz="0" w:space="0" w:color="auto"/>
        <w:right w:val="none" w:sz="0" w:space="0" w:color="auto"/>
      </w:divBdr>
    </w:div>
    <w:div w:id="1392191160">
      <w:marLeft w:val="0"/>
      <w:marRight w:val="0"/>
      <w:marTop w:val="0"/>
      <w:marBottom w:val="0"/>
      <w:divBdr>
        <w:top w:val="none" w:sz="0" w:space="0" w:color="auto"/>
        <w:left w:val="none" w:sz="0" w:space="0" w:color="auto"/>
        <w:bottom w:val="none" w:sz="0" w:space="0" w:color="auto"/>
        <w:right w:val="none" w:sz="0" w:space="0" w:color="auto"/>
      </w:divBdr>
    </w:div>
    <w:div w:id="1393037238">
      <w:marLeft w:val="0"/>
      <w:marRight w:val="0"/>
      <w:marTop w:val="180"/>
      <w:marBottom w:val="180"/>
      <w:divBdr>
        <w:top w:val="none" w:sz="0" w:space="0" w:color="auto"/>
        <w:left w:val="none" w:sz="0" w:space="0" w:color="auto"/>
        <w:bottom w:val="none" w:sz="0" w:space="0" w:color="auto"/>
        <w:right w:val="none" w:sz="0" w:space="0" w:color="auto"/>
      </w:divBdr>
    </w:div>
    <w:div w:id="1393386020">
      <w:marLeft w:val="0"/>
      <w:marRight w:val="0"/>
      <w:marTop w:val="0"/>
      <w:marBottom w:val="180"/>
      <w:divBdr>
        <w:top w:val="none" w:sz="0" w:space="0" w:color="auto"/>
        <w:left w:val="none" w:sz="0" w:space="0" w:color="auto"/>
        <w:bottom w:val="none" w:sz="0" w:space="0" w:color="auto"/>
        <w:right w:val="none" w:sz="0" w:space="0" w:color="auto"/>
      </w:divBdr>
    </w:div>
    <w:div w:id="1393700023">
      <w:marLeft w:val="0"/>
      <w:marRight w:val="0"/>
      <w:marTop w:val="100"/>
      <w:marBottom w:val="0"/>
      <w:divBdr>
        <w:top w:val="none" w:sz="0" w:space="0" w:color="auto"/>
        <w:left w:val="none" w:sz="0" w:space="0" w:color="auto"/>
        <w:bottom w:val="none" w:sz="0" w:space="0" w:color="auto"/>
        <w:right w:val="none" w:sz="0" w:space="0" w:color="auto"/>
      </w:divBdr>
    </w:div>
    <w:div w:id="1394041621">
      <w:marLeft w:val="0"/>
      <w:marRight w:val="0"/>
      <w:marTop w:val="0"/>
      <w:marBottom w:val="0"/>
      <w:divBdr>
        <w:top w:val="none" w:sz="0" w:space="0" w:color="auto"/>
        <w:left w:val="none" w:sz="0" w:space="0" w:color="auto"/>
        <w:bottom w:val="none" w:sz="0" w:space="0" w:color="auto"/>
        <w:right w:val="none" w:sz="0" w:space="0" w:color="auto"/>
      </w:divBdr>
      <w:divsChild>
        <w:div w:id="683091913">
          <w:marLeft w:val="0"/>
          <w:marRight w:val="0"/>
          <w:marTop w:val="0"/>
          <w:marBottom w:val="0"/>
          <w:divBdr>
            <w:top w:val="none" w:sz="0" w:space="0" w:color="auto"/>
            <w:left w:val="none" w:sz="0" w:space="0" w:color="auto"/>
            <w:bottom w:val="none" w:sz="0" w:space="0" w:color="auto"/>
            <w:right w:val="none" w:sz="0" w:space="0" w:color="auto"/>
          </w:divBdr>
        </w:div>
      </w:divsChild>
    </w:div>
    <w:div w:id="1394113000">
      <w:marLeft w:val="0"/>
      <w:marRight w:val="0"/>
      <w:marTop w:val="0"/>
      <w:marBottom w:val="240"/>
      <w:divBdr>
        <w:top w:val="none" w:sz="0" w:space="0" w:color="auto"/>
        <w:left w:val="none" w:sz="0" w:space="0" w:color="auto"/>
        <w:bottom w:val="none" w:sz="0" w:space="0" w:color="auto"/>
        <w:right w:val="none" w:sz="0" w:space="0" w:color="auto"/>
      </w:divBdr>
    </w:div>
    <w:div w:id="1396127157">
      <w:marLeft w:val="0"/>
      <w:marRight w:val="0"/>
      <w:marTop w:val="100"/>
      <w:marBottom w:val="0"/>
      <w:divBdr>
        <w:top w:val="none" w:sz="0" w:space="0" w:color="auto"/>
        <w:left w:val="none" w:sz="0" w:space="0" w:color="auto"/>
        <w:bottom w:val="none" w:sz="0" w:space="0" w:color="auto"/>
        <w:right w:val="none" w:sz="0" w:space="0" w:color="auto"/>
      </w:divBdr>
    </w:div>
    <w:div w:id="1399131057">
      <w:marLeft w:val="0"/>
      <w:marRight w:val="0"/>
      <w:marTop w:val="0"/>
      <w:marBottom w:val="240"/>
      <w:divBdr>
        <w:top w:val="none" w:sz="0" w:space="0" w:color="auto"/>
        <w:left w:val="none" w:sz="0" w:space="0" w:color="auto"/>
        <w:bottom w:val="none" w:sz="0" w:space="0" w:color="auto"/>
        <w:right w:val="none" w:sz="0" w:space="0" w:color="auto"/>
      </w:divBdr>
    </w:div>
    <w:div w:id="1400980680">
      <w:marLeft w:val="0"/>
      <w:marRight w:val="0"/>
      <w:marTop w:val="120"/>
      <w:marBottom w:val="240"/>
      <w:divBdr>
        <w:top w:val="none" w:sz="0" w:space="0" w:color="auto"/>
        <w:left w:val="none" w:sz="0" w:space="0" w:color="auto"/>
        <w:bottom w:val="none" w:sz="0" w:space="0" w:color="auto"/>
        <w:right w:val="none" w:sz="0" w:space="0" w:color="auto"/>
      </w:divBdr>
    </w:div>
    <w:div w:id="1402410093">
      <w:marLeft w:val="0"/>
      <w:marRight w:val="0"/>
      <w:marTop w:val="180"/>
      <w:marBottom w:val="180"/>
      <w:divBdr>
        <w:top w:val="none" w:sz="0" w:space="0" w:color="auto"/>
        <w:left w:val="none" w:sz="0" w:space="0" w:color="auto"/>
        <w:bottom w:val="none" w:sz="0" w:space="0" w:color="auto"/>
        <w:right w:val="none" w:sz="0" w:space="0" w:color="auto"/>
      </w:divBdr>
    </w:div>
    <w:div w:id="1403024051">
      <w:marLeft w:val="0"/>
      <w:marRight w:val="0"/>
      <w:marTop w:val="120"/>
      <w:marBottom w:val="120"/>
      <w:divBdr>
        <w:top w:val="none" w:sz="0" w:space="0" w:color="auto"/>
        <w:left w:val="none" w:sz="0" w:space="0" w:color="auto"/>
        <w:bottom w:val="none" w:sz="0" w:space="0" w:color="auto"/>
        <w:right w:val="none" w:sz="0" w:space="0" w:color="auto"/>
      </w:divBdr>
    </w:div>
    <w:div w:id="1404138956">
      <w:marLeft w:val="0"/>
      <w:marRight w:val="0"/>
      <w:marTop w:val="0"/>
      <w:marBottom w:val="0"/>
      <w:divBdr>
        <w:top w:val="none" w:sz="0" w:space="0" w:color="auto"/>
        <w:left w:val="none" w:sz="0" w:space="0" w:color="auto"/>
        <w:bottom w:val="none" w:sz="0" w:space="0" w:color="auto"/>
        <w:right w:val="none" w:sz="0" w:space="0" w:color="auto"/>
      </w:divBdr>
    </w:div>
    <w:div w:id="1404176648">
      <w:marLeft w:val="0"/>
      <w:marRight w:val="0"/>
      <w:marTop w:val="0"/>
      <w:marBottom w:val="0"/>
      <w:divBdr>
        <w:top w:val="none" w:sz="0" w:space="0" w:color="auto"/>
        <w:left w:val="none" w:sz="0" w:space="0" w:color="auto"/>
        <w:bottom w:val="none" w:sz="0" w:space="0" w:color="auto"/>
        <w:right w:val="none" w:sz="0" w:space="0" w:color="auto"/>
      </w:divBdr>
    </w:div>
    <w:div w:id="1405908055">
      <w:marLeft w:val="0"/>
      <w:marRight w:val="0"/>
      <w:marTop w:val="0"/>
      <w:marBottom w:val="0"/>
      <w:divBdr>
        <w:top w:val="none" w:sz="0" w:space="0" w:color="auto"/>
        <w:left w:val="none" w:sz="0" w:space="0" w:color="auto"/>
        <w:bottom w:val="none" w:sz="0" w:space="0" w:color="auto"/>
        <w:right w:val="none" w:sz="0" w:space="0" w:color="auto"/>
      </w:divBdr>
    </w:div>
    <w:div w:id="1406099745">
      <w:marLeft w:val="0"/>
      <w:marRight w:val="0"/>
      <w:marTop w:val="0"/>
      <w:marBottom w:val="240"/>
      <w:divBdr>
        <w:top w:val="none" w:sz="0" w:space="0" w:color="auto"/>
        <w:left w:val="none" w:sz="0" w:space="0" w:color="auto"/>
        <w:bottom w:val="none" w:sz="0" w:space="0" w:color="auto"/>
        <w:right w:val="none" w:sz="0" w:space="0" w:color="auto"/>
      </w:divBdr>
    </w:div>
    <w:div w:id="1406802645">
      <w:marLeft w:val="0"/>
      <w:marRight w:val="0"/>
      <w:marTop w:val="0"/>
      <w:marBottom w:val="0"/>
      <w:divBdr>
        <w:top w:val="none" w:sz="0" w:space="0" w:color="auto"/>
        <w:left w:val="none" w:sz="0" w:space="0" w:color="auto"/>
        <w:bottom w:val="none" w:sz="0" w:space="0" w:color="auto"/>
        <w:right w:val="none" w:sz="0" w:space="0" w:color="auto"/>
      </w:divBdr>
      <w:divsChild>
        <w:div w:id="565383918">
          <w:marLeft w:val="0"/>
          <w:marRight w:val="0"/>
          <w:marTop w:val="0"/>
          <w:marBottom w:val="0"/>
          <w:divBdr>
            <w:top w:val="none" w:sz="0" w:space="0" w:color="auto"/>
            <w:left w:val="none" w:sz="0" w:space="0" w:color="auto"/>
            <w:bottom w:val="none" w:sz="0" w:space="0" w:color="auto"/>
            <w:right w:val="none" w:sz="0" w:space="0" w:color="auto"/>
          </w:divBdr>
        </w:div>
      </w:divsChild>
    </w:div>
    <w:div w:id="1406875872">
      <w:marLeft w:val="0"/>
      <w:marRight w:val="0"/>
      <w:marTop w:val="120"/>
      <w:marBottom w:val="180"/>
      <w:divBdr>
        <w:top w:val="none" w:sz="0" w:space="0" w:color="auto"/>
        <w:left w:val="none" w:sz="0" w:space="0" w:color="auto"/>
        <w:bottom w:val="none" w:sz="0" w:space="0" w:color="auto"/>
        <w:right w:val="none" w:sz="0" w:space="0" w:color="auto"/>
      </w:divBdr>
    </w:div>
    <w:div w:id="1408579626">
      <w:marLeft w:val="0"/>
      <w:marRight w:val="0"/>
      <w:marTop w:val="120"/>
      <w:marBottom w:val="120"/>
      <w:divBdr>
        <w:top w:val="none" w:sz="0" w:space="0" w:color="auto"/>
        <w:left w:val="none" w:sz="0" w:space="0" w:color="auto"/>
        <w:bottom w:val="none" w:sz="0" w:space="0" w:color="auto"/>
        <w:right w:val="none" w:sz="0" w:space="0" w:color="auto"/>
      </w:divBdr>
    </w:div>
    <w:div w:id="1408964045">
      <w:marLeft w:val="0"/>
      <w:marRight w:val="0"/>
      <w:marTop w:val="240"/>
      <w:marBottom w:val="240"/>
      <w:divBdr>
        <w:top w:val="none" w:sz="0" w:space="0" w:color="auto"/>
        <w:left w:val="none" w:sz="0" w:space="0" w:color="auto"/>
        <w:bottom w:val="none" w:sz="0" w:space="0" w:color="auto"/>
        <w:right w:val="none" w:sz="0" w:space="0" w:color="auto"/>
      </w:divBdr>
    </w:div>
    <w:div w:id="1411542316">
      <w:marLeft w:val="0"/>
      <w:marRight w:val="0"/>
      <w:marTop w:val="0"/>
      <w:marBottom w:val="240"/>
      <w:divBdr>
        <w:top w:val="none" w:sz="0" w:space="0" w:color="auto"/>
        <w:left w:val="none" w:sz="0" w:space="0" w:color="auto"/>
        <w:bottom w:val="none" w:sz="0" w:space="0" w:color="auto"/>
        <w:right w:val="none" w:sz="0" w:space="0" w:color="auto"/>
      </w:divBdr>
    </w:div>
    <w:div w:id="1416628473">
      <w:marLeft w:val="0"/>
      <w:marRight w:val="0"/>
      <w:marTop w:val="0"/>
      <w:marBottom w:val="180"/>
      <w:divBdr>
        <w:top w:val="none" w:sz="0" w:space="0" w:color="auto"/>
        <w:left w:val="none" w:sz="0" w:space="0" w:color="auto"/>
        <w:bottom w:val="none" w:sz="0" w:space="0" w:color="auto"/>
        <w:right w:val="none" w:sz="0" w:space="0" w:color="auto"/>
      </w:divBdr>
    </w:div>
    <w:div w:id="1418212014">
      <w:marLeft w:val="0"/>
      <w:marRight w:val="0"/>
      <w:marTop w:val="100"/>
      <w:marBottom w:val="0"/>
      <w:divBdr>
        <w:top w:val="none" w:sz="0" w:space="0" w:color="auto"/>
        <w:left w:val="none" w:sz="0" w:space="0" w:color="auto"/>
        <w:bottom w:val="none" w:sz="0" w:space="0" w:color="auto"/>
        <w:right w:val="none" w:sz="0" w:space="0" w:color="auto"/>
      </w:divBdr>
    </w:div>
    <w:div w:id="1418407935">
      <w:marLeft w:val="0"/>
      <w:marRight w:val="0"/>
      <w:marTop w:val="0"/>
      <w:marBottom w:val="180"/>
      <w:divBdr>
        <w:top w:val="none" w:sz="0" w:space="0" w:color="auto"/>
        <w:left w:val="none" w:sz="0" w:space="0" w:color="auto"/>
        <w:bottom w:val="none" w:sz="0" w:space="0" w:color="auto"/>
        <w:right w:val="none" w:sz="0" w:space="0" w:color="auto"/>
      </w:divBdr>
    </w:div>
    <w:div w:id="1419016043">
      <w:marLeft w:val="0"/>
      <w:marRight w:val="0"/>
      <w:marTop w:val="0"/>
      <w:marBottom w:val="0"/>
      <w:divBdr>
        <w:top w:val="none" w:sz="0" w:space="0" w:color="auto"/>
        <w:left w:val="none" w:sz="0" w:space="0" w:color="auto"/>
        <w:bottom w:val="none" w:sz="0" w:space="0" w:color="auto"/>
        <w:right w:val="none" w:sz="0" w:space="0" w:color="auto"/>
      </w:divBdr>
    </w:div>
    <w:div w:id="1419525171">
      <w:marLeft w:val="0"/>
      <w:marRight w:val="0"/>
      <w:marTop w:val="0"/>
      <w:marBottom w:val="0"/>
      <w:divBdr>
        <w:top w:val="none" w:sz="0" w:space="0" w:color="auto"/>
        <w:left w:val="none" w:sz="0" w:space="0" w:color="auto"/>
        <w:bottom w:val="none" w:sz="0" w:space="0" w:color="auto"/>
        <w:right w:val="none" w:sz="0" w:space="0" w:color="auto"/>
      </w:divBdr>
      <w:divsChild>
        <w:div w:id="805007280">
          <w:marLeft w:val="0"/>
          <w:marRight w:val="0"/>
          <w:marTop w:val="0"/>
          <w:marBottom w:val="0"/>
          <w:divBdr>
            <w:top w:val="none" w:sz="0" w:space="0" w:color="auto"/>
            <w:left w:val="none" w:sz="0" w:space="0" w:color="auto"/>
            <w:bottom w:val="none" w:sz="0" w:space="0" w:color="auto"/>
            <w:right w:val="none" w:sz="0" w:space="0" w:color="auto"/>
          </w:divBdr>
        </w:div>
      </w:divsChild>
    </w:div>
    <w:div w:id="1422606640">
      <w:marLeft w:val="0"/>
      <w:marRight w:val="0"/>
      <w:marTop w:val="180"/>
      <w:marBottom w:val="180"/>
      <w:divBdr>
        <w:top w:val="none" w:sz="0" w:space="0" w:color="auto"/>
        <w:left w:val="none" w:sz="0" w:space="0" w:color="auto"/>
        <w:bottom w:val="none" w:sz="0" w:space="0" w:color="auto"/>
        <w:right w:val="none" w:sz="0" w:space="0" w:color="auto"/>
      </w:divBdr>
    </w:div>
    <w:div w:id="1426000416">
      <w:marLeft w:val="0"/>
      <w:marRight w:val="0"/>
      <w:marTop w:val="120"/>
      <w:marBottom w:val="120"/>
      <w:divBdr>
        <w:top w:val="none" w:sz="0" w:space="0" w:color="auto"/>
        <w:left w:val="none" w:sz="0" w:space="0" w:color="auto"/>
        <w:bottom w:val="none" w:sz="0" w:space="0" w:color="auto"/>
        <w:right w:val="none" w:sz="0" w:space="0" w:color="auto"/>
      </w:divBdr>
    </w:div>
    <w:div w:id="1430006387">
      <w:marLeft w:val="0"/>
      <w:marRight w:val="0"/>
      <w:marTop w:val="0"/>
      <w:marBottom w:val="180"/>
      <w:divBdr>
        <w:top w:val="none" w:sz="0" w:space="0" w:color="auto"/>
        <w:left w:val="none" w:sz="0" w:space="0" w:color="auto"/>
        <w:bottom w:val="none" w:sz="0" w:space="0" w:color="auto"/>
        <w:right w:val="none" w:sz="0" w:space="0" w:color="auto"/>
      </w:divBdr>
    </w:div>
    <w:div w:id="1430396184">
      <w:marLeft w:val="0"/>
      <w:marRight w:val="0"/>
      <w:marTop w:val="180"/>
      <w:marBottom w:val="180"/>
      <w:divBdr>
        <w:top w:val="none" w:sz="0" w:space="0" w:color="auto"/>
        <w:left w:val="none" w:sz="0" w:space="0" w:color="auto"/>
        <w:bottom w:val="none" w:sz="0" w:space="0" w:color="auto"/>
        <w:right w:val="none" w:sz="0" w:space="0" w:color="auto"/>
      </w:divBdr>
    </w:div>
    <w:div w:id="1430925126">
      <w:marLeft w:val="0"/>
      <w:marRight w:val="0"/>
      <w:marTop w:val="0"/>
      <w:marBottom w:val="240"/>
      <w:divBdr>
        <w:top w:val="none" w:sz="0" w:space="0" w:color="auto"/>
        <w:left w:val="none" w:sz="0" w:space="0" w:color="auto"/>
        <w:bottom w:val="none" w:sz="0" w:space="0" w:color="auto"/>
        <w:right w:val="none" w:sz="0" w:space="0" w:color="auto"/>
      </w:divBdr>
    </w:div>
    <w:div w:id="1435201416">
      <w:marLeft w:val="0"/>
      <w:marRight w:val="0"/>
      <w:marTop w:val="0"/>
      <w:marBottom w:val="0"/>
      <w:divBdr>
        <w:top w:val="none" w:sz="0" w:space="0" w:color="auto"/>
        <w:left w:val="none" w:sz="0" w:space="0" w:color="auto"/>
        <w:bottom w:val="none" w:sz="0" w:space="0" w:color="auto"/>
        <w:right w:val="none" w:sz="0" w:space="0" w:color="auto"/>
      </w:divBdr>
    </w:div>
    <w:div w:id="1435593191">
      <w:marLeft w:val="0"/>
      <w:marRight w:val="0"/>
      <w:marTop w:val="0"/>
      <w:marBottom w:val="180"/>
      <w:divBdr>
        <w:top w:val="none" w:sz="0" w:space="0" w:color="auto"/>
        <w:left w:val="none" w:sz="0" w:space="0" w:color="auto"/>
        <w:bottom w:val="none" w:sz="0" w:space="0" w:color="auto"/>
        <w:right w:val="none" w:sz="0" w:space="0" w:color="auto"/>
      </w:divBdr>
    </w:div>
    <w:div w:id="1442070879">
      <w:marLeft w:val="0"/>
      <w:marRight w:val="0"/>
      <w:marTop w:val="100"/>
      <w:marBottom w:val="0"/>
      <w:divBdr>
        <w:top w:val="none" w:sz="0" w:space="0" w:color="auto"/>
        <w:left w:val="none" w:sz="0" w:space="0" w:color="auto"/>
        <w:bottom w:val="none" w:sz="0" w:space="0" w:color="auto"/>
        <w:right w:val="none" w:sz="0" w:space="0" w:color="auto"/>
      </w:divBdr>
    </w:div>
    <w:div w:id="1442258386">
      <w:marLeft w:val="0"/>
      <w:marRight w:val="0"/>
      <w:marTop w:val="0"/>
      <w:marBottom w:val="0"/>
      <w:divBdr>
        <w:top w:val="none" w:sz="0" w:space="0" w:color="auto"/>
        <w:left w:val="none" w:sz="0" w:space="0" w:color="auto"/>
        <w:bottom w:val="none" w:sz="0" w:space="0" w:color="auto"/>
        <w:right w:val="none" w:sz="0" w:space="0" w:color="auto"/>
      </w:divBdr>
    </w:div>
    <w:div w:id="1443307467">
      <w:marLeft w:val="0"/>
      <w:marRight w:val="0"/>
      <w:marTop w:val="0"/>
      <w:marBottom w:val="180"/>
      <w:divBdr>
        <w:top w:val="none" w:sz="0" w:space="0" w:color="auto"/>
        <w:left w:val="none" w:sz="0" w:space="0" w:color="auto"/>
        <w:bottom w:val="none" w:sz="0" w:space="0" w:color="auto"/>
        <w:right w:val="none" w:sz="0" w:space="0" w:color="auto"/>
      </w:divBdr>
    </w:div>
    <w:div w:id="1443761501">
      <w:marLeft w:val="0"/>
      <w:marRight w:val="0"/>
      <w:marTop w:val="100"/>
      <w:marBottom w:val="0"/>
      <w:divBdr>
        <w:top w:val="none" w:sz="0" w:space="0" w:color="auto"/>
        <w:left w:val="none" w:sz="0" w:space="0" w:color="auto"/>
        <w:bottom w:val="none" w:sz="0" w:space="0" w:color="auto"/>
        <w:right w:val="none" w:sz="0" w:space="0" w:color="auto"/>
      </w:divBdr>
      <w:divsChild>
        <w:div w:id="1932599">
          <w:marLeft w:val="0"/>
          <w:marRight w:val="0"/>
          <w:marTop w:val="0"/>
          <w:marBottom w:val="0"/>
          <w:divBdr>
            <w:top w:val="none" w:sz="0" w:space="0" w:color="auto"/>
            <w:left w:val="none" w:sz="0" w:space="0" w:color="auto"/>
            <w:bottom w:val="none" w:sz="0" w:space="0" w:color="auto"/>
            <w:right w:val="none" w:sz="0" w:space="0" w:color="auto"/>
          </w:divBdr>
        </w:div>
        <w:div w:id="1594701394">
          <w:marLeft w:val="0"/>
          <w:marRight w:val="0"/>
          <w:marTop w:val="0"/>
          <w:marBottom w:val="0"/>
          <w:divBdr>
            <w:top w:val="none" w:sz="0" w:space="0" w:color="auto"/>
            <w:left w:val="none" w:sz="0" w:space="0" w:color="auto"/>
            <w:bottom w:val="none" w:sz="0" w:space="0" w:color="auto"/>
            <w:right w:val="none" w:sz="0" w:space="0" w:color="auto"/>
          </w:divBdr>
        </w:div>
      </w:divsChild>
    </w:div>
    <w:div w:id="1457025538">
      <w:marLeft w:val="0"/>
      <w:marRight w:val="0"/>
      <w:marTop w:val="120"/>
      <w:marBottom w:val="240"/>
      <w:divBdr>
        <w:top w:val="none" w:sz="0" w:space="0" w:color="auto"/>
        <w:left w:val="none" w:sz="0" w:space="0" w:color="auto"/>
        <w:bottom w:val="none" w:sz="0" w:space="0" w:color="auto"/>
        <w:right w:val="none" w:sz="0" w:space="0" w:color="auto"/>
      </w:divBdr>
    </w:div>
    <w:div w:id="1457214632">
      <w:marLeft w:val="0"/>
      <w:marRight w:val="0"/>
      <w:marTop w:val="140"/>
      <w:marBottom w:val="240"/>
      <w:divBdr>
        <w:top w:val="none" w:sz="0" w:space="0" w:color="auto"/>
        <w:left w:val="none" w:sz="0" w:space="0" w:color="auto"/>
        <w:bottom w:val="none" w:sz="0" w:space="0" w:color="auto"/>
        <w:right w:val="none" w:sz="0" w:space="0" w:color="auto"/>
      </w:divBdr>
    </w:div>
    <w:div w:id="1457479425">
      <w:marLeft w:val="0"/>
      <w:marRight w:val="0"/>
      <w:marTop w:val="0"/>
      <w:marBottom w:val="0"/>
      <w:divBdr>
        <w:top w:val="none" w:sz="0" w:space="0" w:color="auto"/>
        <w:left w:val="none" w:sz="0" w:space="0" w:color="auto"/>
        <w:bottom w:val="none" w:sz="0" w:space="0" w:color="auto"/>
        <w:right w:val="none" w:sz="0" w:space="0" w:color="auto"/>
      </w:divBdr>
      <w:divsChild>
        <w:div w:id="842280327">
          <w:marLeft w:val="0"/>
          <w:marRight w:val="0"/>
          <w:marTop w:val="0"/>
          <w:marBottom w:val="0"/>
          <w:divBdr>
            <w:top w:val="none" w:sz="0" w:space="0" w:color="auto"/>
            <w:left w:val="none" w:sz="0" w:space="0" w:color="auto"/>
            <w:bottom w:val="none" w:sz="0" w:space="0" w:color="auto"/>
            <w:right w:val="none" w:sz="0" w:space="0" w:color="auto"/>
          </w:divBdr>
        </w:div>
        <w:div w:id="607274678">
          <w:marLeft w:val="0"/>
          <w:marRight w:val="0"/>
          <w:marTop w:val="0"/>
          <w:marBottom w:val="0"/>
          <w:divBdr>
            <w:top w:val="none" w:sz="0" w:space="0" w:color="auto"/>
            <w:left w:val="none" w:sz="0" w:space="0" w:color="auto"/>
            <w:bottom w:val="none" w:sz="0" w:space="0" w:color="auto"/>
            <w:right w:val="none" w:sz="0" w:space="0" w:color="auto"/>
          </w:divBdr>
        </w:div>
        <w:div w:id="1243029534">
          <w:marLeft w:val="0"/>
          <w:marRight w:val="0"/>
          <w:marTop w:val="0"/>
          <w:marBottom w:val="0"/>
          <w:divBdr>
            <w:top w:val="none" w:sz="0" w:space="0" w:color="auto"/>
            <w:left w:val="none" w:sz="0" w:space="0" w:color="auto"/>
            <w:bottom w:val="none" w:sz="0" w:space="0" w:color="auto"/>
            <w:right w:val="none" w:sz="0" w:space="0" w:color="auto"/>
          </w:divBdr>
        </w:div>
      </w:divsChild>
    </w:div>
    <w:div w:id="1457484539">
      <w:marLeft w:val="0"/>
      <w:marRight w:val="0"/>
      <w:marTop w:val="0"/>
      <w:marBottom w:val="180"/>
      <w:divBdr>
        <w:top w:val="none" w:sz="0" w:space="0" w:color="auto"/>
        <w:left w:val="none" w:sz="0" w:space="0" w:color="auto"/>
        <w:bottom w:val="none" w:sz="0" w:space="0" w:color="auto"/>
        <w:right w:val="none" w:sz="0" w:space="0" w:color="auto"/>
      </w:divBdr>
    </w:div>
    <w:div w:id="1457872665">
      <w:marLeft w:val="0"/>
      <w:marRight w:val="0"/>
      <w:marTop w:val="0"/>
      <w:marBottom w:val="240"/>
      <w:divBdr>
        <w:top w:val="none" w:sz="0" w:space="0" w:color="auto"/>
        <w:left w:val="none" w:sz="0" w:space="0" w:color="auto"/>
        <w:bottom w:val="none" w:sz="0" w:space="0" w:color="auto"/>
        <w:right w:val="none" w:sz="0" w:space="0" w:color="auto"/>
      </w:divBdr>
    </w:div>
    <w:div w:id="1458838667">
      <w:marLeft w:val="0"/>
      <w:marRight w:val="0"/>
      <w:marTop w:val="0"/>
      <w:marBottom w:val="0"/>
      <w:divBdr>
        <w:top w:val="none" w:sz="0" w:space="0" w:color="auto"/>
        <w:left w:val="none" w:sz="0" w:space="0" w:color="auto"/>
        <w:bottom w:val="none" w:sz="0" w:space="0" w:color="auto"/>
        <w:right w:val="none" w:sz="0" w:space="0" w:color="auto"/>
      </w:divBdr>
      <w:divsChild>
        <w:div w:id="1207177676">
          <w:marLeft w:val="0"/>
          <w:marRight w:val="0"/>
          <w:marTop w:val="0"/>
          <w:marBottom w:val="0"/>
          <w:divBdr>
            <w:top w:val="none" w:sz="0" w:space="0" w:color="auto"/>
            <w:left w:val="none" w:sz="0" w:space="0" w:color="auto"/>
            <w:bottom w:val="none" w:sz="0" w:space="0" w:color="auto"/>
            <w:right w:val="none" w:sz="0" w:space="0" w:color="auto"/>
          </w:divBdr>
        </w:div>
      </w:divsChild>
    </w:div>
    <w:div w:id="1460418249">
      <w:marLeft w:val="0"/>
      <w:marRight w:val="0"/>
      <w:marTop w:val="180"/>
      <w:marBottom w:val="180"/>
      <w:divBdr>
        <w:top w:val="none" w:sz="0" w:space="0" w:color="auto"/>
        <w:left w:val="none" w:sz="0" w:space="0" w:color="auto"/>
        <w:bottom w:val="none" w:sz="0" w:space="0" w:color="auto"/>
        <w:right w:val="none" w:sz="0" w:space="0" w:color="auto"/>
      </w:divBdr>
    </w:div>
    <w:div w:id="1463159166">
      <w:marLeft w:val="0"/>
      <w:marRight w:val="0"/>
      <w:marTop w:val="0"/>
      <w:marBottom w:val="240"/>
      <w:divBdr>
        <w:top w:val="none" w:sz="0" w:space="0" w:color="auto"/>
        <w:left w:val="none" w:sz="0" w:space="0" w:color="auto"/>
        <w:bottom w:val="none" w:sz="0" w:space="0" w:color="auto"/>
        <w:right w:val="none" w:sz="0" w:space="0" w:color="auto"/>
      </w:divBdr>
    </w:div>
    <w:div w:id="1464271805">
      <w:marLeft w:val="0"/>
      <w:marRight w:val="0"/>
      <w:marTop w:val="0"/>
      <w:marBottom w:val="180"/>
      <w:divBdr>
        <w:top w:val="none" w:sz="0" w:space="0" w:color="auto"/>
        <w:left w:val="none" w:sz="0" w:space="0" w:color="auto"/>
        <w:bottom w:val="none" w:sz="0" w:space="0" w:color="auto"/>
        <w:right w:val="none" w:sz="0" w:space="0" w:color="auto"/>
      </w:divBdr>
    </w:div>
    <w:div w:id="1464881443">
      <w:marLeft w:val="0"/>
      <w:marRight w:val="0"/>
      <w:marTop w:val="0"/>
      <w:marBottom w:val="0"/>
      <w:divBdr>
        <w:top w:val="none" w:sz="0" w:space="0" w:color="auto"/>
        <w:left w:val="none" w:sz="0" w:space="0" w:color="auto"/>
        <w:bottom w:val="none" w:sz="0" w:space="0" w:color="auto"/>
        <w:right w:val="none" w:sz="0" w:space="0" w:color="auto"/>
      </w:divBdr>
    </w:div>
    <w:div w:id="1465467160">
      <w:marLeft w:val="0"/>
      <w:marRight w:val="0"/>
      <w:marTop w:val="0"/>
      <w:marBottom w:val="0"/>
      <w:divBdr>
        <w:top w:val="none" w:sz="0" w:space="0" w:color="auto"/>
        <w:left w:val="none" w:sz="0" w:space="0" w:color="auto"/>
        <w:bottom w:val="none" w:sz="0" w:space="0" w:color="auto"/>
        <w:right w:val="none" w:sz="0" w:space="0" w:color="auto"/>
      </w:divBdr>
    </w:div>
    <w:div w:id="1466577871">
      <w:marLeft w:val="0"/>
      <w:marRight w:val="0"/>
      <w:marTop w:val="0"/>
      <w:marBottom w:val="0"/>
      <w:divBdr>
        <w:top w:val="none" w:sz="0" w:space="0" w:color="auto"/>
        <w:left w:val="none" w:sz="0" w:space="0" w:color="auto"/>
        <w:bottom w:val="none" w:sz="0" w:space="0" w:color="auto"/>
        <w:right w:val="none" w:sz="0" w:space="0" w:color="auto"/>
      </w:divBdr>
      <w:divsChild>
        <w:div w:id="127553253">
          <w:marLeft w:val="0"/>
          <w:marRight w:val="0"/>
          <w:marTop w:val="0"/>
          <w:marBottom w:val="0"/>
          <w:divBdr>
            <w:top w:val="none" w:sz="0" w:space="0" w:color="auto"/>
            <w:left w:val="none" w:sz="0" w:space="0" w:color="auto"/>
            <w:bottom w:val="none" w:sz="0" w:space="0" w:color="auto"/>
            <w:right w:val="none" w:sz="0" w:space="0" w:color="auto"/>
          </w:divBdr>
        </w:div>
      </w:divsChild>
    </w:div>
    <w:div w:id="1466776395">
      <w:marLeft w:val="0"/>
      <w:marRight w:val="0"/>
      <w:marTop w:val="0"/>
      <w:marBottom w:val="240"/>
      <w:divBdr>
        <w:top w:val="none" w:sz="0" w:space="0" w:color="auto"/>
        <w:left w:val="none" w:sz="0" w:space="0" w:color="auto"/>
        <w:bottom w:val="none" w:sz="0" w:space="0" w:color="auto"/>
        <w:right w:val="none" w:sz="0" w:space="0" w:color="auto"/>
      </w:divBdr>
    </w:div>
    <w:div w:id="1470123519">
      <w:marLeft w:val="0"/>
      <w:marRight w:val="0"/>
      <w:marTop w:val="0"/>
      <w:marBottom w:val="180"/>
      <w:divBdr>
        <w:top w:val="none" w:sz="0" w:space="0" w:color="auto"/>
        <w:left w:val="none" w:sz="0" w:space="0" w:color="auto"/>
        <w:bottom w:val="none" w:sz="0" w:space="0" w:color="auto"/>
        <w:right w:val="none" w:sz="0" w:space="0" w:color="auto"/>
      </w:divBdr>
    </w:div>
    <w:div w:id="1470828751">
      <w:marLeft w:val="0"/>
      <w:marRight w:val="0"/>
      <w:marTop w:val="0"/>
      <w:marBottom w:val="60"/>
      <w:divBdr>
        <w:top w:val="none" w:sz="0" w:space="0" w:color="auto"/>
        <w:left w:val="none" w:sz="0" w:space="0" w:color="auto"/>
        <w:bottom w:val="none" w:sz="0" w:space="0" w:color="auto"/>
        <w:right w:val="none" w:sz="0" w:space="0" w:color="auto"/>
      </w:divBdr>
    </w:div>
    <w:div w:id="1471051520">
      <w:marLeft w:val="0"/>
      <w:marRight w:val="0"/>
      <w:marTop w:val="0"/>
      <w:marBottom w:val="240"/>
      <w:divBdr>
        <w:top w:val="none" w:sz="0" w:space="0" w:color="auto"/>
        <w:left w:val="none" w:sz="0" w:space="0" w:color="auto"/>
        <w:bottom w:val="none" w:sz="0" w:space="0" w:color="auto"/>
        <w:right w:val="none" w:sz="0" w:space="0" w:color="auto"/>
      </w:divBdr>
    </w:div>
    <w:div w:id="1473208967">
      <w:marLeft w:val="0"/>
      <w:marRight w:val="0"/>
      <w:marTop w:val="0"/>
      <w:marBottom w:val="180"/>
      <w:divBdr>
        <w:top w:val="none" w:sz="0" w:space="0" w:color="auto"/>
        <w:left w:val="none" w:sz="0" w:space="0" w:color="auto"/>
        <w:bottom w:val="none" w:sz="0" w:space="0" w:color="auto"/>
        <w:right w:val="none" w:sz="0" w:space="0" w:color="auto"/>
      </w:divBdr>
    </w:div>
    <w:div w:id="1474522962">
      <w:marLeft w:val="0"/>
      <w:marRight w:val="0"/>
      <w:marTop w:val="180"/>
      <w:marBottom w:val="180"/>
      <w:divBdr>
        <w:top w:val="none" w:sz="0" w:space="0" w:color="auto"/>
        <w:left w:val="none" w:sz="0" w:space="0" w:color="auto"/>
        <w:bottom w:val="none" w:sz="0" w:space="0" w:color="auto"/>
        <w:right w:val="none" w:sz="0" w:space="0" w:color="auto"/>
      </w:divBdr>
    </w:div>
    <w:div w:id="1475248034">
      <w:marLeft w:val="0"/>
      <w:marRight w:val="0"/>
      <w:marTop w:val="120"/>
      <w:marBottom w:val="120"/>
      <w:divBdr>
        <w:top w:val="none" w:sz="0" w:space="0" w:color="auto"/>
        <w:left w:val="none" w:sz="0" w:space="0" w:color="auto"/>
        <w:bottom w:val="none" w:sz="0" w:space="0" w:color="auto"/>
        <w:right w:val="none" w:sz="0" w:space="0" w:color="auto"/>
      </w:divBdr>
    </w:div>
    <w:div w:id="1481775276">
      <w:marLeft w:val="0"/>
      <w:marRight w:val="0"/>
      <w:marTop w:val="0"/>
      <w:marBottom w:val="180"/>
      <w:divBdr>
        <w:top w:val="none" w:sz="0" w:space="0" w:color="auto"/>
        <w:left w:val="none" w:sz="0" w:space="0" w:color="auto"/>
        <w:bottom w:val="none" w:sz="0" w:space="0" w:color="auto"/>
        <w:right w:val="none" w:sz="0" w:space="0" w:color="auto"/>
      </w:divBdr>
    </w:div>
    <w:div w:id="1483621081">
      <w:marLeft w:val="0"/>
      <w:marRight w:val="0"/>
      <w:marTop w:val="0"/>
      <w:marBottom w:val="240"/>
      <w:divBdr>
        <w:top w:val="none" w:sz="0" w:space="0" w:color="auto"/>
        <w:left w:val="none" w:sz="0" w:space="0" w:color="auto"/>
        <w:bottom w:val="none" w:sz="0" w:space="0" w:color="auto"/>
        <w:right w:val="none" w:sz="0" w:space="0" w:color="auto"/>
      </w:divBdr>
    </w:div>
    <w:div w:id="1484354089">
      <w:marLeft w:val="0"/>
      <w:marRight w:val="0"/>
      <w:marTop w:val="0"/>
      <w:marBottom w:val="0"/>
      <w:divBdr>
        <w:top w:val="none" w:sz="0" w:space="0" w:color="auto"/>
        <w:left w:val="none" w:sz="0" w:space="0" w:color="auto"/>
        <w:bottom w:val="none" w:sz="0" w:space="0" w:color="auto"/>
        <w:right w:val="none" w:sz="0" w:space="0" w:color="auto"/>
      </w:divBdr>
      <w:divsChild>
        <w:div w:id="235096411">
          <w:marLeft w:val="0"/>
          <w:marRight w:val="0"/>
          <w:marTop w:val="0"/>
          <w:marBottom w:val="0"/>
          <w:divBdr>
            <w:top w:val="none" w:sz="0" w:space="0" w:color="auto"/>
            <w:left w:val="none" w:sz="0" w:space="0" w:color="auto"/>
            <w:bottom w:val="none" w:sz="0" w:space="0" w:color="auto"/>
            <w:right w:val="none" w:sz="0" w:space="0" w:color="auto"/>
          </w:divBdr>
        </w:div>
      </w:divsChild>
    </w:div>
    <w:div w:id="1485046629">
      <w:marLeft w:val="0"/>
      <w:marRight w:val="0"/>
      <w:marTop w:val="180"/>
      <w:marBottom w:val="180"/>
      <w:divBdr>
        <w:top w:val="none" w:sz="0" w:space="0" w:color="auto"/>
        <w:left w:val="none" w:sz="0" w:space="0" w:color="auto"/>
        <w:bottom w:val="none" w:sz="0" w:space="0" w:color="auto"/>
        <w:right w:val="none" w:sz="0" w:space="0" w:color="auto"/>
      </w:divBdr>
    </w:div>
    <w:div w:id="1486049272">
      <w:marLeft w:val="0"/>
      <w:marRight w:val="0"/>
      <w:marTop w:val="0"/>
      <w:marBottom w:val="180"/>
      <w:divBdr>
        <w:top w:val="none" w:sz="0" w:space="0" w:color="auto"/>
        <w:left w:val="none" w:sz="0" w:space="0" w:color="auto"/>
        <w:bottom w:val="none" w:sz="0" w:space="0" w:color="auto"/>
        <w:right w:val="none" w:sz="0" w:space="0" w:color="auto"/>
      </w:divBdr>
    </w:div>
    <w:div w:id="1486169514">
      <w:marLeft w:val="0"/>
      <w:marRight w:val="0"/>
      <w:marTop w:val="0"/>
      <w:marBottom w:val="0"/>
      <w:divBdr>
        <w:top w:val="none" w:sz="0" w:space="0" w:color="auto"/>
        <w:left w:val="none" w:sz="0" w:space="0" w:color="auto"/>
        <w:bottom w:val="none" w:sz="0" w:space="0" w:color="auto"/>
        <w:right w:val="none" w:sz="0" w:space="0" w:color="auto"/>
      </w:divBdr>
    </w:div>
    <w:div w:id="1486386426">
      <w:marLeft w:val="0"/>
      <w:marRight w:val="0"/>
      <w:marTop w:val="0"/>
      <w:marBottom w:val="240"/>
      <w:divBdr>
        <w:top w:val="none" w:sz="0" w:space="0" w:color="auto"/>
        <w:left w:val="none" w:sz="0" w:space="0" w:color="auto"/>
        <w:bottom w:val="none" w:sz="0" w:space="0" w:color="auto"/>
        <w:right w:val="none" w:sz="0" w:space="0" w:color="auto"/>
      </w:divBdr>
    </w:div>
    <w:div w:id="1486774810">
      <w:marLeft w:val="0"/>
      <w:marRight w:val="0"/>
      <w:marTop w:val="0"/>
      <w:marBottom w:val="240"/>
      <w:divBdr>
        <w:top w:val="none" w:sz="0" w:space="0" w:color="auto"/>
        <w:left w:val="none" w:sz="0" w:space="0" w:color="auto"/>
        <w:bottom w:val="none" w:sz="0" w:space="0" w:color="auto"/>
        <w:right w:val="none" w:sz="0" w:space="0" w:color="auto"/>
      </w:divBdr>
    </w:div>
    <w:div w:id="1487548283">
      <w:marLeft w:val="0"/>
      <w:marRight w:val="0"/>
      <w:marTop w:val="0"/>
      <w:marBottom w:val="0"/>
      <w:divBdr>
        <w:top w:val="none" w:sz="0" w:space="0" w:color="auto"/>
        <w:left w:val="none" w:sz="0" w:space="0" w:color="auto"/>
        <w:bottom w:val="none" w:sz="0" w:space="0" w:color="auto"/>
        <w:right w:val="none" w:sz="0" w:space="0" w:color="auto"/>
      </w:divBdr>
    </w:div>
    <w:div w:id="1490558783">
      <w:marLeft w:val="0"/>
      <w:marRight w:val="0"/>
      <w:marTop w:val="0"/>
      <w:marBottom w:val="180"/>
      <w:divBdr>
        <w:top w:val="none" w:sz="0" w:space="0" w:color="auto"/>
        <w:left w:val="none" w:sz="0" w:space="0" w:color="auto"/>
        <w:bottom w:val="none" w:sz="0" w:space="0" w:color="auto"/>
        <w:right w:val="none" w:sz="0" w:space="0" w:color="auto"/>
      </w:divBdr>
    </w:div>
    <w:div w:id="1490560510">
      <w:marLeft w:val="0"/>
      <w:marRight w:val="0"/>
      <w:marTop w:val="0"/>
      <w:marBottom w:val="0"/>
      <w:divBdr>
        <w:top w:val="none" w:sz="0" w:space="0" w:color="auto"/>
        <w:left w:val="none" w:sz="0" w:space="0" w:color="auto"/>
        <w:bottom w:val="none" w:sz="0" w:space="0" w:color="auto"/>
        <w:right w:val="none" w:sz="0" w:space="0" w:color="auto"/>
      </w:divBdr>
      <w:divsChild>
        <w:div w:id="1791126114">
          <w:marLeft w:val="0"/>
          <w:marRight w:val="0"/>
          <w:marTop w:val="0"/>
          <w:marBottom w:val="0"/>
          <w:divBdr>
            <w:top w:val="none" w:sz="0" w:space="0" w:color="auto"/>
            <w:left w:val="none" w:sz="0" w:space="0" w:color="auto"/>
            <w:bottom w:val="none" w:sz="0" w:space="0" w:color="auto"/>
            <w:right w:val="none" w:sz="0" w:space="0" w:color="auto"/>
          </w:divBdr>
        </w:div>
      </w:divsChild>
    </w:div>
    <w:div w:id="1491411676">
      <w:marLeft w:val="0"/>
      <w:marRight w:val="0"/>
      <w:marTop w:val="0"/>
      <w:marBottom w:val="240"/>
      <w:divBdr>
        <w:top w:val="none" w:sz="0" w:space="0" w:color="auto"/>
        <w:left w:val="none" w:sz="0" w:space="0" w:color="auto"/>
        <w:bottom w:val="none" w:sz="0" w:space="0" w:color="auto"/>
        <w:right w:val="none" w:sz="0" w:space="0" w:color="auto"/>
      </w:divBdr>
    </w:div>
    <w:div w:id="1495490637">
      <w:marLeft w:val="0"/>
      <w:marRight w:val="0"/>
      <w:marTop w:val="0"/>
      <w:marBottom w:val="180"/>
      <w:divBdr>
        <w:top w:val="none" w:sz="0" w:space="0" w:color="auto"/>
        <w:left w:val="none" w:sz="0" w:space="0" w:color="auto"/>
        <w:bottom w:val="none" w:sz="0" w:space="0" w:color="auto"/>
        <w:right w:val="none" w:sz="0" w:space="0" w:color="auto"/>
      </w:divBdr>
    </w:div>
    <w:div w:id="1498962119">
      <w:marLeft w:val="0"/>
      <w:marRight w:val="0"/>
      <w:marTop w:val="180"/>
      <w:marBottom w:val="180"/>
      <w:divBdr>
        <w:top w:val="none" w:sz="0" w:space="0" w:color="auto"/>
        <w:left w:val="none" w:sz="0" w:space="0" w:color="auto"/>
        <w:bottom w:val="none" w:sz="0" w:space="0" w:color="auto"/>
        <w:right w:val="none" w:sz="0" w:space="0" w:color="auto"/>
      </w:divBdr>
    </w:div>
    <w:div w:id="1506358375">
      <w:marLeft w:val="0"/>
      <w:marRight w:val="0"/>
      <w:marTop w:val="120"/>
      <w:marBottom w:val="120"/>
      <w:divBdr>
        <w:top w:val="none" w:sz="0" w:space="0" w:color="auto"/>
        <w:left w:val="none" w:sz="0" w:space="0" w:color="auto"/>
        <w:bottom w:val="none" w:sz="0" w:space="0" w:color="auto"/>
        <w:right w:val="none" w:sz="0" w:space="0" w:color="auto"/>
      </w:divBdr>
    </w:div>
    <w:div w:id="1507817995">
      <w:marLeft w:val="0"/>
      <w:marRight w:val="0"/>
      <w:marTop w:val="0"/>
      <w:marBottom w:val="0"/>
      <w:divBdr>
        <w:top w:val="none" w:sz="0" w:space="0" w:color="auto"/>
        <w:left w:val="none" w:sz="0" w:space="0" w:color="auto"/>
        <w:bottom w:val="none" w:sz="0" w:space="0" w:color="auto"/>
        <w:right w:val="none" w:sz="0" w:space="0" w:color="auto"/>
      </w:divBdr>
      <w:divsChild>
        <w:div w:id="970407002">
          <w:marLeft w:val="0"/>
          <w:marRight w:val="0"/>
          <w:marTop w:val="0"/>
          <w:marBottom w:val="0"/>
          <w:divBdr>
            <w:top w:val="none" w:sz="0" w:space="0" w:color="auto"/>
            <w:left w:val="none" w:sz="0" w:space="0" w:color="auto"/>
            <w:bottom w:val="none" w:sz="0" w:space="0" w:color="auto"/>
            <w:right w:val="none" w:sz="0" w:space="0" w:color="auto"/>
          </w:divBdr>
        </w:div>
      </w:divsChild>
    </w:div>
    <w:div w:id="1509714241">
      <w:marLeft w:val="0"/>
      <w:marRight w:val="0"/>
      <w:marTop w:val="100"/>
      <w:marBottom w:val="0"/>
      <w:divBdr>
        <w:top w:val="none" w:sz="0" w:space="0" w:color="auto"/>
        <w:left w:val="none" w:sz="0" w:space="0" w:color="auto"/>
        <w:bottom w:val="none" w:sz="0" w:space="0" w:color="auto"/>
        <w:right w:val="none" w:sz="0" w:space="0" w:color="auto"/>
      </w:divBdr>
      <w:divsChild>
        <w:div w:id="2102216945">
          <w:marLeft w:val="0"/>
          <w:marRight w:val="0"/>
          <w:marTop w:val="0"/>
          <w:marBottom w:val="180"/>
          <w:divBdr>
            <w:top w:val="none" w:sz="0" w:space="0" w:color="auto"/>
            <w:left w:val="none" w:sz="0" w:space="0" w:color="auto"/>
            <w:bottom w:val="none" w:sz="0" w:space="0" w:color="auto"/>
            <w:right w:val="none" w:sz="0" w:space="0" w:color="auto"/>
          </w:divBdr>
        </w:div>
      </w:divsChild>
    </w:div>
    <w:div w:id="1516306785">
      <w:marLeft w:val="0"/>
      <w:marRight w:val="0"/>
      <w:marTop w:val="0"/>
      <w:marBottom w:val="0"/>
      <w:divBdr>
        <w:top w:val="none" w:sz="0" w:space="0" w:color="auto"/>
        <w:left w:val="none" w:sz="0" w:space="0" w:color="auto"/>
        <w:bottom w:val="none" w:sz="0" w:space="0" w:color="auto"/>
        <w:right w:val="none" w:sz="0" w:space="0" w:color="auto"/>
      </w:divBdr>
    </w:div>
    <w:div w:id="1516922290">
      <w:marLeft w:val="0"/>
      <w:marRight w:val="0"/>
      <w:marTop w:val="120"/>
      <w:marBottom w:val="120"/>
      <w:divBdr>
        <w:top w:val="none" w:sz="0" w:space="0" w:color="auto"/>
        <w:left w:val="none" w:sz="0" w:space="0" w:color="auto"/>
        <w:bottom w:val="none" w:sz="0" w:space="0" w:color="auto"/>
        <w:right w:val="none" w:sz="0" w:space="0" w:color="auto"/>
      </w:divBdr>
    </w:div>
    <w:div w:id="1517115740">
      <w:marLeft w:val="0"/>
      <w:marRight w:val="0"/>
      <w:marTop w:val="100"/>
      <w:marBottom w:val="0"/>
      <w:divBdr>
        <w:top w:val="none" w:sz="0" w:space="0" w:color="auto"/>
        <w:left w:val="none" w:sz="0" w:space="0" w:color="auto"/>
        <w:bottom w:val="none" w:sz="0" w:space="0" w:color="auto"/>
        <w:right w:val="none" w:sz="0" w:space="0" w:color="auto"/>
      </w:divBdr>
      <w:divsChild>
        <w:div w:id="1689403611">
          <w:marLeft w:val="0"/>
          <w:marRight w:val="0"/>
          <w:marTop w:val="0"/>
          <w:marBottom w:val="0"/>
          <w:divBdr>
            <w:top w:val="none" w:sz="0" w:space="0" w:color="auto"/>
            <w:left w:val="none" w:sz="0" w:space="0" w:color="auto"/>
            <w:bottom w:val="none" w:sz="0" w:space="0" w:color="auto"/>
            <w:right w:val="none" w:sz="0" w:space="0" w:color="auto"/>
          </w:divBdr>
        </w:div>
        <w:div w:id="448013405">
          <w:marLeft w:val="0"/>
          <w:marRight w:val="0"/>
          <w:marTop w:val="0"/>
          <w:marBottom w:val="0"/>
          <w:divBdr>
            <w:top w:val="none" w:sz="0" w:space="0" w:color="auto"/>
            <w:left w:val="none" w:sz="0" w:space="0" w:color="auto"/>
            <w:bottom w:val="none" w:sz="0" w:space="0" w:color="auto"/>
            <w:right w:val="none" w:sz="0" w:space="0" w:color="auto"/>
          </w:divBdr>
        </w:div>
        <w:div w:id="182206219">
          <w:marLeft w:val="0"/>
          <w:marRight w:val="0"/>
          <w:marTop w:val="0"/>
          <w:marBottom w:val="0"/>
          <w:divBdr>
            <w:top w:val="none" w:sz="0" w:space="0" w:color="auto"/>
            <w:left w:val="none" w:sz="0" w:space="0" w:color="auto"/>
            <w:bottom w:val="none" w:sz="0" w:space="0" w:color="auto"/>
            <w:right w:val="none" w:sz="0" w:space="0" w:color="auto"/>
          </w:divBdr>
        </w:div>
        <w:div w:id="540288111">
          <w:marLeft w:val="0"/>
          <w:marRight w:val="0"/>
          <w:marTop w:val="0"/>
          <w:marBottom w:val="0"/>
          <w:divBdr>
            <w:top w:val="none" w:sz="0" w:space="0" w:color="auto"/>
            <w:left w:val="none" w:sz="0" w:space="0" w:color="auto"/>
            <w:bottom w:val="none" w:sz="0" w:space="0" w:color="auto"/>
            <w:right w:val="none" w:sz="0" w:space="0" w:color="auto"/>
          </w:divBdr>
        </w:div>
        <w:div w:id="960069476">
          <w:marLeft w:val="0"/>
          <w:marRight w:val="0"/>
          <w:marTop w:val="0"/>
          <w:marBottom w:val="0"/>
          <w:divBdr>
            <w:top w:val="none" w:sz="0" w:space="0" w:color="auto"/>
            <w:left w:val="none" w:sz="0" w:space="0" w:color="auto"/>
            <w:bottom w:val="none" w:sz="0" w:space="0" w:color="auto"/>
            <w:right w:val="none" w:sz="0" w:space="0" w:color="auto"/>
          </w:divBdr>
        </w:div>
      </w:divsChild>
    </w:div>
    <w:div w:id="1520854511">
      <w:marLeft w:val="0"/>
      <w:marRight w:val="0"/>
      <w:marTop w:val="0"/>
      <w:marBottom w:val="240"/>
      <w:divBdr>
        <w:top w:val="none" w:sz="0" w:space="0" w:color="auto"/>
        <w:left w:val="none" w:sz="0" w:space="0" w:color="auto"/>
        <w:bottom w:val="none" w:sz="0" w:space="0" w:color="auto"/>
        <w:right w:val="none" w:sz="0" w:space="0" w:color="auto"/>
      </w:divBdr>
    </w:div>
    <w:div w:id="1521384894">
      <w:marLeft w:val="0"/>
      <w:marRight w:val="0"/>
      <w:marTop w:val="0"/>
      <w:marBottom w:val="240"/>
      <w:divBdr>
        <w:top w:val="none" w:sz="0" w:space="0" w:color="auto"/>
        <w:left w:val="none" w:sz="0" w:space="0" w:color="auto"/>
        <w:bottom w:val="none" w:sz="0" w:space="0" w:color="auto"/>
        <w:right w:val="none" w:sz="0" w:space="0" w:color="auto"/>
      </w:divBdr>
    </w:div>
    <w:div w:id="1521696657">
      <w:marLeft w:val="0"/>
      <w:marRight w:val="0"/>
      <w:marTop w:val="100"/>
      <w:marBottom w:val="0"/>
      <w:divBdr>
        <w:top w:val="none" w:sz="0" w:space="0" w:color="auto"/>
        <w:left w:val="none" w:sz="0" w:space="0" w:color="auto"/>
        <w:bottom w:val="none" w:sz="0" w:space="0" w:color="auto"/>
        <w:right w:val="none" w:sz="0" w:space="0" w:color="auto"/>
      </w:divBdr>
    </w:div>
    <w:div w:id="1525052831">
      <w:marLeft w:val="0"/>
      <w:marRight w:val="0"/>
      <w:marTop w:val="100"/>
      <w:marBottom w:val="0"/>
      <w:divBdr>
        <w:top w:val="none" w:sz="0" w:space="0" w:color="auto"/>
        <w:left w:val="none" w:sz="0" w:space="0" w:color="auto"/>
        <w:bottom w:val="none" w:sz="0" w:space="0" w:color="auto"/>
        <w:right w:val="none" w:sz="0" w:space="0" w:color="auto"/>
      </w:divBdr>
    </w:div>
    <w:div w:id="1527984935">
      <w:marLeft w:val="0"/>
      <w:marRight w:val="0"/>
      <w:marTop w:val="0"/>
      <w:marBottom w:val="180"/>
      <w:divBdr>
        <w:top w:val="none" w:sz="0" w:space="0" w:color="auto"/>
        <w:left w:val="none" w:sz="0" w:space="0" w:color="auto"/>
        <w:bottom w:val="none" w:sz="0" w:space="0" w:color="auto"/>
        <w:right w:val="none" w:sz="0" w:space="0" w:color="auto"/>
      </w:divBdr>
    </w:div>
    <w:div w:id="1530796196">
      <w:marLeft w:val="0"/>
      <w:marRight w:val="0"/>
      <w:marTop w:val="0"/>
      <w:marBottom w:val="240"/>
      <w:divBdr>
        <w:top w:val="none" w:sz="0" w:space="0" w:color="auto"/>
        <w:left w:val="none" w:sz="0" w:space="0" w:color="auto"/>
        <w:bottom w:val="none" w:sz="0" w:space="0" w:color="auto"/>
        <w:right w:val="none" w:sz="0" w:space="0" w:color="auto"/>
      </w:divBdr>
    </w:div>
    <w:div w:id="1531143501">
      <w:marLeft w:val="0"/>
      <w:marRight w:val="0"/>
      <w:marTop w:val="0"/>
      <w:marBottom w:val="0"/>
      <w:divBdr>
        <w:top w:val="none" w:sz="0" w:space="0" w:color="auto"/>
        <w:left w:val="none" w:sz="0" w:space="0" w:color="auto"/>
        <w:bottom w:val="none" w:sz="0" w:space="0" w:color="auto"/>
        <w:right w:val="none" w:sz="0" w:space="0" w:color="auto"/>
      </w:divBdr>
      <w:divsChild>
        <w:div w:id="432747729">
          <w:marLeft w:val="0"/>
          <w:marRight w:val="0"/>
          <w:marTop w:val="0"/>
          <w:marBottom w:val="0"/>
          <w:divBdr>
            <w:top w:val="none" w:sz="0" w:space="0" w:color="auto"/>
            <w:left w:val="none" w:sz="0" w:space="0" w:color="auto"/>
            <w:bottom w:val="none" w:sz="0" w:space="0" w:color="auto"/>
            <w:right w:val="none" w:sz="0" w:space="0" w:color="auto"/>
          </w:divBdr>
        </w:div>
      </w:divsChild>
    </w:div>
    <w:div w:id="1531920333">
      <w:marLeft w:val="0"/>
      <w:marRight w:val="0"/>
      <w:marTop w:val="120"/>
      <w:marBottom w:val="120"/>
      <w:divBdr>
        <w:top w:val="none" w:sz="0" w:space="0" w:color="auto"/>
        <w:left w:val="none" w:sz="0" w:space="0" w:color="auto"/>
        <w:bottom w:val="none" w:sz="0" w:space="0" w:color="auto"/>
        <w:right w:val="none" w:sz="0" w:space="0" w:color="auto"/>
      </w:divBdr>
    </w:div>
    <w:div w:id="1538155297">
      <w:marLeft w:val="0"/>
      <w:marRight w:val="0"/>
      <w:marTop w:val="120"/>
      <w:marBottom w:val="120"/>
      <w:divBdr>
        <w:top w:val="none" w:sz="0" w:space="0" w:color="auto"/>
        <w:left w:val="none" w:sz="0" w:space="0" w:color="auto"/>
        <w:bottom w:val="none" w:sz="0" w:space="0" w:color="auto"/>
        <w:right w:val="none" w:sz="0" w:space="0" w:color="auto"/>
      </w:divBdr>
    </w:div>
    <w:div w:id="1539466876">
      <w:marLeft w:val="0"/>
      <w:marRight w:val="0"/>
      <w:marTop w:val="120"/>
      <w:marBottom w:val="120"/>
      <w:divBdr>
        <w:top w:val="none" w:sz="0" w:space="0" w:color="auto"/>
        <w:left w:val="none" w:sz="0" w:space="0" w:color="auto"/>
        <w:bottom w:val="none" w:sz="0" w:space="0" w:color="auto"/>
        <w:right w:val="none" w:sz="0" w:space="0" w:color="auto"/>
      </w:divBdr>
    </w:div>
    <w:div w:id="1539508042">
      <w:marLeft w:val="0"/>
      <w:marRight w:val="0"/>
      <w:marTop w:val="0"/>
      <w:marBottom w:val="180"/>
      <w:divBdr>
        <w:top w:val="none" w:sz="0" w:space="0" w:color="auto"/>
        <w:left w:val="none" w:sz="0" w:space="0" w:color="auto"/>
        <w:bottom w:val="none" w:sz="0" w:space="0" w:color="auto"/>
        <w:right w:val="none" w:sz="0" w:space="0" w:color="auto"/>
      </w:divBdr>
    </w:div>
    <w:div w:id="1540125895">
      <w:marLeft w:val="0"/>
      <w:marRight w:val="0"/>
      <w:marTop w:val="0"/>
      <w:marBottom w:val="180"/>
      <w:divBdr>
        <w:top w:val="none" w:sz="0" w:space="0" w:color="auto"/>
        <w:left w:val="none" w:sz="0" w:space="0" w:color="auto"/>
        <w:bottom w:val="none" w:sz="0" w:space="0" w:color="auto"/>
        <w:right w:val="none" w:sz="0" w:space="0" w:color="auto"/>
      </w:divBdr>
    </w:div>
    <w:div w:id="1540584452">
      <w:marLeft w:val="0"/>
      <w:marRight w:val="0"/>
      <w:marTop w:val="0"/>
      <w:marBottom w:val="0"/>
      <w:divBdr>
        <w:top w:val="none" w:sz="0" w:space="0" w:color="auto"/>
        <w:left w:val="none" w:sz="0" w:space="0" w:color="auto"/>
        <w:bottom w:val="none" w:sz="0" w:space="0" w:color="auto"/>
        <w:right w:val="none" w:sz="0" w:space="0" w:color="auto"/>
      </w:divBdr>
      <w:divsChild>
        <w:div w:id="1371413652">
          <w:marLeft w:val="0"/>
          <w:marRight w:val="0"/>
          <w:marTop w:val="0"/>
          <w:marBottom w:val="0"/>
          <w:divBdr>
            <w:top w:val="none" w:sz="0" w:space="0" w:color="auto"/>
            <w:left w:val="none" w:sz="0" w:space="0" w:color="auto"/>
            <w:bottom w:val="none" w:sz="0" w:space="0" w:color="auto"/>
            <w:right w:val="none" w:sz="0" w:space="0" w:color="auto"/>
          </w:divBdr>
        </w:div>
      </w:divsChild>
    </w:div>
    <w:div w:id="1541549604">
      <w:marLeft w:val="0"/>
      <w:marRight w:val="0"/>
      <w:marTop w:val="0"/>
      <w:marBottom w:val="0"/>
      <w:divBdr>
        <w:top w:val="none" w:sz="0" w:space="0" w:color="auto"/>
        <w:left w:val="none" w:sz="0" w:space="0" w:color="auto"/>
        <w:bottom w:val="none" w:sz="0" w:space="0" w:color="auto"/>
        <w:right w:val="none" w:sz="0" w:space="0" w:color="auto"/>
      </w:divBdr>
      <w:divsChild>
        <w:div w:id="831020982">
          <w:marLeft w:val="0"/>
          <w:marRight w:val="0"/>
          <w:marTop w:val="0"/>
          <w:marBottom w:val="0"/>
          <w:divBdr>
            <w:top w:val="none" w:sz="0" w:space="0" w:color="auto"/>
            <w:left w:val="none" w:sz="0" w:space="0" w:color="auto"/>
            <w:bottom w:val="none" w:sz="0" w:space="0" w:color="auto"/>
            <w:right w:val="none" w:sz="0" w:space="0" w:color="auto"/>
          </w:divBdr>
        </w:div>
      </w:divsChild>
    </w:div>
    <w:div w:id="1542210863">
      <w:marLeft w:val="0"/>
      <w:marRight w:val="0"/>
      <w:marTop w:val="0"/>
      <w:marBottom w:val="240"/>
      <w:divBdr>
        <w:top w:val="none" w:sz="0" w:space="0" w:color="auto"/>
        <w:left w:val="none" w:sz="0" w:space="0" w:color="auto"/>
        <w:bottom w:val="none" w:sz="0" w:space="0" w:color="auto"/>
        <w:right w:val="none" w:sz="0" w:space="0" w:color="auto"/>
      </w:divBdr>
    </w:div>
    <w:div w:id="1544294917">
      <w:marLeft w:val="0"/>
      <w:marRight w:val="0"/>
      <w:marTop w:val="180"/>
      <w:marBottom w:val="180"/>
      <w:divBdr>
        <w:top w:val="none" w:sz="0" w:space="0" w:color="auto"/>
        <w:left w:val="none" w:sz="0" w:space="0" w:color="auto"/>
        <w:bottom w:val="none" w:sz="0" w:space="0" w:color="auto"/>
        <w:right w:val="none" w:sz="0" w:space="0" w:color="auto"/>
      </w:divBdr>
    </w:div>
    <w:div w:id="1547066104">
      <w:marLeft w:val="0"/>
      <w:marRight w:val="0"/>
      <w:marTop w:val="0"/>
      <w:marBottom w:val="240"/>
      <w:divBdr>
        <w:top w:val="none" w:sz="0" w:space="0" w:color="auto"/>
        <w:left w:val="none" w:sz="0" w:space="0" w:color="auto"/>
        <w:bottom w:val="none" w:sz="0" w:space="0" w:color="auto"/>
        <w:right w:val="none" w:sz="0" w:space="0" w:color="auto"/>
      </w:divBdr>
    </w:div>
    <w:div w:id="1553076421">
      <w:marLeft w:val="0"/>
      <w:marRight w:val="0"/>
      <w:marTop w:val="0"/>
      <w:marBottom w:val="0"/>
      <w:divBdr>
        <w:top w:val="none" w:sz="0" w:space="0" w:color="auto"/>
        <w:left w:val="none" w:sz="0" w:space="0" w:color="auto"/>
        <w:bottom w:val="none" w:sz="0" w:space="0" w:color="auto"/>
        <w:right w:val="none" w:sz="0" w:space="0" w:color="auto"/>
      </w:divBdr>
    </w:div>
    <w:div w:id="1554459527">
      <w:marLeft w:val="0"/>
      <w:marRight w:val="0"/>
      <w:marTop w:val="0"/>
      <w:marBottom w:val="240"/>
      <w:divBdr>
        <w:top w:val="none" w:sz="0" w:space="0" w:color="auto"/>
        <w:left w:val="none" w:sz="0" w:space="0" w:color="auto"/>
        <w:bottom w:val="none" w:sz="0" w:space="0" w:color="auto"/>
        <w:right w:val="none" w:sz="0" w:space="0" w:color="auto"/>
      </w:divBdr>
    </w:div>
    <w:div w:id="1555700580">
      <w:marLeft w:val="0"/>
      <w:marRight w:val="0"/>
      <w:marTop w:val="0"/>
      <w:marBottom w:val="0"/>
      <w:divBdr>
        <w:top w:val="none" w:sz="0" w:space="0" w:color="auto"/>
        <w:left w:val="none" w:sz="0" w:space="0" w:color="auto"/>
        <w:bottom w:val="none" w:sz="0" w:space="0" w:color="auto"/>
        <w:right w:val="none" w:sz="0" w:space="0" w:color="auto"/>
      </w:divBdr>
      <w:divsChild>
        <w:div w:id="492989573">
          <w:marLeft w:val="0"/>
          <w:marRight w:val="0"/>
          <w:marTop w:val="0"/>
          <w:marBottom w:val="0"/>
          <w:divBdr>
            <w:top w:val="none" w:sz="0" w:space="0" w:color="auto"/>
            <w:left w:val="none" w:sz="0" w:space="0" w:color="auto"/>
            <w:bottom w:val="none" w:sz="0" w:space="0" w:color="auto"/>
            <w:right w:val="none" w:sz="0" w:space="0" w:color="auto"/>
          </w:divBdr>
        </w:div>
      </w:divsChild>
    </w:div>
    <w:div w:id="1556768949">
      <w:marLeft w:val="0"/>
      <w:marRight w:val="0"/>
      <w:marTop w:val="0"/>
      <w:marBottom w:val="180"/>
      <w:divBdr>
        <w:top w:val="none" w:sz="0" w:space="0" w:color="auto"/>
        <w:left w:val="none" w:sz="0" w:space="0" w:color="auto"/>
        <w:bottom w:val="none" w:sz="0" w:space="0" w:color="auto"/>
        <w:right w:val="none" w:sz="0" w:space="0" w:color="auto"/>
      </w:divBdr>
    </w:div>
    <w:div w:id="1563179335">
      <w:marLeft w:val="0"/>
      <w:marRight w:val="0"/>
      <w:marTop w:val="0"/>
      <w:marBottom w:val="0"/>
      <w:divBdr>
        <w:top w:val="none" w:sz="0" w:space="0" w:color="auto"/>
        <w:left w:val="none" w:sz="0" w:space="0" w:color="auto"/>
        <w:bottom w:val="none" w:sz="0" w:space="0" w:color="auto"/>
        <w:right w:val="none" w:sz="0" w:space="0" w:color="auto"/>
      </w:divBdr>
      <w:divsChild>
        <w:div w:id="1423065952">
          <w:marLeft w:val="0"/>
          <w:marRight w:val="0"/>
          <w:marTop w:val="0"/>
          <w:marBottom w:val="0"/>
          <w:divBdr>
            <w:top w:val="none" w:sz="0" w:space="0" w:color="auto"/>
            <w:left w:val="none" w:sz="0" w:space="0" w:color="auto"/>
            <w:bottom w:val="none" w:sz="0" w:space="0" w:color="auto"/>
            <w:right w:val="none" w:sz="0" w:space="0" w:color="auto"/>
          </w:divBdr>
        </w:div>
      </w:divsChild>
    </w:div>
    <w:div w:id="1568758467">
      <w:marLeft w:val="0"/>
      <w:marRight w:val="0"/>
      <w:marTop w:val="0"/>
      <w:marBottom w:val="180"/>
      <w:divBdr>
        <w:top w:val="none" w:sz="0" w:space="0" w:color="auto"/>
        <w:left w:val="none" w:sz="0" w:space="0" w:color="auto"/>
        <w:bottom w:val="none" w:sz="0" w:space="0" w:color="auto"/>
        <w:right w:val="none" w:sz="0" w:space="0" w:color="auto"/>
      </w:divBdr>
    </w:div>
    <w:div w:id="1570384466">
      <w:marLeft w:val="0"/>
      <w:marRight w:val="0"/>
      <w:marTop w:val="120"/>
      <w:marBottom w:val="120"/>
      <w:divBdr>
        <w:top w:val="none" w:sz="0" w:space="0" w:color="auto"/>
        <w:left w:val="none" w:sz="0" w:space="0" w:color="auto"/>
        <w:bottom w:val="none" w:sz="0" w:space="0" w:color="auto"/>
        <w:right w:val="none" w:sz="0" w:space="0" w:color="auto"/>
      </w:divBdr>
    </w:div>
    <w:div w:id="1571961978">
      <w:marLeft w:val="0"/>
      <w:marRight w:val="0"/>
      <w:marTop w:val="180"/>
      <w:marBottom w:val="180"/>
      <w:divBdr>
        <w:top w:val="none" w:sz="0" w:space="0" w:color="auto"/>
        <w:left w:val="none" w:sz="0" w:space="0" w:color="auto"/>
        <w:bottom w:val="none" w:sz="0" w:space="0" w:color="auto"/>
        <w:right w:val="none" w:sz="0" w:space="0" w:color="auto"/>
      </w:divBdr>
    </w:div>
    <w:div w:id="1572472242">
      <w:marLeft w:val="0"/>
      <w:marRight w:val="0"/>
      <w:marTop w:val="0"/>
      <w:marBottom w:val="0"/>
      <w:divBdr>
        <w:top w:val="none" w:sz="0" w:space="0" w:color="auto"/>
        <w:left w:val="none" w:sz="0" w:space="0" w:color="auto"/>
        <w:bottom w:val="none" w:sz="0" w:space="0" w:color="auto"/>
        <w:right w:val="none" w:sz="0" w:space="0" w:color="auto"/>
      </w:divBdr>
      <w:divsChild>
        <w:div w:id="1131747322">
          <w:marLeft w:val="0"/>
          <w:marRight w:val="0"/>
          <w:marTop w:val="0"/>
          <w:marBottom w:val="0"/>
          <w:divBdr>
            <w:top w:val="none" w:sz="0" w:space="0" w:color="auto"/>
            <w:left w:val="none" w:sz="0" w:space="0" w:color="auto"/>
            <w:bottom w:val="none" w:sz="0" w:space="0" w:color="auto"/>
            <w:right w:val="none" w:sz="0" w:space="0" w:color="auto"/>
          </w:divBdr>
        </w:div>
      </w:divsChild>
    </w:div>
    <w:div w:id="1578054616">
      <w:marLeft w:val="0"/>
      <w:marRight w:val="0"/>
      <w:marTop w:val="0"/>
      <w:marBottom w:val="0"/>
      <w:divBdr>
        <w:top w:val="none" w:sz="0" w:space="0" w:color="auto"/>
        <w:left w:val="none" w:sz="0" w:space="0" w:color="auto"/>
        <w:bottom w:val="none" w:sz="0" w:space="0" w:color="auto"/>
        <w:right w:val="none" w:sz="0" w:space="0" w:color="auto"/>
      </w:divBdr>
    </w:div>
    <w:div w:id="1578250326">
      <w:marLeft w:val="0"/>
      <w:marRight w:val="0"/>
      <w:marTop w:val="0"/>
      <w:marBottom w:val="240"/>
      <w:divBdr>
        <w:top w:val="none" w:sz="0" w:space="0" w:color="auto"/>
        <w:left w:val="none" w:sz="0" w:space="0" w:color="auto"/>
        <w:bottom w:val="none" w:sz="0" w:space="0" w:color="auto"/>
        <w:right w:val="none" w:sz="0" w:space="0" w:color="auto"/>
      </w:divBdr>
    </w:div>
    <w:div w:id="1582326326">
      <w:marLeft w:val="0"/>
      <w:marRight w:val="0"/>
      <w:marTop w:val="120"/>
      <w:marBottom w:val="120"/>
      <w:divBdr>
        <w:top w:val="none" w:sz="0" w:space="0" w:color="auto"/>
        <w:left w:val="none" w:sz="0" w:space="0" w:color="auto"/>
        <w:bottom w:val="none" w:sz="0" w:space="0" w:color="auto"/>
        <w:right w:val="none" w:sz="0" w:space="0" w:color="auto"/>
      </w:divBdr>
    </w:div>
    <w:div w:id="1582519610">
      <w:marLeft w:val="0"/>
      <w:marRight w:val="0"/>
      <w:marTop w:val="0"/>
      <w:marBottom w:val="0"/>
      <w:divBdr>
        <w:top w:val="none" w:sz="0" w:space="0" w:color="auto"/>
        <w:left w:val="none" w:sz="0" w:space="0" w:color="auto"/>
        <w:bottom w:val="none" w:sz="0" w:space="0" w:color="auto"/>
        <w:right w:val="none" w:sz="0" w:space="0" w:color="auto"/>
      </w:divBdr>
    </w:div>
    <w:div w:id="1587808216">
      <w:marLeft w:val="0"/>
      <w:marRight w:val="0"/>
      <w:marTop w:val="0"/>
      <w:marBottom w:val="180"/>
      <w:divBdr>
        <w:top w:val="none" w:sz="0" w:space="0" w:color="auto"/>
        <w:left w:val="none" w:sz="0" w:space="0" w:color="auto"/>
        <w:bottom w:val="none" w:sz="0" w:space="0" w:color="auto"/>
        <w:right w:val="none" w:sz="0" w:space="0" w:color="auto"/>
      </w:divBdr>
    </w:div>
    <w:div w:id="1590773369">
      <w:marLeft w:val="0"/>
      <w:marRight w:val="0"/>
      <w:marTop w:val="0"/>
      <w:marBottom w:val="180"/>
      <w:divBdr>
        <w:top w:val="none" w:sz="0" w:space="0" w:color="auto"/>
        <w:left w:val="none" w:sz="0" w:space="0" w:color="auto"/>
        <w:bottom w:val="none" w:sz="0" w:space="0" w:color="auto"/>
        <w:right w:val="none" w:sz="0" w:space="0" w:color="auto"/>
      </w:divBdr>
    </w:div>
    <w:div w:id="1591620849">
      <w:marLeft w:val="0"/>
      <w:marRight w:val="0"/>
      <w:marTop w:val="0"/>
      <w:marBottom w:val="240"/>
      <w:divBdr>
        <w:top w:val="none" w:sz="0" w:space="0" w:color="auto"/>
        <w:left w:val="none" w:sz="0" w:space="0" w:color="auto"/>
        <w:bottom w:val="none" w:sz="0" w:space="0" w:color="auto"/>
        <w:right w:val="none" w:sz="0" w:space="0" w:color="auto"/>
      </w:divBdr>
    </w:div>
    <w:div w:id="1597834494">
      <w:marLeft w:val="0"/>
      <w:marRight w:val="0"/>
      <w:marTop w:val="0"/>
      <w:marBottom w:val="0"/>
      <w:divBdr>
        <w:top w:val="none" w:sz="0" w:space="0" w:color="auto"/>
        <w:left w:val="none" w:sz="0" w:space="0" w:color="auto"/>
        <w:bottom w:val="none" w:sz="0" w:space="0" w:color="auto"/>
        <w:right w:val="none" w:sz="0" w:space="0" w:color="auto"/>
      </w:divBdr>
    </w:div>
    <w:div w:id="1600941443">
      <w:marLeft w:val="0"/>
      <w:marRight w:val="0"/>
      <w:marTop w:val="0"/>
      <w:marBottom w:val="180"/>
      <w:divBdr>
        <w:top w:val="none" w:sz="0" w:space="0" w:color="auto"/>
        <w:left w:val="none" w:sz="0" w:space="0" w:color="auto"/>
        <w:bottom w:val="none" w:sz="0" w:space="0" w:color="auto"/>
        <w:right w:val="none" w:sz="0" w:space="0" w:color="auto"/>
      </w:divBdr>
    </w:div>
    <w:div w:id="1604990651">
      <w:marLeft w:val="0"/>
      <w:marRight w:val="0"/>
      <w:marTop w:val="0"/>
      <w:marBottom w:val="240"/>
      <w:divBdr>
        <w:top w:val="none" w:sz="0" w:space="0" w:color="auto"/>
        <w:left w:val="none" w:sz="0" w:space="0" w:color="auto"/>
        <w:bottom w:val="none" w:sz="0" w:space="0" w:color="auto"/>
        <w:right w:val="none" w:sz="0" w:space="0" w:color="auto"/>
      </w:divBdr>
    </w:div>
    <w:div w:id="1607427596">
      <w:marLeft w:val="0"/>
      <w:marRight w:val="0"/>
      <w:marTop w:val="240"/>
      <w:marBottom w:val="240"/>
      <w:divBdr>
        <w:top w:val="none" w:sz="0" w:space="0" w:color="auto"/>
        <w:left w:val="none" w:sz="0" w:space="0" w:color="auto"/>
        <w:bottom w:val="none" w:sz="0" w:space="0" w:color="auto"/>
        <w:right w:val="none" w:sz="0" w:space="0" w:color="auto"/>
      </w:divBdr>
    </w:div>
    <w:div w:id="1608537550">
      <w:marLeft w:val="0"/>
      <w:marRight w:val="0"/>
      <w:marTop w:val="0"/>
      <w:marBottom w:val="0"/>
      <w:divBdr>
        <w:top w:val="none" w:sz="0" w:space="0" w:color="auto"/>
        <w:left w:val="none" w:sz="0" w:space="0" w:color="auto"/>
        <w:bottom w:val="none" w:sz="0" w:space="0" w:color="auto"/>
        <w:right w:val="none" w:sz="0" w:space="0" w:color="auto"/>
      </w:divBdr>
      <w:divsChild>
        <w:div w:id="1504005361">
          <w:marLeft w:val="0"/>
          <w:marRight w:val="0"/>
          <w:marTop w:val="0"/>
          <w:marBottom w:val="0"/>
          <w:divBdr>
            <w:top w:val="none" w:sz="0" w:space="0" w:color="auto"/>
            <w:left w:val="none" w:sz="0" w:space="0" w:color="auto"/>
            <w:bottom w:val="none" w:sz="0" w:space="0" w:color="auto"/>
            <w:right w:val="none" w:sz="0" w:space="0" w:color="auto"/>
          </w:divBdr>
        </w:div>
      </w:divsChild>
    </w:div>
    <w:div w:id="1610744500">
      <w:marLeft w:val="0"/>
      <w:marRight w:val="0"/>
      <w:marTop w:val="0"/>
      <w:marBottom w:val="0"/>
      <w:divBdr>
        <w:top w:val="none" w:sz="0" w:space="0" w:color="auto"/>
        <w:left w:val="none" w:sz="0" w:space="0" w:color="auto"/>
        <w:bottom w:val="none" w:sz="0" w:space="0" w:color="auto"/>
        <w:right w:val="none" w:sz="0" w:space="0" w:color="auto"/>
      </w:divBdr>
    </w:div>
    <w:div w:id="1612742447">
      <w:marLeft w:val="0"/>
      <w:marRight w:val="0"/>
      <w:marTop w:val="0"/>
      <w:marBottom w:val="0"/>
      <w:divBdr>
        <w:top w:val="none" w:sz="0" w:space="0" w:color="auto"/>
        <w:left w:val="none" w:sz="0" w:space="0" w:color="auto"/>
        <w:bottom w:val="none" w:sz="0" w:space="0" w:color="auto"/>
        <w:right w:val="none" w:sz="0" w:space="0" w:color="auto"/>
      </w:divBdr>
      <w:divsChild>
        <w:div w:id="815877034">
          <w:marLeft w:val="0"/>
          <w:marRight w:val="0"/>
          <w:marTop w:val="0"/>
          <w:marBottom w:val="0"/>
          <w:divBdr>
            <w:top w:val="none" w:sz="0" w:space="0" w:color="auto"/>
            <w:left w:val="none" w:sz="0" w:space="0" w:color="auto"/>
            <w:bottom w:val="none" w:sz="0" w:space="0" w:color="auto"/>
            <w:right w:val="none" w:sz="0" w:space="0" w:color="auto"/>
          </w:divBdr>
        </w:div>
      </w:divsChild>
    </w:div>
    <w:div w:id="1613053362">
      <w:marLeft w:val="0"/>
      <w:marRight w:val="0"/>
      <w:marTop w:val="240"/>
      <w:marBottom w:val="240"/>
      <w:divBdr>
        <w:top w:val="none" w:sz="0" w:space="0" w:color="auto"/>
        <w:left w:val="none" w:sz="0" w:space="0" w:color="auto"/>
        <w:bottom w:val="none" w:sz="0" w:space="0" w:color="auto"/>
        <w:right w:val="none" w:sz="0" w:space="0" w:color="auto"/>
      </w:divBdr>
    </w:div>
    <w:div w:id="1615482249">
      <w:marLeft w:val="0"/>
      <w:marRight w:val="0"/>
      <w:marTop w:val="0"/>
      <w:marBottom w:val="0"/>
      <w:divBdr>
        <w:top w:val="none" w:sz="0" w:space="0" w:color="auto"/>
        <w:left w:val="none" w:sz="0" w:space="0" w:color="auto"/>
        <w:bottom w:val="none" w:sz="0" w:space="0" w:color="auto"/>
        <w:right w:val="none" w:sz="0" w:space="0" w:color="auto"/>
      </w:divBdr>
      <w:divsChild>
        <w:div w:id="1705400525">
          <w:marLeft w:val="0"/>
          <w:marRight w:val="0"/>
          <w:marTop w:val="0"/>
          <w:marBottom w:val="0"/>
          <w:divBdr>
            <w:top w:val="none" w:sz="0" w:space="0" w:color="auto"/>
            <w:left w:val="none" w:sz="0" w:space="0" w:color="auto"/>
            <w:bottom w:val="none" w:sz="0" w:space="0" w:color="auto"/>
            <w:right w:val="none" w:sz="0" w:space="0" w:color="auto"/>
          </w:divBdr>
        </w:div>
      </w:divsChild>
    </w:div>
    <w:div w:id="1616249070">
      <w:marLeft w:val="0"/>
      <w:marRight w:val="0"/>
      <w:marTop w:val="0"/>
      <w:marBottom w:val="240"/>
      <w:divBdr>
        <w:top w:val="none" w:sz="0" w:space="0" w:color="auto"/>
        <w:left w:val="none" w:sz="0" w:space="0" w:color="auto"/>
        <w:bottom w:val="none" w:sz="0" w:space="0" w:color="auto"/>
        <w:right w:val="none" w:sz="0" w:space="0" w:color="auto"/>
      </w:divBdr>
    </w:div>
    <w:div w:id="1617175969">
      <w:marLeft w:val="0"/>
      <w:marRight w:val="0"/>
      <w:marTop w:val="180"/>
      <w:marBottom w:val="180"/>
      <w:divBdr>
        <w:top w:val="none" w:sz="0" w:space="0" w:color="auto"/>
        <w:left w:val="none" w:sz="0" w:space="0" w:color="auto"/>
        <w:bottom w:val="none" w:sz="0" w:space="0" w:color="auto"/>
        <w:right w:val="none" w:sz="0" w:space="0" w:color="auto"/>
      </w:divBdr>
    </w:div>
    <w:div w:id="1622036567">
      <w:marLeft w:val="0"/>
      <w:marRight w:val="0"/>
      <w:marTop w:val="0"/>
      <w:marBottom w:val="180"/>
      <w:divBdr>
        <w:top w:val="none" w:sz="0" w:space="0" w:color="auto"/>
        <w:left w:val="none" w:sz="0" w:space="0" w:color="auto"/>
        <w:bottom w:val="none" w:sz="0" w:space="0" w:color="auto"/>
        <w:right w:val="none" w:sz="0" w:space="0" w:color="auto"/>
      </w:divBdr>
    </w:div>
    <w:div w:id="1622420533">
      <w:marLeft w:val="0"/>
      <w:marRight w:val="0"/>
      <w:marTop w:val="0"/>
      <w:marBottom w:val="0"/>
      <w:divBdr>
        <w:top w:val="none" w:sz="0" w:space="0" w:color="auto"/>
        <w:left w:val="none" w:sz="0" w:space="0" w:color="auto"/>
        <w:bottom w:val="none" w:sz="0" w:space="0" w:color="auto"/>
        <w:right w:val="none" w:sz="0" w:space="0" w:color="auto"/>
      </w:divBdr>
    </w:div>
    <w:div w:id="1624728751">
      <w:marLeft w:val="0"/>
      <w:marRight w:val="0"/>
      <w:marTop w:val="0"/>
      <w:marBottom w:val="240"/>
      <w:divBdr>
        <w:top w:val="none" w:sz="0" w:space="0" w:color="auto"/>
        <w:left w:val="none" w:sz="0" w:space="0" w:color="auto"/>
        <w:bottom w:val="none" w:sz="0" w:space="0" w:color="auto"/>
        <w:right w:val="none" w:sz="0" w:space="0" w:color="auto"/>
      </w:divBdr>
    </w:div>
    <w:div w:id="1625849303">
      <w:marLeft w:val="0"/>
      <w:marRight w:val="0"/>
      <w:marTop w:val="0"/>
      <w:marBottom w:val="180"/>
      <w:divBdr>
        <w:top w:val="none" w:sz="0" w:space="0" w:color="auto"/>
        <w:left w:val="none" w:sz="0" w:space="0" w:color="auto"/>
        <w:bottom w:val="none" w:sz="0" w:space="0" w:color="auto"/>
        <w:right w:val="none" w:sz="0" w:space="0" w:color="auto"/>
      </w:divBdr>
    </w:div>
    <w:div w:id="1630091382">
      <w:marLeft w:val="0"/>
      <w:marRight w:val="0"/>
      <w:marTop w:val="0"/>
      <w:marBottom w:val="180"/>
      <w:divBdr>
        <w:top w:val="none" w:sz="0" w:space="0" w:color="auto"/>
        <w:left w:val="none" w:sz="0" w:space="0" w:color="auto"/>
        <w:bottom w:val="none" w:sz="0" w:space="0" w:color="auto"/>
        <w:right w:val="none" w:sz="0" w:space="0" w:color="auto"/>
      </w:divBdr>
    </w:div>
    <w:div w:id="1631547774">
      <w:marLeft w:val="0"/>
      <w:marRight w:val="0"/>
      <w:marTop w:val="0"/>
      <w:marBottom w:val="240"/>
      <w:divBdr>
        <w:top w:val="none" w:sz="0" w:space="0" w:color="auto"/>
        <w:left w:val="none" w:sz="0" w:space="0" w:color="auto"/>
        <w:bottom w:val="none" w:sz="0" w:space="0" w:color="auto"/>
        <w:right w:val="none" w:sz="0" w:space="0" w:color="auto"/>
      </w:divBdr>
    </w:div>
    <w:div w:id="1631747950">
      <w:marLeft w:val="0"/>
      <w:marRight w:val="0"/>
      <w:marTop w:val="180"/>
      <w:marBottom w:val="180"/>
      <w:divBdr>
        <w:top w:val="none" w:sz="0" w:space="0" w:color="auto"/>
        <w:left w:val="none" w:sz="0" w:space="0" w:color="auto"/>
        <w:bottom w:val="none" w:sz="0" w:space="0" w:color="auto"/>
        <w:right w:val="none" w:sz="0" w:space="0" w:color="auto"/>
      </w:divBdr>
    </w:div>
    <w:div w:id="1633752867">
      <w:marLeft w:val="0"/>
      <w:marRight w:val="0"/>
      <w:marTop w:val="0"/>
      <w:marBottom w:val="0"/>
      <w:divBdr>
        <w:top w:val="none" w:sz="0" w:space="0" w:color="auto"/>
        <w:left w:val="none" w:sz="0" w:space="0" w:color="auto"/>
        <w:bottom w:val="none" w:sz="0" w:space="0" w:color="auto"/>
        <w:right w:val="none" w:sz="0" w:space="0" w:color="auto"/>
      </w:divBdr>
    </w:div>
    <w:div w:id="1635982939">
      <w:marLeft w:val="0"/>
      <w:marRight w:val="0"/>
      <w:marTop w:val="0"/>
      <w:marBottom w:val="0"/>
      <w:divBdr>
        <w:top w:val="none" w:sz="0" w:space="0" w:color="auto"/>
        <w:left w:val="none" w:sz="0" w:space="0" w:color="auto"/>
        <w:bottom w:val="none" w:sz="0" w:space="0" w:color="auto"/>
        <w:right w:val="none" w:sz="0" w:space="0" w:color="auto"/>
      </w:divBdr>
      <w:divsChild>
        <w:div w:id="74203667">
          <w:marLeft w:val="0"/>
          <w:marRight w:val="0"/>
          <w:marTop w:val="0"/>
          <w:marBottom w:val="0"/>
          <w:divBdr>
            <w:top w:val="none" w:sz="0" w:space="0" w:color="auto"/>
            <w:left w:val="none" w:sz="0" w:space="0" w:color="auto"/>
            <w:bottom w:val="none" w:sz="0" w:space="0" w:color="auto"/>
            <w:right w:val="none" w:sz="0" w:space="0" w:color="auto"/>
          </w:divBdr>
        </w:div>
      </w:divsChild>
    </w:div>
    <w:div w:id="1637174052">
      <w:marLeft w:val="0"/>
      <w:marRight w:val="0"/>
      <w:marTop w:val="0"/>
      <w:marBottom w:val="240"/>
      <w:divBdr>
        <w:top w:val="none" w:sz="0" w:space="0" w:color="auto"/>
        <w:left w:val="none" w:sz="0" w:space="0" w:color="auto"/>
        <w:bottom w:val="none" w:sz="0" w:space="0" w:color="auto"/>
        <w:right w:val="none" w:sz="0" w:space="0" w:color="auto"/>
      </w:divBdr>
    </w:div>
    <w:div w:id="1639922233">
      <w:marLeft w:val="0"/>
      <w:marRight w:val="0"/>
      <w:marTop w:val="0"/>
      <w:marBottom w:val="240"/>
      <w:divBdr>
        <w:top w:val="none" w:sz="0" w:space="0" w:color="auto"/>
        <w:left w:val="none" w:sz="0" w:space="0" w:color="auto"/>
        <w:bottom w:val="none" w:sz="0" w:space="0" w:color="auto"/>
        <w:right w:val="none" w:sz="0" w:space="0" w:color="auto"/>
      </w:divBdr>
    </w:div>
    <w:div w:id="1640108103">
      <w:marLeft w:val="0"/>
      <w:marRight w:val="0"/>
      <w:marTop w:val="0"/>
      <w:marBottom w:val="180"/>
      <w:divBdr>
        <w:top w:val="none" w:sz="0" w:space="0" w:color="auto"/>
        <w:left w:val="none" w:sz="0" w:space="0" w:color="auto"/>
        <w:bottom w:val="none" w:sz="0" w:space="0" w:color="auto"/>
        <w:right w:val="none" w:sz="0" w:space="0" w:color="auto"/>
      </w:divBdr>
    </w:div>
    <w:div w:id="1640380753">
      <w:marLeft w:val="0"/>
      <w:marRight w:val="0"/>
      <w:marTop w:val="120"/>
      <w:marBottom w:val="240"/>
      <w:divBdr>
        <w:top w:val="none" w:sz="0" w:space="0" w:color="auto"/>
        <w:left w:val="none" w:sz="0" w:space="0" w:color="auto"/>
        <w:bottom w:val="none" w:sz="0" w:space="0" w:color="auto"/>
        <w:right w:val="none" w:sz="0" w:space="0" w:color="auto"/>
      </w:divBdr>
    </w:div>
    <w:div w:id="1643190953">
      <w:marLeft w:val="0"/>
      <w:marRight w:val="0"/>
      <w:marTop w:val="0"/>
      <w:marBottom w:val="0"/>
      <w:divBdr>
        <w:top w:val="none" w:sz="0" w:space="0" w:color="auto"/>
        <w:left w:val="none" w:sz="0" w:space="0" w:color="auto"/>
        <w:bottom w:val="none" w:sz="0" w:space="0" w:color="auto"/>
        <w:right w:val="none" w:sz="0" w:space="0" w:color="auto"/>
      </w:divBdr>
    </w:div>
    <w:div w:id="1643804847">
      <w:marLeft w:val="0"/>
      <w:marRight w:val="0"/>
      <w:marTop w:val="0"/>
      <w:marBottom w:val="0"/>
      <w:divBdr>
        <w:top w:val="none" w:sz="0" w:space="0" w:color="auto"/>
        <w:left w:val="none" w:sz="0" w:space="0" w:color="auto"/>
        <w:bottom w:val="none" w:sz="0" w:space="0" w:color="auto"/>
        <w:right w:val="none" w:sz="0" w:space="0" w:color="auto"/>
      </w:divBdr>
      <w:divsChild>
        <w:div w:id="1996688511">
          <w:marLeft w:val="0"/>
          <w:marRight w:val="0"/>
          <w:marTop w:val="0"/>
          <w:marBottom w:val="0"/>
          <w:divBdr>
            <w:top w:val="none" w:sz="0" w:space="0" w:color="auto"/>
            <w:left w:val="none" w:sz="0" w:space="0" w:color="auto"/>
            <w:bottom w:val="none" w:sz="0" w:space="0" w:color="auto"/>
            <w:right w:val="none" w:sz="0" w:space="0" w:color="auto"/>
          </w:divBdr>
        </w:div>
      </w:divsChild>
    </w:div>
    <w:div w:id="1645349414">
      <w:marLeft w:val="0"/>
      <w:marRight w:val="0"/>
      <w:marTop w:val="0"/>
      <w:marBottom w:val="180"/>
      <w:divBdr>
        <w:top w:val="none" w:sz="0" w:space="0" w:color="auto"/>
        <w:left w:val="none" w:sz="0" w:space="0" w:color="auto"/>
        <w:bottom w:val="none" w:sz="0" w:space="0" w:color="auto"/>
        <w:right w:val="none" w:sz="0" w:space="0" w:color="auto"/>
      </w:divBdr>
    </w:div>
    <w:div w:id="1646011867">
      <w:marLeft w:val="0"/>
      <w:marRight w:val="0"/>
      <w:marTop w:val="0"/>
      <w:marBottom w:val="0"/>
      <w:divBdr>
        <w:top w:val="none" w:sz="0" w:space="0" w:color="auto"/>
        <w:left w:val="none" w:sz="0" w:space="0" w:color="auto"/>
        <w:bottom w:val="none" w:sz="0" w:space="0" w:color="auto"/>
        <w:right w:val="none" w:sz="0" w:space="0" w:color="auto"/>
      </w:divBdr>
      <w:divsChild>
        <w:div w:id="704788456">
          <w:marLeft w:val="0"/>
          <w:marRight w:val="0"/>
          <w:marTop w:val="0"/>
          <w:marBottom w:val="0"/>
          <w:divBdr>
            <w:top w:val="none" w:sz="0" w:space="0" w:color="auto"/>
            <w:left w:val="none" w:sz="0" w:space="0" w:color="auto"/>
            <w:bottom w:val="none" w:sz="0" w:space="0" w:color="auto"/>
            <w:right w:val="none" w:sz="0" w:space="0" w:color="auto"/>
          </w:divBdr>
        </w:div>
      </w:divsChild>
    </w:div>
    <w:div w:id="1646013006">
      <w:marLeft w:val="0"/>
      <w:marRight w:val="0"/>
      <w:marTop w:val="0"/>
      <w:marBottom w:val="180"/>
      <w:divBdr>
        <w:top w:val="none" w:sz="0" w:space="0" w:color="auto"/>
        <w:left w:val="none" w:sz="0" w:space="0" w:color="auto"/>
        <w:bottom w:val="none" w:sz="0" w:space="0" w:color="auto"/>
        <w:right w:val="none" w:sz="0" w:space="0" w:color="auto"/>
      </w:divBdr>
    </w:div>
    <w:div w:id="1646163740">
      <w:marLeft w:val="0"/>
      <w:marRight w:val="0"/>
      <w:marTop w:val="0"/>
      <w:marBottom w:val="240"/>
      <w:divBdr>
        <w:top w:val="none" w:sz="0" w:space="0" w:color="auto"/>
        <w:left w:val="none" w:sz="0" w:space="0" w:color="auto"/>
        <w:bottom w:val="none" w:sz="0" w:space="0" w:color="auto"/>
        <w:right w:val="none" w:sz="0" w:space="0" w:color="auto"/>
      </w:divBdr>
    </w:div>
    <w:div w:id="1646278123">
      <w:marLeft w:val="0"/>
      <w:marRight w:val="0"/>
      <w:marTop w:val="0"/>
      <w:marBottom w:val="0"/>
      <w:divBdr>
        <w:top w:val="none" w:sz="0" w:space="0" w:color="auto"/>
        <w:left w:val="none" w:sz="0" w:space="0" w:color="auto"/>
        <w:bottom w:val="none" w:sz="0" w:space="0" w:color="auto"/>
        <w:right w:val="none" w:sz="0" w:space="0" w:color="auto"/>
      </w:divBdr>
    </w:div>
    <w:div w:id="1646542841">
      <w:marLeft w:val="0"/>
      <w:marRight w:val="0"/>
      <w:marTop w:val="0"/>
      <w:marBottom w:val="240"/>
      <w:divBdr>
        <w:top w:val="none" w:sz="0" w:space="0" w:color="auto"/>
        <w:left w:val="none" w:sz="0" w:space="0" w:color="auto"/>
        <w:bottom w:val="none" w:sz="0" w:space="0" w:color="auto"/>
        <w:right w:val="none" w:sz="0" w:space="0" w:color="auto"/>
      </w:divBdr>
    </w:div>
    <w:div w:id="1648852314">
      <w:marLeft w:val="0"/>
      <w:marRight w:val="0"/>
      <w:marTop w:val="180"/>
      <w:marBottom w:val="180"/>
      <w:divBdr>
        <w:top w:val="none" w:sz="0" w:space="0" w:color="auto"/>
        <w:left w:val="none" w:sz="0" w:space="0" w:color="auto"/>
        <w:bottom w:val="none" w:sz="0" w:space="0" w:color="auto"/>
        <w:right w:val="none" w:sz="0" w:space="0" w:color="auto"/>
      </w:divBdr>
    </w:div>
    <w:div w:id="1650093467">
      <w:marLeft w:val="0"/>
      <w:marRight w:val="0"/>
      <w:marTop w:val="0"/>
      <w:marBottom w:val="180"/>
      <w:divBdr>
        <w:top w:val="none" w:sz="0" w:space="0" w:color="auto"/>
        <w:left w:val="none" w:sz="0" w:space="0" w:color="auto"/>
        <w:bottom w:val="none" w:sz="0" w:space="0" w:color="auto"/>
        <w:right w:val="none" w:sz="0" w:space="0" w:color="auto"/>
      </w:divBdr>
    </w:div>
    <w:div w:id="1650860243">
      <w:marLeft w:val="0"/>
      <w:marRight w:val="0"/>
      <w:marTop w:val="180"/>
      <w:marBottom w:val="180"/>
      <w:divBdr>
        <w:top w:val="none" w:sz="0" w:space="0" w:color="auto"/>
        <w:left w:val="none" w:sz="0" w:space="0" w:color="auto"/>
        <w:bottom w:val="none" w:sz="0" w:space="0" w:color="auto"/>
        <w:right w:val="none" w:sz="0" w:space="0" w:color="auto"/>
      </w:divBdr>
    </w:div>
    <w:div w:id="1651901852">
      <w:marLeft w:val="0"/>
      <w:marRight w:val="0"/>
      <w:marTop w:val="0"/>
      <w:marBottom w:val="240"/>
      <w:divBdr>
        <w:top w:val="none" w:sz="0" w:space="0" w:color="auto"/>
        <w:left w:val="none" w:sz="0" w:space="0" w:color="auto"/>
        <w:bottom w:val="none" w:sz="0" w:space="0" w:color="auto"/>
        <w:right w:val="none" w:sz="0" w:space="0" w:color="auto"/>
      </w:divBdr>
    </w:div>
    <w:div w:id="1660690236">
      <w:marLeft w:val="0"/>
      <w:marRight w:val="0"/>
      <w:marTop w:val="0"/>
      <w:marBottom w:val="0"/>
      <w:divBdr>
        <w:top w:val="none" w:sz="0" w:space="0" w:color="auto"/>
        <w:left w:val="none" w:sz="0" w:space="0" w:color="auto"/>
        <w:bottom w:val="none" w:sz="0" w:space="0" w:color="auto"/>
        <w:right w:val="none" w:sz="0" w:space="0" w:color="auto"/>
      </w:divBdr>
      <w:divsChild>
        <w:div w:id="562914100">
          <w:marLeft w:val="0"/>
          <w:marRight w:val="0"/>
          <w:marTop w:val="0"/>
          <w:marBottom w:val="0"/>
          <w:divBdr>
            <w:top w:val="none" w:sz="0" w:space="0" w:color="auto"/>
            <w:left w:val="none" w:sz="0" w:space="0" w:color="auto"/>
            <w:bottom w:val="none" w:sz="0" w:space="0" w:color="auto"/>
            <w:right w:val="none" w:sz="0" w:space="0" w:color="auto"/>
          </w:divBdr>
        </w:div>
      </w:divsChild>
    </w:div>
    <w:div w:id="1662352181">
      <w:marLeft w:val="0"/>
      <w:marRight w:val="0"/>
      <w:marTop w:val="0"/>
      <w:marBottom w:val="240"/>
      <w:divBdr>
        <w:top w:val="none" w:sz="0" w:space="0" w:color="auto"/>
        <w:left w:val="none" w:sz="0" w:space="0" w:color="auto"/>
        <w:bottom w:val="none" w:sz="0" w:space="0" w:color="auto"/>
        <w:right w:val="none" w:sz="0" w:space="0" w:color="auto"/>
      </w:divBdr>
    </w:div>
    <w:div w:id="1665738488">
      <w:marLeft w:val="0"/>
      <w:marRight w:val="0"/>
      <w:marTop w:val="0"/>
      <w:marBottom w:val="0"/>
      <w:divBdr>
        <w:top w:val="none" w:sz="0" w:space="0" w:color="auto"/>
        <w:left w:val="none" w:sz="0" w:space="0" w:color="auto"/>
        <w:bottom w:val="none" w:sz="0" w:space="0" w:color="auto"/>
        <w:right w:val="none" w:sz="0" w:space="0" w:color="auto"/>
      </w:divBdr>
    </w:div>
    <w:div w:id="1665741038">
      <w:marLeft w:val="0"/>
      <w:marRight w:val="0"/>
      <w:marTop w:val="0"/>
      <w:marBottom w:val="0"/>
      <w:divBdr>
        <w:top w:val="none" w:sz="0" w:space="0" w:color="auto"/>
        <w:left w:val="none" w:sz="0" w:space="0" w:color="auto"/>
        <w:bottom w:val="none" w:sz="0" w:space="0" w:color="auto"/>
        <w:right w:val="none" w:sz="0" w:space="0" w:color="auto"/>
      </w:divBdr>
      <w:divsChild>
        <w:div w:id="322927007">
          <w:marLeft w:val="0"/>
          <w:marRight w:val="0"/>
          <w:marTop w:val="0"/>
          <w:marBottom w:val="0"/>
          <w:divBdr>
            <w:top w:val="none" w:sz="0" w:space="0" w:color="auto"/>
            <w:left w:val="none" w:sz="0" w:space="0" w:color="auto"/>
            <w:bottom w:val="none" w:sz="0" w:space="0" w:color="auto"/>
            <w:right w:val="none" w:sz="0" w:space="0" w:color="auto"/>
          </w:divBdr>
        </w:div>
      </w:divsChild>
    </w:div>
    <w:div w:id="1671060218">
      <w:marLeft w:val="0"/>
      <w:marRight w:val="0"/>
      <w:marTop w:val="0"/>
      <w:marBottom w:val="240"/>
      <w:divBdr>
        <w:top w:val="none" w:sz="0" w:space="0" w:color="auto"/>
        <w:left w:val="none" w:sz="0" w:space="0" w:color="auto"/>
        <w:bottom w:val="none" w:sz="0" w:space="0" w:color="auto"/>
        <w:right w:val="none" w:sz="0" w:space="0" w:color="auto"/>
      </w:divBdr>
    </w:div>
    <w:div w:id="1672103668">
      <w:marLeft w:val="0"/>
      <w:marRight w:val="0"/>
      <w:marTop w:val="0"/>
      <w:marBottom w:val="240"/>
      <w:divBdr>
        <w:top w:val="none" w:sz="0" w:space="0" w:color="auto"/>
        <w:left w:val="none" w:sz="0" w:space="0" w:color="auto"/>
        <w:bottom w:val="none" w:sz="0" w:space="0" w:color="auto"/>
        <w:right w:val="none" w:sz="0" w:space="0" w:color="auto"/>
      </w:divBdr>
    </w:div>
    <w:div w:id="1673529084">
      <w:marLeft w:val="0"/>
      <w:marRight w:val="0"/>
      <w:marTop w:val="0"/>
      <w:marBottom w:val="0"/>
      <w:divBdr>
        <w:top w:val="none" w:sz="0" w:space="0" w:color="auto"/>
        <w:left w:val="none" w:sz="0" w:space="0" w:color="auto"/>
        <w:bottom w:val="none" w:sz="0" w:space="0" w:color="auto"/>
        <w:right w:val="none" w:sz="0" w:space="0" w:color="auto"/>
      </w:divBdr>
    </w:div>
    <w:div w:id="1674142105">
      <w:marLeft w:val="0"/>
      <w:marRight w:val="0"/>
      <w:marTop w:val="100"/>
      <w:marBottom w:val="0"/>
      <w:divBdr>
        <w:top w:val="none" w:sz="0" w:space="0" w:color="auto"/>
        <w:left w:val="none" w:sz="0" w:space="0" w:color="auto"/>
        <w:bottom w:val="none" w:sz="0" w:space="0" w:color="auto"/>
        <w:right w:val="none" w:sz="0" w:space="0" w:color="auto"/>
      </w:divBdr>
      <w:divsChild>
        <w:div w:id="635523636">
          <w:marLeft w:val="0"/>
          <w:marRight w:val="0"/>
          <w:marTop w:val="0"/>
          <w:marBottom w:val="0"/>
          <w:divBdr>
            <w:top w:val="none" w:sz="0" w:space="0" w:color="auto"/>
            <w:left w:val="none" w:sz="0" w:space="0" w:color="auto"/>
            <w:bottom w:val="none" w:sz="0" w:space="0" w:color="auto"/>
            <w:right w:val="none" w:sz="0" w:space="0" w:color="auto"/>
          </w:divBdr>
        </w:div>
      </w:divsChild>
    </w:div>
    <w:div w:id="1674869906">
      <w:marLeft w:val="0"/>
      <w:marRight w:val="0"/>
      <w:marTop w:val="0"/>
      <w:marBottom w:val="0"/>
      <w:divBdr>
        <w:top w:val="none" w:sz="0" w:space="0" w:color="auto"/>
        <w:left w:val="none" w:sz="0" w:space="0" w:color="auto"/>
        <w:bottom w:val="none" w:sz="0" w:space="0" w:color="auto"/>
        <w:right w:val="none" w:sz="0" w:space="0" w:color="auto"/>
      </w:divBdr>
      <w:divsChild>
        <w:div w:id="1886873440">
          <w:marLeft w:val="0"/>
          <w:marRight w:val="0"/>
          <w:marTop w:val="0"/>
          <w:marBottom w:val="0"/>
          <w:divBdr>
            <w:top w:val="none" w:sz="0" w:space="0" w:color="auto"/>
            <w:left w:val="none" w:sz="0" w:space="0" w:color="auto"/>
            <w:bottom w:val="none" w:sz="0" w:space="0" w:color="auto"/>
            <w:right w:val="none" w:sz="0" w:space="0" w:color="auto"/>
          </w:divBdr>
        </w:div>
      </w:divsChild>
    </w:div>
    <w:div w:id="1675960705">
      <w:marLeft w:val="0"/>
      <w:marRight w:val="0"/>
      <w:marTop w:val="0"/>
      <w:marBottom w:val="0"/>
      <w:divBdr>
        <w:top w:val="none" w:sz="0" w:space="0" w:color="auto"/>
        <w:left w:val="none" w:sz="0" w:space="0" w:color="auto"/>
        <w:bottom w:val="none" w:sz="0" w:space="0" w:color="auto"/>
        <w:right w:val="none" w:sz="0" w:space="0" w:color="auto"/>
      </w:divBdr>
    </w:div>
    <w:div w:id="1676763287">
      <w:marLeft w:val="0"/>
      <w:marRight w:val="0"/>
      <w:marTop w:val="0"/>
      <w:marBottom w:val="0"/>
      <w:divBdr>
        <w:top w:val="none" w:sz="0" w:space="0" w:color="auto"/>
        <w:left w:val="none" w:sz="0" w:space="0" w:color="auto"/>
        <w:bottom w:val="none" w:sz="0" w:space="0" w:color="auto"/>
        <w:right w:val="none" w:sz="0" w:space="0" w:color="auto"/>
      </w:divBdr>
      <w:divsChild>
        <w:div w:id="531193605">
          <w:marLeft w:val="0"/>
          <w:marRight w:val="0"/>
          <w:marTop w:val="0"/>
          <w:marBottom w:val="0"/>
          <w:divBdr>
            <w:top w:val="none" w:sz="0" w:space="0" w:color="auto"/>
            <w:left w:val="none" w:sz="0" w:space="0" w:color="auto"/>
            <w:bottom w:val="none" w:sz="0" w:space="0" w:color="auto"/>
            <w:right w:val="none" w:sz="0" w:space="0" w:color="auto"/>
          </w:divBdr>
        </w:div>
      </w:divsChild>
    </w:div>
    <w:div w:id="1677002387">
      <w:marLeft w:val="0"/>
      <w:marRight w:val="0"/>
      <w:marTop w:val="180"/>
      <w:marBottom w:val="180"/>
      <w:divBdr>
        <w:top w:val="none" w:sz="0" w:space="0" w:color="auto"/>
        <w:left w:val="none" w:sz="0" w:space="0" w:color="auto"/>
        <w:bottom w:val="none" w:sz="0" w:space="0" w:color="auto"/>
        <w:right w:val="none" w:sz="0" w:space="0" w:color="auto"/>
      </w:divBdr>
    </w:div>
    <w:div w:id="1685014755">
      <w:marLeft w:val="0"/>
      <w:marRight w:val="0"/>
      <w:marTop w:val="0"/>
      <w:marBottom w:val="0"/>
      <w:divBdr>
        <w:top w:val="none" w:sz="0" w:space="0" w:color="auto"/>
        <w:left w:val="none" w:sz="0" w:space="0" w:color="auto"/>
        <w:bottom w:val="none" w:sz="0" w:space="0" w:color="auto"/>
        <w:right w:val="none" w:sz="0" w:space="0" w:color="auto"/>
      </w:divBdr>
    </w:div>
    <w:div w:id="1686132544">
      <w:marLeft w:val="0"/>
      <w:marRight w:val="0"/>
      <w:marTop w:val="0"/>
      <w:marBottom w:val="240"/>
      <w:divBdr>
        <w:top w:val="none" w:sz="0" w:space="0" w:color="auto"/>
        <w:left w:val="none" w:sz="0" w:space="0" w:color="auto"/>
        <w:bottom w:val="none" w:sz="0" w:space="0" w:color="auto"/>
        <w:right w:val="none" w:sz="0" w:space="0" w:color="auto"/>
      </w:divBdr>
    </w:div>
    <w:div w:id="1686592582">
      <w:marLeft w:val="0"/>
      <w:marRight w:val="0"/>
      <w:marTop w:val="100"/>
      <w:marBottom w:val="0"/>
      <w:divBdr>
        <w:top w:val="none" w:sz="0" w:space="0" w:color="auto"/>
        <w:left w:val="none" w:sz="0" w:space="0" w:color="auto"/>
        <w:bottom w:val="none" w:sz="0" w:space="0" w:color="auto"/>
        <w:right w:val="none" w:sz="0" w:space="0" w:color="auto"/>
      </w:divBdr>
    </w:div>
    <w:div w:id="1688409033">
      <w:marLeft w:val="0"/>
      <w:marRight w:val="0"/>
      <w:marTop w:val="180"/>
      <w:marBottom w:val="180"/>
      <w:divBdr>
        <w:top w:val="none" w:sz="0" w:space="0" w:color="auto"/>
        <w:left w:val="none" w:sz="0" w:space="0" w:color="auto"/>
        <w:bottom w:val="none" w:sz="0" w:space="0" w:color="auto"/>
        <w:right w:val="none" w:sz="0" w:space="0" w:color="auto"/>
      </w:divBdr>
    </w:div>
    <w:div w:id="1688555386">
      <w:marLeft w:val="0"/>
      <w:marRight w:val="0"/>
      <w:marTop w:val="0"/>
      <w:marBottom w:val="180"/>
      <w:divBdr>
        <w:top w:val="none" w:sz="0" w:space="0" w:color="auto"/>
        <w:left w:val="none" w:sz="0" w:space="0" w:color="auto"/>
        <w:bottom w:val="none" w:sz="0" w:space="0" w:color="auto"/>
        <w:right w:val="none" w:sz="0" w:space="0" w:color="auto"/>
      </w:divBdr>
    </w:div>
    <w:div w:id="1694308314">
      <w:marLeft w:val="0"/>
      <w:marRight w:val="0"/>
      <w:marTop w:val="0"/>
      <w:marBottom w:val="0"/>
      <w:divBdr>
        <w:top w:val="none" w:sz="0" w:space="0" w:color="auto"/>
        <w:left w:val="none" w:sz="0" w:space="0" w:color="auto"/>
        <w:bottom w:val="none" w:sz="0" w:space="0" w:color="auto"/>
        <w:right w:val="none" w:sz="0" w:space="0" w:color="auto"/>
      </w:divBdr>
      <w:divsChild>
        <w:div w:id="1201091964">
          <w:marLeft w:val="0"/>
          <w:marRight w:val="0"/>
          <w:marTop w:val="0"/>
          <w:marBottom w:val="0"/>
          <w:divBdr>
            <w:top w:val="none" w:sz="0" w:space="0" w:color="auto"/>
            <w:left w:val="none" w:sz="0" w:space="0" w:color="auto"/>
            <w:bottom w:val="none" w:sz="0" w:space="0" w:color="auto"/>
            <w:right w:val="none" w:sz="0" w:space="0" w:color="auto"/>
          </w:divBdr>
        </w:div>
      </w:divsChild>
    </w:div>
    <w:div w:id="1696692690">
      <w:marLeft w:val="0"/>
      <w:marRight w:val="0"/>
      <w:marTop w:val="0"/>
      <w:marBottom w:val="180"/>
      <w:divBdr>
        <w:top w:val="none" w:sz="0" w:space="0" w:color="auto"/>
        <w:left w:val="none" w:sz="0" w:space="0" w:color="auto"/>
        <w:bottom w:val="none" w:sz="0" w:space="0" w:color="auto"/>
        <w:right w:val="none" w:sz="0" w:space="0" w:color="auto"/>
      </w:divBdr>
    </w:div>
    <w:div w:id="1698312419">
      <w:marLeft w:val="0"/>
      <w:marRight w:val="0"/>
      <w:marTop w:val="0"/>
      <w:marBottom w:val="0"/>
      <w:divBdr>
        <w:top w:val="none" w:sz="0" w:space="0" w:color="auto"/>
        <w:left w:val="none" w:sz="0" w:space="0" w:color="auto"/>
        <w:bottom w:val="none" w:sz="0" w:space="0" w:color="auto"/>
        <w:right w:val="none" w:sz="0" w:space="0" w:color="auto"/>
      </w:divBdr>
    </w:div>
    <w:div w:id="1698894276">
      <w:marLeft w:val="0"/>
      <w:marRight w:val="0"/>
      <w:marTop w:val="180"/>
      <w:marBottom w:val="180"/>
      <w:divBdr>
        <w:top w:val="none" w:sz="0" w:space="0" w:color="auto"/>
        <w:left w:val="none" w:sz="0" w:space="0" w:color="auto"/>
        <w:bottom w:val="none" w:sz="0" w:space="0" w:color="auto"/>
        <w:right w:val="none" w:sz="0" w:space="0" w:color="auto"/>
      </w:divBdr>
    </w:div>
    <w:div w:id="1699309113">
      <w:marLeft w:val="0"/>
      <w:marRight w:val="0"/>
      <w:marTop w:val="0"/>
      <w:marBottom w:val="240"/>
      <w:divBdr>
        <w:top w:val="none" w:sz="0" w:space="0" w:color="auto"/>
        <w:left w:val="none" w:sz="0" w:space="0" w:color="auto"/>
        <w:bottom w:val="none" w:sz="0" w:space="0" w:color="auto"/>
        <w:right w:val="none" w:sz="0" w:space="0" w:color="auto"/>
      </w:divBdr>
    </w:div>
    <w:div w:id="1699696117">
      <w:marLeft w:val="0"/>
      <w:marRight w:val="0"/>
      <w:marTop w:val="0"/>
      <w:marBottom w:val="240"/>
      <w:divBdr>
        <w:top w:val="none" w:sz="0" w:space="0" w:color="auto"/>
        <w:left w:val="none" w:sz="0" w:space="0" w:color="auto"/>
        <w:bottom w:val="none" w:sz="0" w:space="0" w:color="auto"/>
        <w:right w:val="none" w:sz="0" w:space="0" w:color="auto"/>
      </w:divBdr>
    </w:div>
    <w:div w:id="1700467769">
      <w:marLeft w:val="0"/>
      <w:marRight w:val="0"/>
      <w:marTop w:val="0"/>
      <w:marBottom w:val="0"/>
      <w:divBdr>
        <w:top w:val="none" w:sz="0" w:space="0" w:color="auto"/>
        <w:left w:val="none" w:sz="0" w:space="0" w:color="auto"/>
        <w:bottom w:val="none" w:sz="0" w:space="0" w:color="auto"/>
        <w:right w:val="none" w:sz="0" w:space="0" w:color="auto"/>
      </w:divBdr>
    </w:div>
    <w:div w:id="1701005842">
      <w:marLeft w:val="0"/>
      <w:marRight w:val="0"/>
      <w:marTop w:val="100"/>
      <w:marBottom w:val="0"/>
      <w:divBdr>
        <w:top w:val="none" w:sz="0" w:space="0" w:color="auto"/>
        <w:left w:val="none" w:sz="0" w:space="0" w:color="auto"/>
        <w:bottom w:val="none" w:sz="0" w:space="0" w:color="auto"/>
        <w:right w:val="none" w:sz="0" w:space="0" w:color="auto"/>
      </w:divBdr>
    </w:div>
    <w:div w:id="1701588621">
      <w:marLeft w:val="0"/>
      <w:marRight w:val="0"/>
      <w:marTop w:val="100"/>
      <w:marBottom w:val="0"/>
      <w:divBdr>
        <w:top w:val="none" w:sz="0" w:space="0" w:color="auto"/>
        <w:left w:val="none" w:sz="0" w:space="0" w:color="auto"/>
        <w:bottom w:val="none" w:sz="0" w:space="0" w:color="auto"/>
        <w:right w:val="none" w:sz="0" w:space="0" w:color="auto"/>
      </w:divBdr>
    </w:div>
    <w:div w:id="1703435754">
      <w:marLeft w:val="0"/>
      <w:marRight w:val="0"/>
      <w:marTop w:val="0"/>
      <w:marBottom w:val="240"/>
      <w:divBdr>
        <w:top w:val="none" w:sz="0" w:space="0" w:color="auto"/>
        <w:left w:val="none" w:sz="0" w:space="0" w:color="auto"/>
        <w:bottom w:val="none" w:sz="0" w:space="0" w:color="auto"/>
        <w:right w:val="none" w:sz="0" w:space="0" w:color="auto"/>
      </w:divBdr>
    </w:div>
    <w:div w:id="1704669150">
      <w:marLeft w:val="0"/>
      <w:marRight w:val="0"/>
      <w:marTop w:val="0"/>
      <w:marBottom w:val="0"/>
      <w:divBdr>
        <w:top w:val="none" w:sz="0" w:space="0" w:color="auto"/>
        <w:left w:val="none" w:sz="0" w:space="0" w:color="auto"/>
        <w:bottom w:val="none" w:sz="0" w:space="0" w:color="auto"/>
        <w:right w:val="none" w:sz="0" w:space="0" w:color="auto"/>
      </w:divBdr>
      <w:divsChild>
        <w:div w:id="1970502657">
          <w:marLeft w:val="0"/>
          <w:marRight w:val="0"/>
          <w:marTop w:val="0"/>
          <w:marBottom w:val="0"/>
          <w:divBdr>
            <w:top w:val="none" w:sz="0" w:space="0" w:color="auto"/>
            <w:left w:val="none" w:sz="0" w:space="0" w:color="auto"/>
            <w:bottom w:val="none" w:sz="0" w:space="0" w:color="auto"/>
            <w:right w:val="none" w:sz="0" w:space="0" w:color="auto"/>
          </w:divBdr>
        </w:div>
      </w:divsChild>
    </w:div>
    <w:div w:id="1706178156">
      <w:marLeft w:val="0"/>
      <w:marRight w:val="0"/>
      <w:marTop w:val="0"/>
      <w:marBottom w:val="180"/>
      <w:divBdr>
        <w:top w:val="none" w:sz="0" w:space="0" w:color="auto"/>
        <w:left w:val="none" w:sz="0" w:space="0" w:color="auto"/>
        <w:bottom w:val="none" w:sz="0" w:space="0" w:color="auto"/>
        <w:right w:val="none" w:sz="0" w:space="0" w:color="auto"/>
      </w:divBdr>
    </w:div>
    <w:div w:id="1709839103">
      <w:marLeft w:val="0"/>
      <w:marRight w:val="0"/>
      <w:marTop w:val="120"/>
      <w:marBottom w:val="120"/>
      <w:divBdr>
        <w:top w:val="none" w:sz="0" w:space="0" w:color="auto"/>
        <w:left w:val="none" w:sz="0" w:space="0" w:color="auto"/>
        <w:bottom w:val="none" w:sz="0" w:space="0" w:color="auto"/>
        <w:right w:val="none" w:sz="0" w:space="0" w:color="auto"/>
      </w:divBdr>
    </w:div>
    <w:div w:id="1711029152">
      <w:marLeft w:val="0"/>
      <w:marRight w:val="0"/>
      <w:marTop w:val="0"/>
      <w:marBottom w:val="240"/>
      <w:divBdr>
        <w:top w:val="none" w:sz="0" w:space="0" w:color="auto"/>
        <w:left w:val="none" w:sz="0" w:space="0" w:color="auto"/>
        <w:bottom w:val="none" w:sz="0" w:space="0" w:color="auto"/>
        <w:right w:val="none" w:sz="0" w:space="0" w:color="auto"/>
      </w:divBdr>
    </w:div>
    <w:div w:id="1712336931">
      <w:marLeft w:val="0"/>
      <w:marRight w:val="0"/>
      <w:marTop w:val="0"/>
      <w:marBottom w:val="240"/>
      <w:divBdr>
        <w:top w:val="none" w:sz="0" w:space="0" w:color="auto"/>
        <w:left w:val="none" w:sz="0" w:space="0" w:color="auto"/>
        <w:bottom w:val="none" w:sz="0" w:space="0" w:color="auto"/>
        <w:right w:val="none" w:sz="0" w:space="0" w:color="auto"/>
      </w:divBdr>
    </w:div>
    <w:div w:id="1714384028">
      <w:marLeft w:val="0"/>
      <w:marRight w:val="0"/>
      <w:marTop w:val="0"/>
      <w:marBottom w:val="240"/>
      <w:divBdr>
        <w:top w:val="none" w:sz="0" w:space="0" w:color="auto"/>
        <w:left w:val="none" w:sz="0" w:space="0" w:color="auto"/>
        <w:bottom w:val="none" w:sz="0" w:space="0" w:color="auto"/>
        <w:right w:val="none" w:sz="0" w:space="0" w:color="auto"/>
      </w:divBdr>
    </w:div>
    <w:div w:id="1715080649">
      <w:marLeft w:val="0"/>
      <w:marRight w:val="0"/>
      <w:marTop w:val="0"/>
      <w:marBottom w:val="240"/>
      <w:divBdr>
        <w:top w:val="none" w:sz="0" w:space="0" w:color="auto"/>
        <w:left w:val="none" w:sz="0" w:space="0" w:color="auto"/>
        <w:bottom w:val="none" w:sz="0" w:space="0" w:color="auto"/>
        <w:right w:val="none" w:sz="0" w:space="0" w:color="auto"/>
      </w:divBdr>
    </w:div>
    <w:div w:id="1716079812">
      <w:marLeft w:val="0"/>
      <w:marRight w:val="0"/>
      <w:marTop w:val="100"/>
      <w:marBottom w:val="100"/>
      <w:divBdr>
        <w:top w:val="none" w:sz="0" w:space="0" w:color="auto"/>
        <w:left w:val="none" w:sz="0" w:space="0" w:color="auto"/>
        <w:bottom w:val="none" w:sz="0" w:space="0" w:color="auto"/>
        <w:right w:val="none" w:sz="0" w:space="0" w:color="auto"/>
      </w:divBdr>
      <w:divsChild>
        <w:div w:id="954874253">
          <w:marLeft w:val="0"/>
          <w:marRight w:val="0"/>
          <w:marTop w:val="0"/>
          <w:marBottom w:val="0"/>
          <w:divBdr>
            <w:top w:val="none" w:sz="0" w:space="0" w:color="auto"/>
            <w:left w:val="none" w:sz="0" w:space="0" w:color="auto"/>
            <w:bottom w:val="none" w:sz="0" w:space="0" w:color="auto"/>
            <w:right w:val="none" w:sz="0" w:space="0" w:color="auto"/>
          </w:divBdr>
        </w:div>
        <w:div w:id="1900820981">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369380337">
          <w:marLeft w:val="0"/>
          <w:marRight w:val="0"/>
          <w:marTop w:val="0"/>
          <w:marBottom w:val="0"/>
          <w:divBdr>
            <w:top w:val="none" w:sz="0" w:space="0" w:color="auto"/>
            <w:left w:val="none" w:sz="0" w:space="0" w:color="auto"/>
            <w:bottom w:val="none" w:sz="0" w:space="0" w:color="auto"/>
            <w:right w:val="none" w:sz="0" w:space="0" w:color="auto"/>
          </w:divBdr>
        </w:div>
        <w:div w:id="4524974">
          <w:marLeft w:val="0"/>
          <w:marRight w:val="0"/>
          <w:marTop w:val="0"/>
          <w:marBottom w:val="0"/>
          <w:divBdr>
            <w:top w:val="none" w:sz="0" w:space="0" w:color="auto"/>
            <w:left w:val="none" w:sz="0" w:space="0" w:color="auto"/>
            <w:bottom w:val="none" w:sz="0" w:space="0" w:color="auto"/>
            <w:right w:val="none" w:sz="0" w:space="0" w:color="auto"/>
          </w:divBdr>
        </w:div>
      </w:divsChild>
    </w:div>
    <w:div w:id="1722821721">
      <w:marLeft w:val="0"/>
      <w:marRight w:val="0"/>
      <w:marTop w:val="100"/>
      <w:marBottom w:val="120"/>
      <w:divBdr>
        <w:top w:val="none" w:sz="0" w:space="0" w:color="auto"/>
        <w:left w:val="none" w:sz="0" w:space="0" w:color="auto"/>
        <w:bottom w:val="none" w:sz="0" w:space="0" w:color="auto"/>
        <w:right w:val="none" w:sz="0" w:space="0" w:color="auto"/>
      </w:divBdr>
    </w:div>
    <w:div w:id="1723407615">
      <w:marLeft w:val="0"/>
      <w:marRight w:val="0"/>
      <w:marTop w:val="120"/>
      <w:marBottom w:val="120"/>
      <w:divBdr>
        <w:top w:val="none" w:sz="0" w:space="0" w:color="auto"/>
        <w:left w:val="none" w:sz="0" w:space="0" w:color="auto"/>
        <w:bottom w:val="none" w:sz="0" w:space="0" w:color="auto"/>
        <w:right w:val="none" w:sz="0" w:space="0" w:color="auto"/>
      </w:divBdr>
    </w:div>
    <w:div w:id="1723677433">
      <w:marLeft w:val="0"/>
      <w:marRight w:val="0"/>
      <w:marTop w:val="0"/>
      <w:marBottom w:val="240"/>
      <w:divBdr>
        <w:top w:val="none" w:sz="0" w:space="0" w:color="auto"/>
        <w:left w:val="none" w:sz="0" w:space="0" w:color="auto"/>
        <w:bottom w:val="none" w:sz="0" w:space="0" w:color="auto"/>
        <w:right w:val="none" w:sz="0" w:space="0" w:color="auto"/>
      </w:divBdr>
    </w:div>
    <w:div w:id="1724477035">
      <w:marLeft w:val="0"/>
      <w:marRight w:val="0"/>
      <w:marTop w:val="0"/>
      <w:marBottom w:val="0"/>
      <w:divBdr>
        <w:top w:val="none" w:sz="0" w:space="0" w:color="auto"/>
        <w:left w:val="none" w:sz="0" w:space="0" w:color="auto"/>
        <w:bottom w:val="none" w:sz="0" w:space="0" w:color="auto"/>
        <w:right w:val="none" w:sz="0" w:space="0" w:color="auto"/>
      </w:divBdr>
      <w:divsChild>
        <w:div w:id="903640448">
          <w:marLeft w:val="0"/>
          <w:marRight w:val="0"/>
          <w:marTop w:val="0"/>
          <w:marBottom w:val="0"/>
          <w:divBdr>
            <w:top w:val="none" w:sz="0" w:space="0" w:color="auto"/>
            <w:left w:val="none" w:sz="0" w:space="0" w:color="auto"/>
            <w:bottom w:val="none" w:sz="0" w:space="0" w:color="auto"/>
            <w:right w:val="none" w:sz="0" w:space="0" w:color="auto"/>
          </w:divBdr>
        </w:div>
      </w:divsChild>
    </w:div>
    <w:div w:id="1724720732">
      <w:marLeft w:val="0"/>
      <w:marRight w:val="0"/>
      <w:marTop w:val="100"/>
      <w:marBottom w:val="0"/>
      <w:divBdr>
        <w:top w:val="none" w:sz="0" w:space="0" w:color="auto"/>
        <w:left w:val="none" w:sz="0" w:space="0" w:color="auto"/>
        <w:bottom w:val="none" w:sz="0" w:space="0" w:color="auto"/>
        <w:right w:val="none" w:sz="0" w:space="0" w:color="auto"/>
      </w:divBdr>
    </w:div>
    <w:div w:id="1725791334">
      <w:marLeft w:val="0"/>
      <w:marRight w:val="0"/>
      <w:marTop w:val="120"/>
      <w:marBottom w:val="120"/>
      <w:divBdr>
        <w:top w:val="none" w:sz="0" w:space="0" w:color="auto"/>
        <w:left w:val="none" w:sz="0" w:space="0" w:color="auto"/>
        <w:bottom w:val="none" w:sz="0" w:space="0" w:color="auto"/>
        <w:right w:val="none" w:sz="0" w:space="0" w:color="auto"/>
      </w:divBdr>
    </w:div>
    <w:div w:id="1730423403">
      <w:marLeft w:val="0"/>
      <w:marRight w:val="0"/>
      <w:marTop w:val="0"/>
      <w:marBottom w:val="0"/>
      <w:divBdr>
        <w:top w:val="none" w:sz="0" w:space="0" w:color="auto"/>
        <w:left w:val="none" w:sz="0" w:space="0" w:color="auto"/>
        <w:bottom w:val="none" w:sz="0" w:space="0" w:color="auto"/>
        <w:right w:val="none" w:sz="0" w:space="0" w:color="auto"/>
      </w:divBdr>
    </w:div>
    <w:div w:id="1731462156">
      <w:marLeft w:val="0"/>
      <w:marRight w:val="0"/>
      <w:marTop w:val="0"/>
      <w:marBottom w:val="0"/>
      <w:divBdr>
        <w:top w:val="none" w:sz="0" w:space="0" w:color="auto"/>
        <w:left w:val="none" w:sz="0" w:space="0" w:color="auto"/>
        <w:bottom w:val="none" w:sz="0" w:space="0" w:color="auto"/>
        <w:right w:val="none" w:sz="0" w:space="0" w:color="auto"/>
      </w:divBdr>
      <w:divsChild>
        <w:div w:id="556821461">
          <w:marLeft w:val="0"/>
          <w:marRight w:val="0"/>
          <w:marTop w:val="0"/>
          <w:marBottom w:val="0"/>
          <w:divBdr>
            <w:top w:val="none" w:sz="0" w:space="0" w:color="auto"/>
            <w:left w:val="none" w:sz="0" w:space="0" w:color="auto"/>
            <w:bottom w:val="none" w:sz="0" w:space="0" w:color="auto"/>
            <w:right w:val="none" w:sz="0" w:space="0" w:color="auto"/>
          </w:divBdr>
        </w:div>
      </w:divsChild>
    </w:div>
    <w:div w:id="1732534286">
      <w:marLeft w:val="0"/>
      <w:marRight w:val="0"/>
      <w:marTop w:val="0"/>
      <w:marBottom w:val="0"/>
      <w:divBdr>
        <w:top w:val="none" w:sz="0" w:space="0" w:color="auto"/>
        <w:left w:val="none" w:sz="0" w:space="0" w:color="auto"/>
        <w:bottom w:val="none" w:sz="0" w:space="0" w:color="auto"/>
        <w:right w:val="none" w:sz="0" w:space="0" w:color="auto"/>
      </w:divBdr>
      <w:divsChild>
        <w:div w:id="864632278">
          <w:marLeft w:val="0"/>
          <w:marRight w:val="0"/>
          <w:marTop w:val="0"/>
          <w:marBottom w:val="0"/>
          <w:divBdr>
            <w:top w:val="none" w:sz="0" w:space="0" w:color="auto"/>
            <w:left w:val="none" w:sz="0" w:space="0" w:color="auto"/>
            <w:bottom w:val="none" w:sz="0" w:space="0" w:color="auto"/>
            <w:right w:val="none" w:sz="0" w:space="0" w:color="auto"/>
          </w:divBdr>
        </w:div>
      </w:divsChild>
    </w:div>
    <w:div w:id="1733111676">
      <w:marLeft w:val="0"/>
      <w:marRight w:val="0"/>
      <w:marTop w:val="0"/>
      <w:marBottom w:val="0"/>
      <w:divBdr>
        <w:top w:val="none" w:sz="0" w:space="0" w:color="auto"/>
        <w:left w:val="none" w:sz="0" w:space="0" w:color="auto"/>
        <w:bottom w:val="none" w:sz="0" w:space="0" w:color="auto"/>
        <w:right w:val="none" w:sz="0" w:space="0" w:color="auto"/>
      </w:divBdr>
    </w:div>
    <w:div w:id="1733767915">
      <w:marLeft w:val="0"/>
      <w:marRight w:val="0"/>
      <w:marTop w:val="0"/>
      <w:marBottom w:val="180"/>
      <w:divBdr>
        <w:top w:val="none" w:sz="0" w:space="0" w:color="auto"/>
        <w:left w:val="none" w:sz="0" w:space="0" w:color="auto"/>
        <w:bottom w:val="none" w:sz="0" w:space="0" w:color="auto"/>
        <w:right w:val="none" w:sz="0" w:space="0" w:color="auto"/>
      </w:divBdr>
    </w:div>
    <w:div w:id="1733849392">
      <w:marLeft w:val="0"/>
      <w:marRight w:val="0"/>
      <w:marTop w:val="0"/>
      <w:marBottom w:val="240"/>
      <w:divBdr>
        <w:top w:val="none" w:sz="0" w:space="0" w:color="auto"/>
        <w:left w:val="none" w:sz="0" w:space="0" w:color="auto"/>
        <w:bottom w:val="none" w:sz="0" w:space="0" w:color="auto"/>
        <w:right w:val="none" w:sz="0" w:space="0" w:color="auto"/>
      </w:divBdr>
    </w:div>
    <w:div w:id="1735933535">
      <w:marLeft w:val="0"/>
      <w:marRight w:val="0"/>
      <w:marTop w:val="0"/>
      <w:marBottom w:val="240"/>
      <w:divBdr>
        <w:top w:val="none" w:sz="0" w:space="0" w:color="auto"/>
        <w:left w:val="none" w:sz="0" w:space="0" w:color="auto"/>
        <w:bottom w:val="none" w:sz="0" w:space="0" w:color="auto"/>
        <w:right w:val="none" w:sz="0" w:space="0" w:color="auto"/>
      </w:divBdr>
    </w:div>
    <w:div w:id="1737319280">
      <w:marLeft w:val="0"/>
      <w:marRight w:val="0"/>
      <w:marTop w:val="0"/>
      <w:marBottom w:val="0"/>
      <w:divBdr>
        <w:top w:val="none" w:sz="0" w:space="0" w:color="auto"/>
        <w:left w:val="none" w:sz="0" w:space="0" w:color="auto"/>
        <w:bottom w:val="none" w:sz="0" w:space="0" w:color="auto"/>
        <w:right w:val="none" w:sz="0" w:space="0" w:color="auto"/>
      </w:divBdr>
    </w:div>
    <w:div w:id="1737973751">
      <w:marLeft w:val="0"/>
      <w:marRight w:val="0"/>
      <w:marTop w:val="0"/>
      <w:marBottom w:val="180"/>
      <w:divBdr>
        <w:top w:val="none" w:sz="0" w:space="0" w:color="auto"/>
        <w:left w:val="none" w:sz="0" w:space="0" w:color="auto"/>
        <w:bottom w:val="none" w:sz="0" w:space="0" w:color="auto"/>
        <w:right w:val="none" w:sz="0" w:space="0" w:color="auto"/>
      </w:divBdr>
    </w:div>
    <w:div w:id="1740204228">
      <w:marLeft w:val="0"/>
      <w:marRight w:val="0"/>
      <w:marTop w:val="0"/>
      <w:marBottom w:val="0"/>
      <w:divBdr>
        <w:top w:val="none" w:sz="0" w:space="0" w:color="auto"/>
        <w:left w:val="none" w:sz="0" w:space="0" w:color="auto"/>
        <w:bottom w:val="none" w:sz="0" w:space="0" w:color="auto"/>
        <w:right w:val="none" w:sz="0" w:space="0" w:color="auto"/>
      </w:divBdr>
      <w:divsChild>
        <w:div w:id="1907833589">
          <w:marLeft w:val="0"/>
          <w:marRight w:val="0"/>
          <w:marTop w:val="0"/>
          <w:marBottom w:val="0"/>
          <w:divBdr>
            <w:top w:val="none" w:sz="0" w:space="0" w:color="auto"/>
            <w:left w:val="none" w:sz="0" w:space="0" w:color="auto"/>
            <w:bottom w:val="none" w:sz="0" w:space="0" w:color="auto"/>
            <w:right w:val="none" w:sz="0" w:space="0" w:color="auto"/>
          </w:divBdr>
        </w:div>
      </w:divsChild>
    </w:div>
    <w:div w:id="1740513975">
      <w:marLeft w:val="0"/>
      <w:marRight w:val="0"/>
      <w:marTop w:val="0"/>
      <w:marBottom w:val="240"/>
      <w:divBdr>
        <w:top w:val="none" w:sz="0" w:space="0" w:color="auto"/>
        <w:left w:val="none" w:sz="0" w:space="0" w:color="auto"/>
        <w:bottom w:val="none" w:sz="0" w:space="0" w:color="auto"/>
        <w:right w:val="none" w:sz="0" w:space="0" w:color="auto"/>
      </w:divBdr>
    </w:div>
    <w:div w:id="1741562674">
      <w:marLeft w:val="0"/>
      <w:marRight w:val="0"/>
      <w:marTop w:val="0"/>
      <w:marBottom w:val="240"/>
      <w:divBdr>
        <w:top w:val="none" w:sz="0" w:space="0" w:color="auto"/>
        <w:left w:val="none" w:sz="0" w:space="0" w:color="auto"/>
        <w:bottom w:val="none" w:sz="0" w:space="0" w:color="auto"/>
        <w:right w:val="none" w:sz="0" w:space="0" w:color="auto"/>
      </w:divBdr>
    </w:div>
    <w:div w:id="1743678918">
      <w:marLeft w:val="0"/>
      <w:marRight w:val="0"/>
      <w:marTop w:val="0"/>
      <w:marBottom w:val="240"/>
      <w:divBdr>
        <w:top w:val="none" w:sz="0" w:space="0" w:color="auto"/>
        <w:left w:val="none" w:sz="0" w:space="0" w:color="auto"/>
        <w:bottom w:val="none" w:sz="0" w:space="0" w:color="auto"/>
        <w:right w:val="none" w:sz="0" w:space="0" w:color="auto"/>
      </w:divBdr>
    </w:div>
    <w:div w:id="1748072631">
      <w:marLeft w:val="0"/>
      <w:marRight w:val="0"/>
      <w:marTop w:val="360"/>
      <w:marBottom w:val="140"/>
      <w:divBdr>
        <w:top w:val="none" w:sz="0" w:space="0" w:color="auto"/>
        <w:left w:val="none" w:sz="0" w:space="0" w:color="auto"/>
        <w:bottom w:val="none" w:sz="0" w:space="0" w:color="auto"/>
        <w:right w:val="none" w:sz="0" w:space="0" w:color="auto"/>
      </w:divBdr>
    </w:div>
    <w:div w:id="1748379255">
      <w:marLeft w:val="0"/>
      <w:marRight w:val="0"/>
      <w:marTop w:val="0"/>
      <w:marBottom w:val="0"/>
      <w:divBdr>
        <w:top w:val="none" w:sz="0" w:space="0" w:color="auto"/>
        <w:left w:val="none" w:sz="0" w:space="0" w:color="auto"/>
        <w:bottom w:val="none" w:sz="0" w:space="0" w:color="auto"/>
        <w:right w:val="none" w:sz="0" w:space="0" w:color="auto"/>
      </w:divBdr>
    </w:div>
    <w:div w:id="1753047682">
      <w:marLeft w:val="0"/>
      <w:marRight w:val="0"/>
      <w:marTop w:val="0"/>
      <w:marBottom w:val="0"/>
      <w:divBdr>
        <w:top w:val="none" w:sz="0" w:space="0" w:color="auto"/>
        <w:left w:val="none" w:sz="0" w:space="0" w:color="auto"/>
        <w:bottom w:val="none" w:sz="0" w:space="0" w:color="auto"/>
        <w:right w:val="none" w:sz="0" w:space="0" w:color="auto"/>
      </w:divBdr>
    </w:div>
    <w:div w:id="1753578739">
      <w:marLeft w:val="0"/>
      <w:marRight w:val="0"/>
      <w:marTop w:val="0"/>
      <w:marBottom w:val="0"/>
      <w:divBdr>
        <w:top w:val="none" w:sz="0" w:space="0" w:color="auto"/>
        <w:left w:val="none" w:sz="0" w:space="0" w:color="auto"/>
        <w:bottom w:val="none" w:sz="0" w:space="0" w:color="auto"/>
        <w:right w:val="none" w:sz="0" w:space="0" w:color="auto"/>
      </w:divBdr>
    </w:div>
    <w:div w:id="1753626651">
      <w:marLeft w:val="0"/>
      <w:marRight w:val="0"/>
      <w:marTop w:val="120"/>
      <w:marBottom w:val="120"/>
      <w:divBdr>
        <w:top w:val="none" w:sz="0" w:space="0" w:color="auto"/>
        <w:left w:val="none" w:sz="0" w:space="0" w:color="auto"/>
        <w:bottom w:val="none" w:sz="0" w:space="0" w:color="auto"/>
        <w:right w:val="none" w:sz="0" w:space="0" w:color="auto"/>
      </w:divBdr>
    </w:div>
    <w:div w:id="1754550882">
      <w:marLeft w:val="0"/>
      <w:marRight w:val="0"/>
      <w:marTop w:val="0"/>
      <w:marBottom w:val="0"/>
      <w:divBdr>
        <w:top w:val="none" w:sz="0" w:space="0" w:color="auto"/>
        <w:left w:val="none" w:sz="0" w:space="0" w:color="auto"/>
        <w:bottom w:val="none" w:sz="0" w:space="0" w:color="auto"/>
        <w:right w:val="none" w:sz="0" w:space="0" w:color="auto"/>
      </w:divBdr>
      <w:divsChild>
        <w:div w:id="1054087419">
          <w:marLeft w:val="0"/>
          <w:marRight w:val="0"/>
          <w:marTop w:val="0"/>
          <w:marBottom w:val="0"/>
          <w:divBdr>
            <w:top w:val="none" w:sz="0" w:space="0" w:color="auto"/>
            <w:left w:val="none" w:sz="0" w:space="0" w:color="auto"/>
            <w:bottom w:val="none" w:sz="0" w:space="0" w:color="auto"/>
            <w:right w:val="none" w:sz="0" w:space="0" w:color="auto"/>
          </w:divBdr>
        </w:div>
      </w:divsChild>
    </w:div>
    <w:div w:id="1754889450">
      <w:marLeft w:val="0"/>
      <w:marRight w:val="0"/>
      <w:marTop w:val="0"/>
      <w:marBottom w:val="0"/>
      <w:divBdr>
        <w:top w:val="none" w:sz="0" w:space="0" w:color="auto"/>
        <w:left w:val="none" w:sz="0" w:space="0" w:color="auto"/>
        <w:bottom w:val="none" w:sz="0" w:space="0" w:color="auto"/>
        <w:right w:val="none" w:sz="0" w:space="0" w:color="auto"/>
      </w:divBdr>
    </w:div>
    <w:div w:id="1755392212">
      <w:marLeft w:val="0"/>
      <w:marRight w:val="0"/>
      <w:marTop w:val="0"/>
      <w:marBottom w:val="240"/>
      <w:divBdr>
        <w:top w:val="none" w:sz="0" w:space="0" w:color="auto"/>
        <w:left w:val="none" w:sz="0" w:space="0" w:color="auto"/>
        <w:bottom w:val="none" w:sz="0" w:space="0" w:color="auto"/>
        <w:right w:val="none" w:sz="0" w:space="0" w:color="auto"/>
      </w:divBdr>
    </w:div>
    <w:div w:id="1755978203">
      <w:marLeft w:val="0"/>
      <w:marRight w:val="0"/>
      <w:marTop w:val="0"/>
      <w:marBottom w:val="180"/>
      <w:divBdr>
        <w:top w:val="none" w:sz="0" w:space="0" w:color="auto"/>
        <w:left w:val="none" w:sz="0" w:space="0" w:color="auto"/>
        <w:bottom w:val="none" w:sz="0" w:space="0" w:color="auto"/>
        <w:right w:val="none" w:sz="0" w:space="0" w:color="auto"/>
      </w:divBdr>
    </w:div>
    <w:div w:id="1757941211">
      <w:marLeft w:val="0"/>
      <w:marRight w:val="0"/>
      <w:marTop w:val="0"/>
      <w:marBottom w:val="0"/>
      <w:divBdr>
        <w:top w:val="none" w:sz="0" w:space="0" w:color="auto"/>
        <w:left w:val="none" w:sz="0" w:space="0" w:color="auto"/>
        <w:bottom w:val="none" w:sz="0" w:space="0" w:color="auto"/>
        <w:right w:val="none" w:sz="0" w:space="0" w:color="auto"/>
      </w:divBdr>
      <w:divsChild>
        <w:div w:id="102388391">
          <w:marLeft w:val="0"/>
          <w:marRight w:val="0"/>
          <w:marTop w:val="0"/>
          <w:marBottom w:val="0"/>
          <w:divBdr>
            <w:top w:val="none" w:sz="0" w:space="0" w:color="auto"/>
            <w:left w:val="none" w:sz="0" w:space="0" w:color="auto"/>
            <w:bottom w:val="none" w:sz="0" w:space="0" w:color="auto"/>
            <w:right w:val="none" w:sz="0" w:space="0" w:color="auto"/>
          </w:divBdr>
        </w:div>
      </w:divsChild>
    </w:div>
    <w:div w:id="1758668298">
      <w:marLeft w:val="0"/>
      <w:marRight w:val="0"/>
      <w:marTop w:val="180"/>
      <w:marBottom w:val="180"/>
      <w:divBdr>
        <w:top w:val="none" w:sz="0" w:space="0" w:color="auto"/>
        <w:left w:val="none" w:sz="0" w:space="0" w:color="auto"/>
        <w:bottom w:val="none" w:sz="0" w:space="0" w:color="auto"/>
        <w:right w:val="none" w:sz="0" w:space="0" w:color="auto"/>
      </w:divBdr>
    </w:div>
    <w:div w:id="1759055119">
      <w:marLeft w:val="0"/>
      <w:marRight w:val="0"/>
      <w:marTop w:val="0"/>
      <w:marBottom w:val="0"/>
      <w:divBdr>
        <w:top w:val="none" w:sz="0" w:space="0" w:color="auto"/>
        <w:left w:val="none" w:sz="0" w:space="0" w:color="auto"/>
        <w:bottom w:val="none" w:sz="0" w:space="0" w:color="auto"/>
        <w:right w:val="none" w:sz="0" w:space="0" w:color="auto"/>
      </w:divBdr>
      <w:divsChild>
        <w:div w:id="2097944897">
          <w:marLeft w:val="0"/>
          <w:marRight w:val="0"/>
          <w:marTop w:val="0"/>
          <w:marBottom w:val="0"/>
          <w:divBdr>
            <w:top w:val="none" w:sz="0" w:space="0" w:color="auto"/>
            <w:left w:val="none" w:sz="0" w:space="0" w:color="auto"/>
            <w:bottom w:val="none" w:sz="0" w:space="0" w:color="auto"/>
            <w:right w:val="none" w:sz="0" w:space="0" w:color="auto"/>
          </w:divBdr>
        </w:div>
      </w:divsChild>
    </w:div>
    <w:div w:id="1759673806">
      <w:marLeft w:val="0"/>
      <w:marRight w:val="0"/>
      <w:marTop w:val="0"/>
      <w:marBottom w:val="180"/>
      <w:divBdr>
        <w:top w:val="none" w:sz="0" w:space="0" w:color="auto"/>
        <w:left w:val="none" w:sz="0" w:space="0" w:color="auto"/>
        <w:bottom w:val="none" w:sz="0" w:space="0" w:color="auto"/>
        <w:right w:val="none" w:sz="0" w:space="0" w:color="auto"/>
      </w:divBdr>
    </w:div>
    <w:div w:id="1765686527">
      <w:marLeft w:val="0"/>
      <w:marRight w:val="0"/>
      <w:marTop w:val="0"/>
      <w:marBottom w:val="180"/>
      <w:divBdr>
        <w:top w:val="none" w:sz="0" w:space="0" w:color="auto"/>
        <w:left w:val="none" w:sz="0" w:space="0" w:color="auto"/>
        <w:bottom w:val="none" w:sz="0" w:space="0" w:color="auto"/>
        <w:right w:val="none" w:sz="0" w:space="0" w:color="auto"/>
      </w:divBdr>
    </w:div>
    <w:div w:id="1768693650">
      <w:marLeft w:val="0"/>
      <w:marRight w:val="0"/>
      <w:marTop w:val="120"/>
      <w:marBottom w:val="120"/>
      <w:divBdr>
        <w:top w:val="none" w:sz="0" w:space="0" w:color="auto"/>
        <w:left w:val="none" w:sz="0" w:space="0" w:color="auto"/>
        <w:bottom w:val="none" w:sz="0" w:space="0" w:color="auto"/>
        <w:right w:val="none" w:sz="0" w:space="0" w:color="auto"/>
      </w:divBdr>
    </w:div>
    <w:div w:id="1771848166">
      <w:marLeft w:val="0"/>
      <w:marRight w:val="0"/>
      <w:marTop w:val="60"/>
      <w:marBottom w:val="0"/>
      <w:divBdr>
        <w:top w:val="none" w:sz="0" w:space="0" w:color="auto"/>
        <w:left w:val="none" w:sz="0" w:space="0" w:color="auto"/>
        <w:bottom w:val="none" w:sz="0" w:space="0" w:color="auto"/>
        <w:right w:val="none" w:sz="0" w:space="0" w:color="auto"/>
      </w:divBdr>
    </w:div>
    <w:div w:id="1772817791">
      <w:marLeft w:val="0"/>
      <w:marRight w:val="0"/>
      <w:marTop w:val="180"/>
      <w:marBottom w:val="180"/>
      <w:divBdr>
        <w:top w:val="none" w:sz="0" w:space="0" w:color="auto"/>
        <w:left w:val="none" w:sz="0" w:space="0" w:color="auto"/>
        <w:bottom w:val="none" w:sz="0" w:space="0" w:color="auto"/>
        <w:right w:val="none" w:sz="0" w:space="0" w:color="auto"/>
      </w:divBdr>
    </w:div>
    <w:div w:id="1773283989">
      <w:marLeft w:val="0"/>
      <w:marRight w:val="0"/>
      <w:marTop w:val="100"/>
      <w:marBottom w:val="0"/>
      <w:divBdr>
        <w:top w:val="none" w:sz="0" w:space="0" w:color="auto"/>
        <w:left w:val="none" w:sz="0" w:space="0" w:color="auto"/>
        <w:bottom w:val="none" w:sz="0" w:space="0" w:color="auto"/>
        <w:right w:val="none" w:sz="0" w:space="0" w:color="auto"/>
      </w:divBdr>
      <w:divsChild>
        <w:div w:id="774984868">
          <w:marLeft w:val="0"/>
          <w:marRight w:val="0"/>
          <w:marTop w:val="0"/>
          <w:marBottom w:val="0"/>
          <w:divBdr>
            <w:top w:val="none" w:sz="0" w:space="0" w:color="auto"/>
            <w:left w:val="none" w:sz="0" w:space="0" w:color="auto"/>
            <w:bottom w:val="none" w:sz="0" w:space="0" w:color="auto"/>
            <w:right w:val="none" w:sz="0" w:space="0" w:color="auto"/>
          </w:divBdr>
        </w:div>
      </w:divsChild>
    </w:div>
    <w:div w:id="1773668702">
      <w:marLeft w:val="0"/>
      <w:marRight w:val="0"/>
      <w:marTop w:val="0"/>
      <w:marBottom w:val="180"/>
      <w:divBdr>
        <w:top w:val="none" w:sz="0" w:space="0" w:color="auto"/>
        <w:left w:val="none" w:sz="0" w:space="0" w:color="auto"/>
        <w:bottom w:val="none" w:sz="0" w:space="0" w:color="auto"/>
        <w:right w:val="none" w:sz="0" w:space="0" w:color="auto"/>
      </w:divBdr>
    </w:div>
    <w:div w:id="1774131350">
      <w:marLeft w:val="0"/>
      <w:marRight w:val="0"/>
      <w:marTop w:val="0"/>
      <w:marBottom w:val="0"/>
      <w:divBdr>
        <w:top w:val="none" w:sz="0" w:space="0" w:color="auto"/>
        <w:left w:val="none" w:sz="0" w:space="0" w:color="auto"/>
        <w:bottom w:val="none" w:sz="0" w:space="0" w:color="auto"/>
        <w:right w:val="none" w:sz="0" w:space="0" w:color="auto"/>
      </w:divBdr>
    </w:div>
    <w:div w:id="1785343929">
      <w:marLeft w:val="0"/>
      <w:marRight w:val="0"/>
      <w:marTop w:val="0"/>
      <w:marBottom w:val="240"/>
      <w:divBdr>
        <w:top w:val="none" w:sz="0" w:space="0" w:color="auto"/>
        <w:left w:val="none" w:sz="0" w:space="0" w:color="auto"/>
        <w:bottom w:val="none" w:sz="0" w:space="0" w:color="auto"/>
        <w:right w:val="none" w:sz="0" w:space="0" w:color="auto"/>
      </w:divBdr>
    </w:div>
    <w:div w:id="1786971013">
      <w:marLeft w:val="0"/>
      <w:marRight w:val="0"/>
      <w:marTop w:val="0"/>
      <w:marBottom w:val="180"/>
      <w:divBdr>
        <w:top w:val="none" w:sz="0" w:space="0" w:color="auto"/>
        <w:left w:val="none" w:sz="0" w:space="0" w:color="auto"/>
        <w:bottom w:val="none" w:sz="0" w:space="0" w:color="auto"/>
        <w:right w:val="none" w:sz="0" w:space="0" w:color="auto"/>
      </w:divBdr>
    </w:div>
    <w:div w:id="1789886019">
      <w:marLeft w:val="0"/>
      <w:marRight w:val="0"/>
      <w:marTop w:val="180"/>
      <w:marBottom w:val="180"/>
      <w:divBdr>
        <w:top w:val="none" w:sz="0" w:space="0" w:color="auto"/>
        <w:left w:val="none" w:sz="0" w:space="0" w:color="auto"/>
        <w:bottom w:val="none" w:sz="0" w:space="0" w:color="auto"/>
        <w:right w:val="none" w:sz="0" w:space="0" w:color="auto"/>
      </w:divBdr>
    </w:div>
    <w:div w:id="1790515876">
      <w:marLeft w:val="0"/>
      <w:marRight w:val="0"/>
      <w:marTop w:val="0"/>
      <w:marBottom w:val="180"/>
      <w:divBdr>
        <w:top w:val="none" w:sz="0" w:space="0" w:color="auto"/>
        <w:left w:val="none" w:sz="0" w:space="0" w:color="auto"/>
        <w:bottom w:val="none" w:sz="0" w:space="0" w:color="auto"/>
        <w:right w:val="none" w:sz="0" w:space="0" w:color="auto"/>
      </w:divBdr>
    </w:div>
    <w:div w:id="1790587147">
      <w:marLeft w:val="0"/>
      <w:marRight w:val="0"/>
      <w:marTop w:val="0"/>
      <w:marBottom w:val="0"/>
      <w:divBdr>
        <w:top w:val="none" w:sz="0" w:space="0" w:color="auto"/>
        <w:left w:val="none" w:sz="0" w:space="0" w:color="auto"/>
        <w:bottom w:val="none" w:sz="0" w:space="0" w:color="auto"/>
        <w:right w:val="none" w:sz="0" w:space="0" w:color="auto"/>
      </w:divBdr>
      <w:divsChild>
        <w:div w:id="1661155011">
          <w:marLeft w:val="0"/>
          <w:marRight w:val="0"/>
          <w:marTop w:val="0"/>
          <w:marBottom w:val="0"/>
          <w:divBdr>
            <w:top w:val="none" w:sz="0" w:space="0" w:color="auto"/>
            <w:left w:val="none" w:sz="0" w:space="0" w:color="auto"/>
            <w:bottom w:val="none" w:sz="0" w:space="0" w:color="auto"/>
            <w:right w:val="none" w:sz="0" w:space="0" w:color="auto"/>
          </w:divBdr>
        </w:div>
      </w:divsChild>
    </w:div>
    <w:div w:id="1793356885">
      <w:marLeft w:val="0"/>
      <w:marRight w:val="0"/>
      <w:marTop w:val="0"/>
      <w:marBottom w:val="240"/>
      <w:divBdr>
        <w:top w:val="none" w:sz="0" w:space="0" w:color="auto"/>
        <w:left w:val="none" w:sz="0" w:space="0" w:color="auto"/>
        <w:bottom w:val="none" w:sz="0" w:space="0" w:color="auto"/>
        <w:right w:val="none" w:sz="0" w:space="0" w:color="auto"/>
      </w:divBdr>
    </w:div>
    <w:div w:id="1794056336">
      <w:marLeft w:val="0"/>
      <w:marRight w:val="0"/>
      <w:marTop w:val="0"/>
      <w:marBottom w:val="180"/>
      <w:divBdr>
        <w:top w:val="none" w:sz="0" w:space="0" w:color="auto"/>
        <w:left w:val="none" w:sz="0" w:space="0" w:color="auto"/>
        <w:bottom w:val="none" w:sz="0" w:space="0" w:color="auto"/>
        <w:right w:val="none" w:sz="0" w:space="0" w:color="auto"/>
      </w:divBdr>
    </w:div>
    <w:div w:id="1796829517">
      <w:marLeft w:val="0"/>
      <w:marRight w:val="0"/>
      <w:marTop w:val="180"/>
      <w:marBottom w:val="180"/>
      <w:divBdr>
        <w:top w:val="none" w:sz="0" w:space="0" w:color="auto"/>
        <w:left w:val="none" w:sz="0" w:space="0" w:color="auto"/>
        <w:bottom w:val="none" w:sz="0" w:space="0" w:color="auto"/>
        <w:right w:val="none" w:sz="0" w:space="0" w:color="auto"/>
      </w:divBdr>
    </w:div>
    <w:div w:id="1797286358">
      <w:marLeft w:val="0"/>
      <w:marRight w:val="0"/>
      <w:marTop w:val="0"/>
      <w:marBottom w:val="240"/>
      <w:divBdr>
        <w:top w:val="none" w:sz="0" w:space="0" w:color="auto"/>
        <w:left w:val="none" w:sz="0" w:space="0" w:color="auto"/>
        <w:bottom w:val="none" w:sz="0" w:space="0" w:color="auto"/>
        <w:right w:val="none" w:sz="0" w:space="0" w:color="auto"/>
      </w:divBdr>
    </w:div>
    <w:div w:id="1797991157">
      <w:marLeft w:val="0"/>
      <w:marRight w:val="0"/>
      <w:marTop w:val="0"/>
      <w:marBottom w:val="180"/>
      <w:divBdr>
        <w:top w:val="none" w:sz="0" w:space="0" w:color="auto"/>
        <w:left w:val="none" w:sz="0" w:space="0" w:color="auto"/>
        <w:bottom w:val="none" w:sz="0" w:space="0" w:color="auto"/>
        <w:right w:val="none" w:sz="0" w:space="0" w:color="auto"/>
      </w:divBdr>
    </w:div>
    <w:div w:id="1802184939">
      <w:marLeft w:val="0"/>
      <w:marRight w:val="0"/>
      <w:marTop w:val="0"/>
      <w:marBottom w:val="0"/>
      <w:divBdr>
        <w:top w:val="none" w:sz="0" w:space="0" w:color="auto"/>
        <w:left w:val="none" w:sz="0" w:space="0" w:color="auto"/>
        <w:bottom w:val="none" w:sz="0" w:space="0" w:color="auto"/>
        <w:right w:val="none" w:sz="0" w:space="0" w:color="auto"/>
      </w:divBdr>
      <w:divsChild>
        <w:div w:id="1190609137">
          <w:marLeft w:val="0"/>
          <w:marRight w:val="0"/>
          <w:marTop w:val="0"/>
          <w:marBottom w:val="0"/>
          <w:divBdr>
            <w:top w:val="none" w:sz="0" w:space="0" w:color="auto"/>
            <w:left w:val="none" w:sz="0" w:space="0" w:color="auto"/>
            <w:bottom w:val="none" w:sz="0" w:space="0" w:color="auto"/>
            <w:right w:val="none" w:sz="0" w:space="0" w:color="auto"/>
          </w:divBdr>
        </w:div>
      </w:divsChild>
    </w:div>
    <w:div w:id="1804106688">
      <w:marLeft w:val="0"/>
      <w:marRight w:val="0"/>
      <w:marTop w:val="20"/>
      <w:marBottom w:val="120"/>
      <w:divBdr>
        <w:top w:val="none" w:sz="0" w:space="0" w:color="auto"/>
        <w:left w:val="none" w:sz="0" w:space="0" w:color="auto"/>
        <w:bottom w:val="none" w:sz="0" w:space="0" w:color="auto"/>
        <w:right w:val="none" w:sz="0" w:space="0" w:color="auto"/>
      </w:divBdr>
    </w:div>
    <w:div w:id="1806777567">
      <w:marLeft w:val="0"/>
      <w:marRight w:val="0"/>
      <w:marTop w:val="0"/>
      <w:marBottom w:val="240"/>
      <w:divBdr>
        <w:top w:val="none" w:sz="0" w:space="0" w:color="auto"/>
        <w:left w:val="none" w:sz="0" w:space="0" w:color="auto"/>
        <w:bottom w:val="none" w:sz="0" w:space="0" w:color="auto"/>
        <w:right w:val="none" w:sz="0" w:space="0" w:color="auto"/>
      </w:divBdr>
    </w:div>
    <w:div w:id="1807307729">
      <w:marLeft w:val="0"/>
      <w:marRight w:val="0"/>
      <w:marTop w:val="0"/>
      <w:marBottom w:val="0"/>
      <w:divBdr>
        <w:top w:val="none" w:sz="0" w:space="0" w:color="auto"/>
        <w:left w:val="none" w:sz="0" w:space="0" w:color="auto"/>
        <w:bottom w:val="none" w:sz="0" w:space="0" w:color="auto"/>
        <w:right w:val="none" w:sz="0" w:space="0" w:color="auto"/>
      </w:divBdr>
    </w:div>
    <w:div w:id="1808160384">
      <w:marLeft w:val="0"/>
      <w:marRight w:val="0"/>
      <w:marTop w:val="0"/>
      <w:marBottom w:val="180"/>
      <w:divBdr>
        <w:top w:val="none" w:sz="0" w:space="0" w:color="auto"/>
        <w:left w:val="none" w:sz="0" w:space="0" w:color="auto"/>
        <w:bottom w:val="none" w:sz="0" w:space="0" w:color="auto"/>
        <w:right w:val="none" w:sz="0" w:space="0" w:color="auto"/>
      </w:divBdr>
    </w:div>
    <w:div w:id="1808741782">
      <w:marLeft w:val="0"/>
      <w:marRight w:val="0"/>
      <w:marTop w:val="0"/>
      <w:marBottom w:val="0"/>
      <w:divBdr>
        <w:top w:val="none" w:sz="0" w:space="0" w:color="auto"/>
        <w:left w:val="none" w:sz="0" w:space="0" w:color="auto"/>
        <w:bottom w:val="none" w:sz="0" w:space="0" w:color="auto"/>
        <w:right w:val="none" w:sz="0" w:space="0" w:color="auto"/>
      </w:divBdr>
      <w:divsChild>
        <w:div w:id="1000162505">
          <w:marLeft w:val="0"/>
          <w:marRight w:val="0"/>
          <w:marTop w:val="0"/>
          <w:marBottom w:val="0"/>
          <w:divBdr>
            <w:top w:val="none" w:sz="0" w:space="0" w:color="auto"/>
            <w:left w:val="none" w:sz="0" w:space="0" w:color="auto"/>
            <w:bottom w:val="none" w:sz="0" w:space="0" w:color="auto"/>
            <w:right w:val="none" w:sz="0" w:space="0" w:color="auto"/>
          </w:divBdr>
        </w:div>
      </w:divsChild>
    </w:div>
    <w:div w:id="1810631954">
      <w:marLeft w:val="0"/>
      <w:marRight w:val="0"/>
      <w:marTop w:val="0"/>
      <w:marBottom w:val="120"/>
      <w:divBdr>
        <w:top w:val="none" w:sz="0" w:space="0" w:color="auto"/>
        <w:left w:val="none" w:sz="0" w:space="0" w:color="auto"/>
        <w:bottom w:val="none" w:sz="0" w:space="0" w:color="auto"/>
        <w:right w:val="none" w:sz="0" w:space="0" w:color="auto"/>
      </w:divBdr>
    </w:div>
    <w:div w:id="1811239471">
      <w:marLeft w:val="0"/>
      <w:marRight w:val="0"/>
      <w:marTop w:val="0"/>
      <w:marBottom w:val="0"/>
      <w:divBdr>
        <w:top w:val="none" w:sz="0" w:space="0" w:color="auto"/>
        <w:left w:val="none" w:sz="0" w:space="0" w:color="auto"/>
        <w:bottom w:val="none" w:sz="0" w:space="0" w:color="auto"/>
        <w:right w:val="none" w:sz="0" w:space="0" w:color="auto"/>
      </w:divBdr>
    </w:div>
    <w:div w:id="1812746063">
      <w:marLeft w:val="0"/>
      <w:marRight w:val="0"/>
      <w:marTop w:val="0"/>
      <w:marBottom w:val="180"/>
      <w:divBdr>
        <w:top w:val="none" w:sz="0" w:space="0" w:color="auto"/>
        <w:left w:val="none" w:sz="0" w:space="0" w:color="auto"/>
        <w:bottom w:val="none" w:sz="0" w:space="0" w:color="auto"/>
        <w:right w:val="none" w:sz="0" w:space="0" w:color="auto"/>
      </w:divBdr>
    </w:div>
    <w:div w:id="1812818833">
      <w:marLeft w:val="0"/>
      <w:marRight w:val="0"/>
      <w:marTop w:val="180"/>
      <w:marBottom w:val="180"/>
      <w:divBdr>
        <w:top w:val="none" w:sz="0" w:space="0" w:color="auto"/>
        <w:left w:val="none" w:sz="0" w:space="0" w:color="auto"/>
        <w:bottom w:val="none" w:sz="0" w:space="0" w:color="auto"/>
        <w:right w:val="none" w:sz="0" w:space="0" w:color="auto"/>
      </w:divBdr>
    </w:div>
    <w:div w:id="1816528096">
      <w:marLeft w:val="0"/>
      <w:marRight w:val="0"/>
      <w:marTop w:val="120"/>
      <w:marBottom w:val="120"/>
      <w:divBdr>
        <w:top w:val="none" w:sz="0" w:space="0" w:color="auto"/>
        <w:left w:val="none" w:sz="0" w:space="0" w:color="auto"/>
        <w:bottom w:val="none" w:sz="0" w:space="0" w:color="auto"/>
        <w:right w:val="none" w:sz="0" w:space="0" w:color="auto"/>
      </w:divBdr>
    </w:div>
    <w:div w:id="1816683693">
      <w:marLeft w:val="0"/>
      <w:marRight w:val="0"/>
      <w:marTop w:val="180"/>
      <w:marBottom w:val="24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823427075">
      <w:marLeft w:val="0"/>
      <w:marRight w:val="0"/>
      <w:marTop w:val="0"/>
      <w:marBottom w:val="0"/>
      <w:divBdr>
        <w:top w:val="none" w:sz="0" w:space="0" w:color="auto"/>
        <w:left w:val="none" w:sz="0" w:space="0" w:color="auto"/>
        <w:bottom w:val="none" w:sz="0" w:space="0" w:color="auto"/>
        <w:right w:val="none" w:sz="0" w:space="0" w:color="auto"/>
      </w:divBdr>
      <w:divsChild>
        <w:div w:id="1731731571">
          <w:marLeft w:val="0"/>
          <w:marRight w:val="0"/>
          <w:marTop w:val="0"/>
          <w:marBottom w:val="0"/>
          <w:divBdr>
            <w:top w:val="none" w:sz="0" w:space="0" w:color="auto"/>
            <w:left w:val="none" w:sz="0" w:space="0" w:color="auto"/>
            <w:bottom w:val="none" w:sz="0" w:space="0" w:color="auto"/>
            <w:right w:val="none" w:sz="0" w:space="0" w:color="auto"/>
          </w:divBdr>
          <w:divsChild>
            <w:div w:id="855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921">
      <w:marLeft w:val="0"/>
      <w:marRight w:val="0"/>
      <w:marTop w:val="0"/>
      <w:marBottom w:val="0"/>
      <w:divBdr>
        <w:top w:val="none" w:sz="0" w:space="0" w:color="auto"/>
        <w:left w:val="none" w:sz="0" w:space="0" w:color="auto"/>
        <w:bottom w:val="none" w:sz="0" w:space="0" w:color="auto"/>
        <w:right w:val="none" w:sz="0" w:space="0" w:color="auto"/>
      </w:divBdr>
    </w:div>
    <w:div w:id="1825900421">
      <w:marLeft w:val="0"/>
      <w:marRight w:val="0"/>
      <w:marTop w:val="0"/>
      <w:marBottom w:val="240"/>
      <w:divBdr>
        <w:top w:val="none" w:sz="0" w:space="0" w:color="auto"/>
        <w:left w:val="none" w:sz="0" w:space="0" w:color="auto"/>
        <w:bottom w:val="none" w:sz="0" w:space="0" w:color="auto"/>
        <w:right w:val="none" w:sz="0" w:space="0" w:color="auto"/>
      </w:divBdr>
    </w:div>
    <w:div w:id="1826433229">
      <w:marLeft w:val="0"/>
      <w:marRight w:val="0"/>
      <w:marTop w:val="100"/>
      <w:marBottom w:val="0"/>
      <w:divBdr>
        <w:top w:val="none" w:sz="0" w:space="0" w:color="auto"/>
        <w:left w:val="none" w:sz="0" w:space="0" w:color="auto"/>
        <w:bottom w:val="none" w:sz="0" w:space="0" w:color="auto"/>
        <w:right w:val="none" w:sz="0" w:space="0" w:color="auto"/>
      </w:divBdr>
    </w:div>
    <w:div w:id="1828354770">
      <w:marLeft w:val="0"/>
      <w:marRight w:val="0"/>
      <w:marTop w:val="0"/>
      <w:marBottom w:val="240"/>
      <w:divBdr>
        <w:top w:val="none" w:sz="0" w:space="0" w:color="auto"/>
        <w:left w:val="none" w:sz="0" w:space="0" w:color="auto"/>
        <w:bottom w:val="none" w:sz="0" w:space="0" w:color="auto"/>
        <w:right w:val="none" w:sz="0" w:space="0" w:color="auto"/>
      </w:divBdr>
    </w:div>
    <w:div w:id="1829398212">
      <w:marLeft w:val="0"/>
      <w:marRight w:val="0"/>
      <w:marTop w:val="0"/>
      <w:marBottom w:val="0"/>
      <w:divBdr>
        <w:top w:val="none" w:sz="0" w:space="0" w:color="auto"/>
        <w:left w:val="none" w:sz="0" w:space="0" w:color="auto"/>
        <w:bottom w:val="none" w:sz="0" w:space="0" w:color="auto"/>
        <w:right w:val="none" w:sz="0" w:space="0" w:color="auto"/>
      </w:divBdr>
    </w:div>
    <w:div w:id="1832480529">
      <w:marLeft w:val="0"/>
      <w:marRight w:val="0"/>
      <w:marTop w:val="0"/>
      <w:marBottom w:val="180"/>
      <w:divBdr>
        <w:top w:val="none" w:sz="0" w:space="0" w:color="auto"/>
        <w:left w:val="none" w:sz="0" w:space="0" w:color="auto"/>
        <w:bottom w:val="none" w:sz="0" w:space="0" w:color="auto"/>
        <w:right w:val="none" w:sz="0" w:space="0" w:color="auto"/>
      </w:divBdr>
    </w:div>
    <w:div w:id="1833451533">
      <w:marLeft w:val="0"/>
      <w:marRight w:val="0"/>
      <w:marTop w:val="0"/>
      <w:marBottom w:val="0"/>
      <w:divBdr>
        <w:top w:val="none" w:sz="0" w:space="0" w:color="auto"/>
        <w:left w:val="none" w:sz="0" w:space="0" w:color="auto"/>
        <w:bottom w:val="none" w:sz="0" w:space="0" w:color="auto"/>
        <w:right w:val="none" w:sz="0" w:space="0" w:color="auto"/>
      </w:divBdr>
      <w:divsChild>
        <w:div w:id="2037391335">
          <w:marLeft w:val="0"/>
          <w:marRight w:val="0"/>
          <w:marTop w:val="0"/>
          <w:marBottom w:val="0"/>
          <w:divBdr>
            <w:top w:val="none" w:sz="0" w:space="0" w:color="auto"/>
            <w:left w:val="none" w:sz="0" w:space="0" w:color="auto"/>
            <w:bottom w:val="none" w:sz="0" w:space="0" w:color="auto"/>
            <w:right w:val="none" w:sz="0" w:space="0" w:color="auto"/>
          </w:divBdr>
        </w:div>
      </w:divsChild>
    </w:div>
    <w:div w:id="1836259326">
      <w:marLeft w:val="0"/>
      <w:marRight w:val="0"/>
      <w:marTop w:val="0"/>
      <w:marBottom w:val="0"/>
      <w:divBdr>
        <w:top w:val="none" w:sz="0" w:space="0" w:color="auto"/>
        <w:left w:val="none" w:sz="0" w:space="0" w:color="auto"/>
        <w:bottom w:val="none" w:sz="0" w:space="0" w:color="auto"/>
        <w:right w:val="none" w:sz="0" w:space="0" w:color="auto"/>
      </w:divBdr>
    </w:div>
    <w:div w:id="1837260303">
      <w:marLeft w:val="0"/>
      <w:marRight w:val="0"/>
      <w:marTop w:val="0"/>
      <w:marBottom w:val="0"/>
      <w:divBdr>
        <w:top w:val="none" w:sz="0" w:space="0" w:color="auto"/>
        <w:left w:val="none" w:sz="0" w:space="0" w:color="auto"/>
        <w:bottom w:val="none" w:sz="0" w:space="0" w:color="auto"/>
        <w:right w:val="none" w:sz="0" w:space="0" w:color="auto"/>
      </w:divBdr>
      <w:divsChild>
        <w:div w:id="838153412">
          <w:marLeft w:val="0"/>
          <w:marRight w:val="0"/>
          <w:marTop w:val="0"/>
          <w:marBottom w:val="0"/>
          <w:divBdr>
            <w:top w:val="none" w:sz="0" w:space="0" w:color="auto"/>
            <w:left w:val="none" w:sz="0" w:space="0" w:color="auto"/>
            <w:bottom w:val="none" w:sz="0" w:space="0" w:color="auto"/>
            <w:right w:val="none" w:sz="0" w:space="0" w:color="auto"/>
          </w:divBdr>
        </w:div>
      </w:divsChild>
    </w:div>
    <w:div w:id="1837720297">
      <w:marLeft w:val="0"/>
      <w:marRight w:val="0"/>
      <w:marTop w:val="120"/>
      <w:marBottom w:val="180"/>
      <w:divBdr>
        <w:top w:val="none" w:sz="0" w:space="0" w:color="auto"/>
        <w:left w:val="none" w:sz="0" w:space="0" w:color="auto"/>
        <w:bottom w:val="none" w:sz="0" w:space="0" w:color="auto"/>
        <w:right w:val="none" w:sz="0" w:space="0" w:color="auto"/>
      </w:divBdr>
    </w:div>
    <w:div w:id="1840538948">
      <w:marLeft w:val="0"/>
      <w:marRight w:val="0"/>
      <w:marTop w:val="0"/>
      <w:marBottom w:val="0"/>
      <w:divBdr>
        <w:top w:val="none" w:sz="0" w:space="0" w:color="auto"/>
        <w:left w:val="none" w:sz="0" w:space="0" w:color="auto"/>
        <w:bottom w:val="none" w:sz="0" w:space="0" w:color="auto"/>
        <w:right w:val="none" w:sz="0" w:space="0" w:color="auto"/>
      </w:divBdr>
    </w:div>
    <w:div w:id="1840846353">
      <w:marLeft w:val="0"/>
      <w:marRight w:val="0"/>
      <w:marTop w:val="240"/>
      <w:marBottom w:val="180"/>
      <w:divBdr>
        <w:top w:val="none" w:sz="0" w:space="0" w:color="auto"/>
        <w:left w:val="none" w:sz="0" w:space="0" w:color="auto"/>
        <w:bottom w:val="none" w:sz="0" w:space="0" w:color="auto"/>
        <w:right w:val="none" w:sz="0" w:space="0" w:color="auto"/>
      </w:divBdr>
    </w:div>
    <w:div w:id="1847748461">
      <w:marLeft w:val="0"/>
      <w:marRight w:val="0"/>
      <w:marTop w:val="0"/>
      <w:marBottom w:val="180"/>
      <w:divBdr>
        <w:top w:val="none" w:sz="0" w:space="0" w:color="auto"/>
        <w:left w:val="none" w:sz="0" w:space="0" w:color="auto"/>
        <w:bottom w:val="none" w:sz="0" w:space="0" w:color="auto"/>
        <w:right w:val="none" w:sz="0" w:space="0" w:color="auto"/>
      </w:divBdr>
    </w:div>
    <w:div w:id="1849632654">
      <w:marLeft w:val="0"/>
      <w:marRight w:val="0"/>
      <w:marTop w:val="0"/>
      <w:marBottom w:val="60"/>
      <w:divBdr>
        <w:top w:val="none" w:sz="0" w:space="0" w:color="auto"/>
        <w:left w:val="none" w:sz="0" w:space="0" w:color="auto"/>
        <w:bottom w:val="none" w:sz="0" w:space="0" w:color="auto"/>
        <w:right w:val="none" w:sz="0" w:space="0" w:color="auto"/>
      </w:divBdr>
    </w:div>
    <w:div w:id="1849901834">
      <w:marLeft w:val="0"/>
      <w:marRight w:val="0"/>
      <w:marTop w:val="180"/>
      <w:marBottom w:val="180"/>
      <w:divBdr>
        <w:top w:val="none" w:sz="0" w:space="0" w:color="auto"/>
        <w:left w:val="none" w:sz="0" w:space="0" w:color="auto"/>
        <w:bottom w:val="none" w:sz="0" w:space="0" w:color="auto"/>
        <w:right w:val="none" w:sz="0" w:space="0" w:color="auto"/>
      </w:divBdr>
    </w:div>
    <w:div w:id="1851674832">
      <w:marLeft w:val="0"/>
      <w:marRight w:val="0"/>
      <w:marTop w:val="0"/>
      <w:marBottom w:val="180"/>
      <w:divBdr>
        <w:top w:val="none" w:sz="0" w:space="0" w:color="auto"/>
        <w:left w:val="none" w:sz="0" w:space="0" w:color="auto"/>
        <w:bottom w:val="none" w:sz="0" w:space="0" w:color="auto"/>
        <w:right w:val="none" w:sz="0" w:space="0" w:color="auto"/>
      </w:divBdr>
    </w:div>
    <w:div w:id="1851989998">
      <w:marLeft w:val="0"/>
      <w:marRight w:val="0"/>
      <w:marTop w:val="0"/>
      <w:marBottom w:val="180"/>
      <w:divBdr>
        <w:top w:val="none" w:sz="0" w:space="0" w:color="auto"/>
        <w:left w:val="none" w:sz="0" w:space="0" w:color="auto"/>
        <w:bottom w:val="none" w:sz="0" w:space="0" w:color="auto"/>
        <w:right w:val="none" w:sz="0" w:space="0" w:color="auto"/>
      </w:divBdr>
    </w:div>
    <w:div w:id="1853493579">
      <w:marLeft w:val="0"/>
      <w:marRight w:val="0"/>
      <w:marTop w:val="120"/>
      <w:marBottom w:val="120"/>
      <w:divBdr>
        <w:top w:val="none" w:sz="0" w:space="0" w:color="auto"/>
        <w:left w:val="none" w:sz="0" w:space="0" w:color="auto"/>
        <w:bottom w:val="none" w:sz="0" w:space="0" w:color="auto"/>
        <w:right w:val="none" w:sz="0" w:space="0" w:color="auto"/>
      </w:divBdr>
    </w:div>
    <w:div w:id="1853766167">
      <w:marLeft w:val="0"/>
      <w:marRight w:val="0"/>
      <w:marTop w:val="0"/>
      <w:marBottom w:val="0"/>
      <w:divBdr>
        <w:top w:val="none" w:sz="0" w:space="0" w:color="auto"/>
        <w:left w:val="none" w:sz="0" w:space="0" w:color="auto"/>
        <w:bottom w:val="none" w:sz="0" w:space="0" w:color="auto"/>
        <w:right w:val="none" w:sz="0" w:space="0" w:color="auto"/>
      </w:divBdr>
      <w:divsChild>
        <w:div w:id="361637066">
          <w:marLeft w:val="0"/>
          <w:marRight w:val="0"/>
          <w:marTop w:val="0"/>
          <w:marBottom w:val="0"/>
          <w:divBdr>
            <w:top w:val="none" w:sz="0" w:space="0" w:color="auto"/>
            <w:left w:val="none" w:sz="0" w:space="0" w:color="auto"/>
            <w:bottom w:val="none" w:sz="0" w:space="0" w:color="auto"/>
            <w:right w:val="none" w:sz="0" w:space="0" w:color="auto"/>
          </w:divBdr>
        </w:div>
      </w:divsChild>
    </w:div>
    <w:div w:id="1854609247">
      <w:marLeft w:val="0"/>
      <w:marRight w:val="0"/>
      <w:marTop w:val="0"/>
      <w:marBottom w:val="0"/>
      <w:divBdr>
        <w:top w:val="none" w:sz="0" w:space="0" w:color="auto"/>
        <w:left w:val="none" w:sz="0" w:space="0" w:color="auto"/>
        <w:bottom w:val="none" w:sz="0" w:space="0" w:color="auto"/>
        <w:right w:val="none" w:sz="0" w:space="0" w:color="auto"/>
      </w:divBdr>
    </w:div>
    <w:div w:id="1855074480">
      <w:marLeft w:val="0"/>
      <w:marRight w:val="0"/>
      <w:marTop w:val="180"/>
      <w:marBottom w:val="180"/>
      <w:divBdr>
        <w:top w:val="none" w:sz="0" w:space="0" w:color="auto"/>
        <w:left w:val="none" w:sz="0" w:space="0" w:color="auto"/>
        <w:bottom w:val="none" w:sz="0" w:space="0" w:color="auto"/>
        <w:right w:val="none" w:sz="0" w:space="0" w:color="auto"/>
      </w:divBdr>
    </w:div>
    <w:div w:id="1857883355">
      <w:marLeft w:val="0"/>
      <w:marRight w:val="0"/>
      <w:marTop w:val="0"/>
      <w:marBottom w:val="0"/>
      <w:divBdr>
        <w:top w:val="none" w:sz="0" w:space="0" w:color="auto"/>
        <w:left w:val="none" w:sz="0" w:space="0" w:color="auto"/>
        <w:bottom w:val="none" w:sz="0" w:space="0" w:color="auto"/>
        <w:right w:val="none" w:sz="0" w:space="0" w:color="auto"/>
      </w:divBdr>
    </w:div>
    <w:div w:id="1858083452">
      <w:marLeft w:val="0"/>
      <w:marRight w:val="0"/>
      <w:marTop w:val="0"/>
      <w:marBottom w:val="0"/>
      <w:divBdr>
        <w:top w:val="none" w:sz="0" w:space="0" w:color="auto"/>
        <w:left w:val="none" w:sz="0" w:space="0" w:color="auto"/>
        <w:bottom w:val="none" w:sz="0" w:space="0" w:color="auto"/>
        <w:right w:val="none" w:sz="0" w:space="0" w:color="auto"/>
      </w:divBdr>
    </w:div>
    <w:div w:id="1860898262">
      <w:marLeft w:val="0"/>
      <w:marRight w:val="0"/>
      <w:marTop w:val="180"/>
      <w:marBottom w:val="180"/>
      <w:divBdr>
        <w:top w:val="none" w:sz="0" w:space="0" w:color="auto"/>
        <w:left w:val="none" w:sz="0" w:space="0" w:color="auto"/>
        <w:bottom w:val="none" w:sz="0" w:space="0" w:color="auto"/>
        <w:right w:val="none" w:sz="0" w:space="0" w:color="auto"/>
      </w:divBdr>
    </w:div>
    <w:div w:id="1862818045">
      <w:marLeft w:val="0"/>
      <w:marRight w:val="0"/>
      <w:marTop w:val="0"/>
      <w:marBottom w:val="240"/>
      <w:divBdr>
        <w:top w:val="none" w:sz="0" w:space="0" w:color="auto"/>
        <w:left w:val="none" w:sz="0" w:space="0" w:color="auto"/>
        <w:bottom w:val="none" w:sz="0" w:space="0" w:color="auto"/>
        <w:right w:val="none" w:sz="0" w:space="0" w:color="auto"/>
      </w:divBdr>
    </w:div>
    <w:div w:id="1862821420">
      <w:marLeft w:val="0"/>
      <w:marRight w:val="0"/>
      <w:marTop w:val="100"/>
      <w:marBottom w:val="180"/>
      <w:divBdr>
        <w:top w:val="none" w:sz="0" w:space="0" w:color="auto"/>
        <w:left w:val="none" w:sz="0" w:space="0" w:color="auto"/>
        <w:bottom w:val="none" w:sz="0" w:space="0" w:color="auto"/>
        <w:right w:val="none" w:sz="0" w:space="0" w:color="auto"/>
      </w:divBdr>
    </w:div>
    <w:div w:id="1863744496">
      <w:marLeft w:val="0"/>
      <w:marRight w:val="0"/>
      <w:marTop w:val="120"/>
      <w:marBottom w:val="120"/>
      <w:divBdr>
        <w:top w:val="none" w:sz="0" w:space="0" w:color="auto"/>
        <w:left w:val="none" w:sz="0" w:space="0" w:color="auto"/>
        <w:bottom w:val="none" w:sz="0" w:space="0" w:color="auto"/>
        <w:right w:val="none" w:sz="0" w:space="0" w:color="auto"/>
      </w:divBdr>
    </w:div>
    <w:div w:id="1865360491">
      <w:marLeft w:val="0"/>
      <w:marRight w:val="0"/>
      <w:marTop w:val="0"/>
      <w:marBottom w:val="180"/>
      <w:divBdr>
        <w:top w:val="none" w:sz="0" w:space="0" w:color="auto"/>
        <w:left w:val="none" w:sz="0" w:space="0" w:color="auto"/>
        <w:bottom w:val="none" w:sz="0" w:space="0" w:color="auto"/>
        <w:right w:val="none" w:sz="0" w:space="0" w:color="auto"/>
      </w:divBdr>
    </w:div>
    <w:div w:id="1867788991">
      <w:marLeft w:val="0"/>
      <w:marRight w:val="0"/>
      <w:marTop w:val="0"/>
      <w:marBottom w:val="180"/>
      <w:divBdr>
        <w:top w:val="none" w:sz="0" w:space="0" w:color="auto"/>
        <w:left w:val="none" w:sz="0" w:space="0" w:color="auto"/>
        <w:bottom w:val="none" w:sz="0" w:space="0" w:color="auto"/>
        <w:right w:val="none" w:sz="0" w:space="0" w:color="auto"/>
      </w:divBdr>
    </w:div>
    <w:div w:id="1868788375">
      <w:marLeft w:val="0"/>
      <w:marRight w:val="0"/>
      <w:marTop w:val="0"/>
      <w:marBottom w:val="240"/>
      <w:divBdr>
        <w:top w:val="none" w:sz="0" w:space="0" w:color="auto"/>
        <w:left w:val="none" w:sz="0" w:space="0" w:color="auto"/>
        <w:bottom w:val="none" w:sz="0" w:space="0" w:color="auto"/>
        <w:right w:val="none" w:sz="0" w:space="0" w:color="auto"/>
      </w:divBdr>
    </w:div>
    <w:div w:id="1873684671">
      <w:marLeft w:val="0"/>
      <w:marRight w:val="0"/>
      <w:marTop w:val="0"/>
      <w:marBottom w:val="180"/>
      <w:divBdr>
        <w:top w:val="none" w:sz="0" w:space="0" w:color="auto"/>
        <w:left w:val="none" w:sz="0" w:space="0" w:color="auto"/>
        <w:bottom w:val="none" w:sz="0" w:space="0" w:color="auto"/>
        <w:right w:val="none" w:sz="0" w:space="0" w:color="auto"/>
      </w:divBdr>
    </w:div>
    <w:div w:id="1876503252">
      <w:marLeft w:val="0"/>
      <w:marRight w:val="0"/>
      <w:marTop w:val="0"/>
      <w:marBottom w:val="180"/>
      <w:divBdr>
        <w:top w:val="none" w:sz="0" w:space="0" w:color="auto"/>
        <w:left w:val="none" w:sz="0" w:space="0" w:color="auto"/>
        <w:bottom w:val="none" w:sz="0" w:space="0" w:color="auto"/>
        <w:right w:val="none" w:sz="0" w:space="0" w:color="auto"/>
      </w:divBdr>
    </w:div>
    <w:div w:id="1877154052">
      <w:marLeft w:val="0"/>
      <w:marRight w:val="0"/>
      <w:marTop w:val="0"/>
      <w:marBottom w:val="180"/>
      <w:divBdr>
        <w:top w:val="none" w:sz="0" w:space="0" w:color="auto"/>
        <w:left w:val="none" w:sz="0" w:space="0" w:color="auto"/>
        <w:bottom w:val="none" w:sz="0" w:space="0" w:color="auto"/>
        <w:right w:val="none" w:sz="0" w:space="0" w:color="auto"/>
      </w:divBdr>
    </w:div>
    <w:div w:id="1877815051">
      <w:marLeft w:val="0"/>
      <w:marRight w:val="0"/>
      <w:marTop w:val="0"/>
      <w:marBottom w:val="180"/>
      <w:divBdr>
        <w:top w:val="none" w:sz="0" w:space="0" w:color="auto"/>
        <w:left w:val="none" w:sz="0" w:space="0" w:color="auto"/>
        <w:bottom w:val="none" w:sz="0" w:space="0" w:color="auto"/>
        <w:right w:val="none" w:sz="0" w:space="0" w:color="auto"/>
      </w:divBdr>
    </w:div>
    <w:div w:id="1881631217">
      <w:marLeft w:val="0"/>
      <w:marRight w:val="0"/>
      <w:marTop w:val="60"/>
      <w:marBottom w:val="180"/>
      <w:divBdr>
        <w:top w:val="none" w:sz="0" w:space="0" w:color="auto"/>
        <w:left w:val="none" w:sz="0" w:space="0" w:color="auto"/>
        <w:bottom w:val="none" w:sz="0" w:space="0" w:color="auto"/>
        <w:right w:val="none" w:sz="0" w:space="0" w:color="auto"/>
      </w:divBdr>
    </w:div>
    <w:div w:id="1884781904">
      <w:marLeft w:val="0"/>
      <w:marRight w:val="0"/>
      <w:marTop w:val="180"/>
      <w:marBottom w:val="180"/>
      <w:divBdr>
        <w:top w:val="none" w:sz="0" w:space="0" w:color="auto"/>
        <w:left w:val="none" w:sz="0" w:space="0" w:color="auto"/>
        <w:bottom w:val="none" w:sz="0" w:space="0" w:color="auto"/>
        <w:right w:val="none" w:sz="0" w:space="0" w:color="auto"/>
      </w:divBdr>
    </w:div>
    <w:div w:id="1887403800">
      <w:marLeft w:val="0"/>
      <w:marRight w:val="0"/>
      <w:marTop w:val="0"/>
      <w:marBottom w:val="180"/>
      <w:divBdr>
        <w:top w:val="none" w:sz="0" w:space="0" w:color="auto"/>
        <w:left w:val="none" w:sz="0" w:space="0" w:color="auto"/>
        <w:bottom w:val="none" w:sz="0" w:space="0" w:color="auto"/>
        <w:right w:val="none" w:sz="0" w:space="0" w:color="auto"/>
      </w:divBdr>
    </w:div>
    <w:div w:id="1889802844">
      <w:marLeft w:val="0"/>
      <w:marRight w:val="0"/>
      <w:marTop w:val="180"/>
      <w:marBottom w:val="180"/>
      <w:divBdr>
        <w:top w:val="none" w:sz="0" w:space="0" w:color="auto"/>
        <w:left w:val="none" w:sz="0" w:space="0" w:color="auto"/>
        <w:bottom w:val="none" w:sz="0" w:space="0" w:color="auto"/>
        <w:right w:val="none" w:sz="0" w:space="0" w:color="auto"/>
      </w:divBdr>
    </w:div>
    <w:div w:id="1894080145">
      <w:marLeft w:val="0"/>
      <w:marRight w:val="0"/>
      <w:marTop w:val="120"/>
      <w:marBottom w:val="120"/>
      <w:divBdr>
        <w:top w:val="none" w:sz="0" w:space="0" w:color="auto"/>
        <w:left w:val="none" w:sz="0" w:space="0" w:color="auto"/>
        <w:bottom w:val="none" w:sz="0" w:space="0" w:color="auto"/>
        <w:right w:val="none" w:sz="0" w:space="0" w:color="auto"/>
      </w:divBdr>
    </w:div>
    <w:div w:id="1894195140">
      <w:marLeft w:val="0"/>
      <w:marRight w:val="0"/>
      <w:marTop w:val="0"/>
      <w:marBottom w:val="180"/>
      <w:divBdr>
        <w:top w:val="none" w:sz="0" w:space="0" w:color="auto"/>
        <w:left w:val="none" w:sz="0" w:space="0" w:color="auto"/>
        <w:bottom w:val="none" w:sz="0" w:space="0" w:color="auto"/>
        <w:right w:val="none" w:sz="0" w:space="0" w:color="auto"/>
      </w:divBdr>
    </w:div>
    <w:div w:id="1894732614">
      <w:marLeft w:val="0"/>
      <w:marRight w:val="0"/>
      <w:marTop w:val="0"/>
      <w:marBottom w:val="0"/>
      <w:divBdr>
        <w:top w:val="none" w:sz="0" w:space="0" w:color="auto"/>
        <w:left w:val="none" w:sz="0" w:space="0" w:color="auto"/>
        <w:bottom w:val="none" w:sz="0" w:space="0" w:color="auto"/>
        <w:right w:val="none" w:sz="0" w:space="0" w:color="auto"/>
      </w:divBdr>
    </w:div>
    <w:div w:id="1895189909">
      <w:marLeft w:val="0"/>
      <w:marRight w:val="0"/>
      <w:marTop w:val="0"/>
      <w:marBottom w:val="240"/>
      <w:divBdr>
        <w:top w:val="none" w:sz="0" w:space="0" w:color="auto"/>
        <w:left w:val="none" w:sz="0" w:space="0" w:color="auto"/>
        <w:bottom w:val="none" w:sz="0" w:space="0" w:color="auto"/>
        <w:right w:val="none" w:sz="0" w:space="0" w:color="auto"/>
      </w:divBdr>
    </w:div>
    <w:div w:id="1897006506">
      <w:marLeft w:val="0"/>
      <w:marRight w:val="0"/>
      <w:marTop w:val="0"/>
      <w:marBottom w:val="240"/>
      <w:divBdr>
        <w:top w:val="none" w:sz="0" w:space="0" w:color="auto"/>
        <w:left w:val="none" w:sz="0" w:space="0" w:color="auto"/>
        <w:bottom w:val="none" w:sz="0" w:space="0" w:color="auto"/>
        <w:right w:val="none" w:sz="0" w:space="0" w:color="auto"/>
      </w:divBdr>
    </w:div>
    <w:div w:id="1898123697">
      <w:marLeft w:val="0"/>
      <w:marRight w:val="0"/>
      <w:marTop w:val="0"/>
      <w:marBottom w:val="0"/>
      <w:divBdr>
        <w:top w:val="none" w:sz="0" w:space="0" w:color="auto"/>
        <w:left w:val="none" w:sz="0" w:space="0" w:color="auto"/>
        <w:bottom w:val="none" w:sz="0" w:space="0" w:color="auto"/>
        <w:right w:val="none" w:sz="0" w:space="0" w:color="auto"/>
      </w:divBdr>
    </w:div>
    <w:div w:id="1900094912">
      <w:marLeft w:val="0"/>
      <w:marRight w:val="0"/>
      <w:marTop w:val="0"/>
      <w:marBottom w:val="240"/>
      <w:divBdr>
        <w:top w:val="none" w:sz="0" w:space="0" w:color="auto"/>
        <w:left w:val="none" w:sz="0" w:space="0" w:color="auto"/>
        <w:bottom w:val="none" w:sz="0" w:space="0" w:color="auto"/>
        <w:right w:val="none" w:sz="0" w:space="0" w:color="auto"/>
      </w:divBdr>
    </w:div>
    <w:div w:id="1901282919">
      <w:marLeft w:val="0"/>
      <w:marRight w:val="0"/>
      <w:marTop w:val="0"/>
      <w:marBottom w:val="0"/>
      <w:divBdr>
        <w:top w:val="none" w:sz="0" w:space="0" w:color="auto"/>
        <w:left w:val="none" w:sz="0" w:space="0" w:color="auto"/>
        <w:bottom w:val="none" w:sz="0" w:space="0" w:color="auto"/>
        <w:right w:val="none" w:sz="0" w:space="0" w:color="auto"/>
      </w:divBdr>
      <w:divsChild>
        <w:div w:id="173805729">
          <w:marLeft w:val="0"/>
          <w:marRight w:val="0"/>
          <w:marTop w:val="0"/>
          <w:marBottom w:val="0"/>
          <w:divBdr>
            <w:top w:val="none" w:sz="0" w:space="0" w:color="auto"/>
            <w:left w:val="none" w:sz="0" w:space="0" w:color="auto"/>
            <w:bottom w:val="none" w:sz="0" w:space="0" w:color="auto"/>
            <w:right w:val="none" w:sz="0" w:space="0" w:color="auto"/>
          </w:divBdr>
        </w:div>
      </w:divsChild>
    </w:div>
    <w:div w:id="1904214391">
      <w:marLeft w:val="0"/>
      <w:marRight w:val="0"/>
      <w:marTop w:val="0"/>
      <w:marBottom w:val="0"/>
      <w:divBdr>
        <w:top w:val="none" w:sz="0" w:space="0" w:color="auto"/>
        <w:left w:val="none" w:sz="0" w:space="0" w:color="auto"/>
        <w:bottom w:val="none" w:sz="0" w:space="0" w:color="auto"/>
        <w:right w:val="none" w:sz="0" w:space="0" w:color="auto"/>
      </w:divBdr>
      <w:divsChild>
        <w:div w:id="1318924245">
          <w:marLeft w:val="0"/>
          <w:marRight w:val="0"/>
          <w:marTop w:val="0"/>
          <w:marBottom w:val="0"/>
          <w:divBdr>
            <w:top w:val="none" w:sz="0" w:space="0" w:color="auto"/>
            <w:left w:val="none" w:sz="0" w:space="0" w:color="auto"/>
            <w:bottom w:val="none" w:sz="0" w:space="0" w:color="auto"/>
            <w:right w:val="none" w:sz="0" w:space="0" w:color="auto"/>
          </w:divBdr>
        </w:div>
        <w:div w:id="53310130">
          <w:marLeft w:val="0"/>
          <w:marRight w:val="0"/>
          <w:marTop w:val="0"/>
          <w:marBottom w:val="0"/>
          <w:divBdr>
            <w:top w:val="none" w:sz="0" w:space="0" w:color="auto"/>
            <w:left w:val="none" w:sz="0" w:space="0" w:color="auto"/>
            <w:bottom w:val="none" w:sz="0" w:space="0" w:color="auto"/>
            <w:right w:val="none" w:sz="0" w:space="0" w:color="auto"/>
          </w:divBdr>
        </w:div>
        <w:div w:id="1319771310">
          <w:marLeft w:val="0"/>
          <w:marRight w:val="0"/>
          <w:marTop w:val="0"/>
          <w:marBottom w:val="0"/>
          <w:divBdr>
            <w:top w:val="none" w:sz="0" w:space="0" w:color="auto"/>
            <w:left w:val="none" w:sz="0" w:space="0" w:color="auto"/>
            <w:bottom w:val="none" w:sz="0" w:space="0" w:color="auto"/>
            <w:right w:val="none" w:sz="0" w:space="0" w:color="auto"/>
          </w:divBdr>
        </w:div>
      </w:divsChild>
    </w:div>
    <w:div w:id="1905988383">
      <w:marLeft w:val="0"/>
      <w:marRight w:val="0"/>
      <w:marTop w:val="100"/>
      <w:marBottom w:val="0"/>
      <w:divBdr>
        <w:top w:val="none" w:sz="0" w:space="0" w:color="auto"/>
        <w:left w:val="none" w:sz="0" w:space="0" w:color="auto"/>
        <w:bottom w:val="none" w:sz="0" w:space="0" w:color="auto"/>
        <w:right w:val="none" w:sz="0" w:space="0" w:color="auto"/>
      </w:divBdr>
    </w:div>
    <w:div w:id="1908758062">
      <w:marLeft w:val="0"/>
      <w:marRight w:val="0"/>
      <w:marTop w:val="0"/>
      <w:marBottom w:val="0"/>
      <w:divBdr>
        <w:top w:val="none" w:sz="0" w:space="0" w:color="auto"/>
        <w:left w:val="none" w:sz="0" w:space="0" w:color="auto"/>
        <w:bottom w:val="none" w:sz="0" w:space="0" w:color="auto"/>
        <w:right w:val="none" w:sz="0" w:space="0" w:color="auto"/>
      </w:divBdr>
    </w:div>
    <w:div w:id="1908758315">
      <w:marLeft w:val="0"/>
      <w:marRight w:val="0"/>
      <w:marTop w:val="0"/>
      <w:marBottom w:val="0"/>
      <w:divBdr>
        <w:top w:val="none" w:sz="0" w:space="0" w:color="auto"/>
        <w:left w:val="none" w:sz="0" w:space="0" w:color="auto"/>
        <w:bottom w:val="none" w:sz="0" w:space="0" w:color="auto"/>
        <w:right w:val="none" w:sz="0" w:space="0" w:color="auto"/>
      </w:divBdr>
    </w:div>
    <w:div w:id="1910462858">
      <w:marLeft w:val="0"/>
      <w:marRight w:val="0"/>
      <w:marTop w:val="0"/>
      <w:marBottom w:val="0"/>
      <w:divBdr>
        <w:top w:val="none" w:sz="0" w:space="0" w:color="auto"/>
        <w:left w:val="none" w:sz="0" w:space="0" w:color="auto"/>
        <w:bottom w:val="none" w:sz="0" w:space="0" w:color="auto"/>
        <w:right w:val="none" w:sz="0" w:space="0" w:color="auto"/>
      </w:divBdr>
      <w:divsChild>
        <w:div w:id="1464150275">
          <w:marLeft w:val="0"/>
          <w:marRight w:val="0"/>
          <w:marTop w:val="0"/>
          <w:marBottom w:val="0"/>
          <w:divBdr>
            <w:top w:val="none" w:sz="0" w:space="0" w:color="auto"/>
            <w:left w:val="none" w:sz="0" w:space="0" w:color="auto"/>
            <w:bottom w:val="none" w:sz="0" w:space="0" w:color="auto"/>
            <w:right w:val="none" w:sz="0" w:space="0" w:color="auto"/>
          </w:divBdr>
        </w:div>
      </w:divsChild>
    </w:div>
    <w:div w:id="1911846031">
      <w:marLeft w:val="0"/>
      <w:marRight w:val="0"/>
      <w:marTop w:val="0"/>
      <w:marBottom w:val="0"/>
      <w:divBdr>
        <w:top w:val="none" w:sz="0" w:space="0" w:color="auto"/>
        <w:left w:val="none" w:sz="0" w:space="0" w:color="auto"/>
        <w:bottom w:val="none" w:sz="0" w:space="0" w:color="auto"/>
        <w:right w:val="none" w:sz="0" w:space="0" w:color="auto"/>
      </w:divBdr>
      <w:divsChild>
        <w:div w:id="1071461116">
          <w:marLeft w:val="0"/>
          <w:marRight w:val="0"/>
          <w:marTop w:val="0"/>
          <w:marBottom w:val="0"/>
          <w:divBdr>
            <w:top w:val="none" w:sz="0" w:space="0" w:color="auto"/>
            <w:left w:val="none" w:sz="0" w:space="0" w:color="auto"/>
            <w:bottom w:val="none" w:sz="0" w:space="0" w:color="auto"/>
            <w:right w:val="none" w:sz="0" w:space="0" w:color="auto"/>
          </w:divBdr>
        </w:div>
      </w:divsChild>
    </w:div>
    <w:div w:id="1913159272">
      <w:marLeft w:val="0"/>
      <w:marRight w:val="0"/>
      <w:marTop w:val="0"/>
      <w:marBottom w:val="240"/>
      <w:divBdr>
        <w:top w:val="none" w:sz="0" w:space="0" w:color="auto"/>
        <w:left w:val="none" w:sz="0" w:space="0" w:color="auto"/>
        <w:bottom w:val="none" w:sz="0" w:space="0" w:color="auto"/>
        <w:right w:val="none" w:sz="0" w:space="0" w:color="auto"/>
      </w:divBdr>
    </w:div>
    <w:div w:id="1917595917">
      <w:marLeft w:val="0"/>
      <w:marRight w:val="0"/>
      <w:marTop w:val="0"/>
      <w:marBottom w:val="240"/>
      <w:divBdr>
        <w:top w:val="none" w:sz="0" w:space="0" w:color="auto"/>
        <w:left w:val="none" w:sz="0" w:space="0" w:color="auto"/>
        <w:bottom w:val="none" w:sz="0" w:space="0" w:color="auto"/>
        <w:right w:val="none" w:sz="0" w:space="0" w:color="auto"/>
      </w:divBdr>
    </w:div>
    <w:div w:id="1917931747">
      <w:marLeft w:val="0"/>
      <w:marRight w:val="0"/>
      <w:marTop w:val="120"/>
      <w:marBottom w:val="120"/>
      <w:divBdr>
        <w:top w:val="none" w:sz="0" w:space="0" w:color="auto"/>
        <w:left w:val="none" w:sz="0" w:space="0" w:color="auto"/>
        <w:bottom w:val="none" w:sz="0" w:space="0" w:color="auto"/>
        <w:right w:val="none" w:sz="0" w:space="0" w:color="auto"/>
      </w:divBdr>
    </w:div>
    <w:div w:id="1919363782">
      <w:marLeft w:val="0"/>
      <w:marRight w:val="0"/>
      <w:marTop w:val="0"/>
      <w:marBottom w:val="180"/>
      <w:divBdr>
        <w:top w:val="none" w:sz="0" w:space="0" w:color="auto"/>
        <w:left w:val="none" w:sz="0" w:space="0" w:color="auto"/>
        <w:bottom w:val="none" w:sz="0" w:space="0" w:color="auto"/>
        <w:right w:val="none" w:sz="0" w:space="0" w:color="auto"/>
      </w:divBdr>
    </w:div>
    <w:div w:id="1920872125">
      <w:marLeft w:val="0"/>
      <w:marRight w:val="0"/>
      <w:marTop w:val="0"/>
      <w:marBottom w:val="180"/>
      <w:divBdr>
        <w:top w:val="none" w:sz="0" w:space="0" w:color="auto"/>
        <w:left w:val="none" w:sz="0" w:space="0" w:color="auto"/>
        <w:bottom w:val="none" w:sz="0" w:space="0" w:color="auto"/>
        <w:right w:val="none" w:sz="0" w:space="0" w:color="auto"/>
      </w:divBdr>
    </w:div>
    <w:div w:id="1921596201">
      <w:marLeft w:val="0"/>
      <w:marRight w:val="0"/>
      <w:marTop w:val="0"/>
      <w:marBottom w:val="0"/>
      <w:divBdr>
        <w:top w:val="none" w:sz="0" w:space="0" w:color="auto"/>
        <w:left w:val="none" w:sz="0" w:space="0" w:color="auto"/>
        <w:bottom w:val="none" w:sz="0" w:space="0" w:color="auto"/>
        <w:right w:val="none" w:sz="0" w:space="0" w:color="auto"/>
      </w:divBdr>
    </w:div>
    <w:div w:id="1922522136">
      <w:marLeft w:val="0"/>
      <w:marRight w:val="0"/>
      <w:marTop w:val="0"/>
      <w:marBottom w:val="240"/>
      <w:divBdr>
        <w:top w:val="none" w:sz="0" w:space="0" w:color="auto"/>
        <w:left w:val="none" w:sz="0" w:space="0" w:color="auto"/>
        <w:bottom w:val="none" w:sz="0" w:space="0" w:color="auto"/>
        <w:right w:val="none" w:sz="0" w:space="0" w:color="auto"/>
      </w:divBdr>
    </w:div>
    <w:div w:id="1928611517">
      <w:marLeft w:val="0"/>
      <w:marRight w:val="0"/>
      <w:marTop w:val="0"/>
      <w:marBottom w:val="240"/>
      <w:divBdr>
        <w:top w:val="none" w:sz="0" w:space="0" w:color="auto"/>
        <w:left w:val="none" w:sz="0" w:space="0" w:color="auto"/>
        <w:bottom w:val="none" w:sz="0" w:space="0" w:color="auto"/>
        <w:right w:val="none" w:sz="0" w:space="0" w:color="auto"/>
      </w:divBdr>
    </w:div>
    <w:div w:id="1930263701">
      <w:marLeft w:val="0"/>
      <w:marRight w:val="0"/>
      <w:marTop w:val="180"/>
      <w:marBottom w:val="180"/>
      <w:divBdr>
        <w:top w:val="none" w:sz="0" w:space="0" w:color="auto"/>
        <w:left w:val="none" w:sz="0" w:space="0" w:color="auto"/>
        <w:bottom w:val="none" w:sz="0" w:space="0" w:color="auto"/>
        <w:right w:val="none" w:sz="0" w:space="0" w:color="auto"/>
      </w:divBdr>
    </w:div>
    <w:div w:id="1930578926">
      <w:marLeft w:val="0"/>
      <w:marRight w:val="0"/>
      <w:marTop w:val="0"/>
      <w:marBottom w:val="0"/>
      <w:divBdr>
        <w:top w:val="none" w:sz="0" w:space="0" w:color="auto"/>
        <w:left w:val="none" w:sz="0" w:space="0" w:color="auto"/>
        <w:bottom w:val="none" w:sz="0" w:space="0" w:color="auto"/>
        <w:right w:val="none" w:sz="0" w:space="0" w:color="auto"/>
      </w:divBdr>
    </w:div>
    <w:div w:id="1930774370">
      <w:marLeft w:val="0"/>
      <w:marRight w:val="0"/>
      <w:marTop w:val="0"/>
      <w:marBottom w:val="0"/>
      <w:divBdr>
        <w:top w:val="none" w:sz="0" w:space="0" w:color="auto"/>
        <w:left w:val="none" w:sz="0" w:space="0" w:color="auto"/>
        <w:bottom w:val="none" w:sz="0" w:space="0" w:color="auto"/>
        <w:right w:val="none" w:sz="0" w:space="0" w:color="auto"/>
      </w:divBdr>
    </w:div>
    <w:div w:id="1930968643">
      <w:marLeft w:val="0"/>
      <w:marRight w:val="0"/>
      <w:marTop w:val="0"/>
      <w:marBottom w:val="0"/>
      <w:divBdr>
        <w:top w:val="none" w:sz="0" w:space="0" w:color="auto"/>
        <w:left w:val="none" w:sz="0" w:space="0" w:color="auto"/>
        <w:bottom w:val="none" w:sz="0" w:space="0" w:color="auto"/>
        <w:right w:val="none" w:sz="0" w:space="0" w:color="auto"/>
      </w:divBdr>
      <w:divsChild>
        <w:div w:id="884759922">
          <w:marLeft w:val="0"/>
          <w:marRight w:val="0"/>
          <w:marTop w:val="0"/>
          <w:marBottom w:val="0"/>
          <w:divBdr>
            <w:top w:val="none" w:sz="0" w:space="0" w:color="auto"/>
            <w:left w:val="none" w:sz="0" w:space="0" w:color="auto"/>
            <w:bottom w:val="none" w:sz="0" w:space="0" w:color="auto"/>
            <w:right w:val="none" w:sz="0" w:space="0" w:color="auto"/>
          </w:divBdr>
        </w:div>
      </w:divsChild>
    </w:div>
    <w:div w:id="1933583574">
      <w:marLeft w:val="0"/>
      <w:marRight w:val="0"/>
      <w:marTop w:val="0"/>
      <w:marBottom w:val="180"/>
      <w:divBdr>
        <w:top w:val="none" w:sz="0" w:space="0" w:color="auto"/>
        <w:left w:val="none" w:sz="0" w:space="0" w:color="auto"/>
        <w:bottom w:val="none" w:sz="0" w:space="0" w:color="auto"/>
        <w:right w:val="none" w:sz="0" w:space="0" w:color="auto"/>
      </w:divBdr>
    </w:div>
    <w:div w:id="1933784365">
      <w:marLeft w:val="0"/>
      <w:marRight w:val="0"/>
      <w:marTop w:val="100"/>
      <w:marBottom w:val="140"/>
      <w:divBdr>
        <w:top w:val="none" w:sz="0" w:space="0" w:color="auto"/>
        <w:left w:val="none" w:sz="0" w:space="0" w:color="auto"/>
        <w:bottom w:val="none" w:sz="0" w:space="0" w:color="auto"/>
        <w:right w:val="none" w:sz="0" w:space="0" w:color="auto"/>
      </w:divBdr>
    </w:div>
    <w:div w:id="1933927467">
      <w:marLeft w:val="0"/>
      <w:marRight w:val="0"/>
      <w:marTop w:val="0"/>
      <w:marBottom w:val="240"/>
      <w:divBdr>
        <w:top w:val="none" w:sz="0" w:space="0" w:color="auto"/>
        <w:left w:val="none" w:sz="0" w:space="0" w:color="auto"/>
        <w:bottom w:val="none" w:sz="0" w:space="0" w:color="auto"/>
        <w:right w:val="none" w:sz="0" w:space="0" w:color="auto"/>
      </w:divBdr>
    </w:div>
    <w:div w:id="1935478627">
      <w:marLeft w:val="0"/>
      <w:marRight w:val="0"/>
      <w:marTop w:val="120"/>
      <w:marBottom w:val="180"/>
      <w:divBdr>
        <w:top w:val="none" w:sz="0" w:space="0" w:color="auto"/>
        <w:left w:val="none" w:sz="0" w:space="0" w:color="auto"/>
        <w:bottom w:val="none" w:sz="0" w:space="0" w:color="auto"/>
        <w:right w:val="none" w:sz="0" w:space="0" w:color="auto"/>
      </w:divBdr>
    </w:div>
    <w:div w:id="1935548999">
      <w:marLeft w:val="0"/>
      <w:marRight w:val="0"/>
      <w:marTop w:val="0"/>
      <w:marBottom w:val="180"/>
      <w:divBdr>
        <w:top w:val="none" w:sz="0" w:space="0" w:color="auto"/>
        <w:left w:val="none" w:sz="0" w:space="0" w:color="auto"/>
        <w:bottom w:val="none" w:sz="0" w:space="0" w:color="auto"/>
        <w:right w:val="none" w:sz="0" w:space="0" w:color="auto"/>
      </w:divBdr>
    </w:div>
    <w:div w:id="1937326488">
      <w:marLeft w:val="0"/>
      <w:marRight w:val="0"/>
      <w:marTop w:val="0"/>
      <w:marBottom w:val="180"/>
      <w:divBdr>
        <w:top w:val="none" w:sz="0" w:space="0" w:color="auto"/>
        <w:left w:val="none" w:sz="0" w:space="0" w:color="auto"/>
        <w:bottom w:val="none" w:sz="0" w:space="0" w:color="auto"/>
        <w:right w:val="none" w:sz="0" w:space="0" w:color="auto"/>
      </w:divBdr>
    </w:div>
    <w:div w:id="1940407881">
      <w:marLeft w:val="0"/>
      <w:marRight w:val="0"/>
      <w:marTop w:val="0"/>
      <w:marBottom w:val="180"/>
      <w:divBdr>
        <w:top w:val="none" w:sz="0" w:space="0" w:color="auto"/>
        <w:left w:val="none" w:sz="0" w:space="0" w:color="auto"/>
        <w:bottom w:val="none" w:sz="0" w:space="0" w:color="auto"/>
        <w:right w:val="none" w:sz="0" w:space="0" w:color="auto"/>
      </w:divBdr>
    </w:div>
    <w:div w:id="1942452438">
      <w:marLeft w:val="0"/>
      <w:marRight w:val="0"/>
      <w:marTop w:val="0"/>
      <w:marBottom w:val="180"/>
      <w:divBdr>
        <w:top w:val="none" w:sz="0" w:space="0" w:color="auto"/>
        <w:left w:val="none" w:sz="0" w:space="0" w:color="auto"/>
        <w:bottom w:val="none" w:sz="0" w:space="0" w:color="auto"/>
        <w:right w:val="none" w:sz="0" w:space="0" w:color="auto"/>
      </w:divBdr>
    </w:div>
    <w:div w:id="1943149556">
      <w:marLeft w:val="0"/>
      <w:marRight w:val="0"/>
      <w:marTop w:val="0"/>
      <w:marBottom w:val="240"/>
      <w:divBdr>
        <w:top w:val="none" w:sz="0" w:space="0" w:color="auto"/>
        <w:left w:val="none" w:sz="0" w:space="0" w:color="auto"/>
        <w:bottom w:val="none" w:sz="0" w:space="0" w:color="auto"/>
        <w:right w:val="none" w:sz="0" w:space="0" w:color="auto"/>
      </w:divBdr>
    </w:div>
    <w:div w:id="1946427273">
      <w:marLeft w:val="0"/>
      <w:marRight w:val="0"/>
      <w:marTop w:val="0"/>
      <w:marBottom w:val="0"/>
      <w:divBdr>
        <w:top w:val="none" w:sz="0" w:space="0" w:color="auto"/>
        <w:left w:val="none" w:sz="0" w:space="0" w:color="auto"/>
        <w:bottom w:val="none" w:sz="0" w:space="0" w:color="auto"/>
        <w:right w:val="none" w:sz="0" w:space="0" w:color="auto"/>
      </w:divBdr>
    </w:div>
    <w:div w:id="1946964474">
      <w:marLeft w:val="0"/>
      <w:marRight w:val="0"/>
      <w:marTop w:val="180"/>
      <w:marBottom w:val="180"/>
      <w:divBdr>
        <w:top w:val="none" w:sz="0" w:space="0" w:color="auto"/>
        <w:left w:val="none" w:sz="0" w:space="0" w:color="auto"/>
        <w:bottom w:val="none" w:sz="0" w:space="0" w:color="auto"/>
        <w:right w:val="none" w:sz="0" w:space="0" w:color="auto"/>
      </w:divBdr>
    </w:div>
    <w:div w:id="1949004844">
      <w:marLeft w:val="0"/>
      <w:marRight w:val="0"/>
      <w:marTop w:val="0"/>
      <w:marBottom w:val="240"/>
      <w:divBdr>
        <w:top w:val="none" w:sz="0" w:space="0" w:color="auto"/>
        <w:left w:val="none" w:sz="0" w:space="0" w:color="auto"/>
        <w:bottom w:val="none" w:sz="0" w:space="0" w:color="auto"/>
        <w:right w:val="none" w:sz="0" w:space="0" w:color="auto"/>
      </w:divBdr>
    </w:div>
    <w:div w:id="1952469679">
      <w:marLeft w:val="0"/>
      <w:marRight w:val="0"/>
      <w:marTop w:val="0"/>
      <w:marBottom w:val="180"/>
      <w:divBdr>
        <w:top w:val="none" w:sz="0" w:space="0" w:color="auto"/>
        <w:left w:val="none" w:sz="0" w:space="0" w:color="auto"/>
        <w:bottom w:val="none" w:sz="0" w:space="0" w:color="auto"/>
        <w:right w:val="none" w:sz="0" w:space="0" w:color="auto"/>
      </w:divBdr>
    </w:div>
    <w:div w:id="1952514073">
      <w:marLeft w:val="0"/>
      <w:marRight w:val="0"/>
      <w:marTop w:val="0"/>
      <w:marBottom w:val="180"/>
      <w:divBdr>
        <w:top w:val="none" w:sz="0" w:space="0" w:color="auto"/>
        <w:left w:val="none" w:sz="0" w:space="0" w:color="auto"/>
        <w:bottom w:val="none" w:sz="0" w:space="0" w:color="auto"/>
        <w:right w:val="none" w:sz="0" w:space="0" w:color="auto"/>
      </w:divBdr>
    </w:div>
    <w:div w:id="1954364633">
      <w:marLeft w:val="0"/>
      <w:marRight w:val="0"/>
      <w:marTop w:val="0"/>
      <w:marBottom w:val="0"/>
      <w:divBdr>
        <w:top w:val="none" w:sz="0" w:space="0" w:color="auto"/>
        <w:left w:val="none" w:sz="0" w:space="0" w:color="auto"/>
        <w:bottom w:val="none" w:sz="0" w:space="0" w:color="auto"/>
        <w:right w:val="none" w:sz="0" w:space="0" w:color="auto"/>
      </w:divBdr>
      <w:divsChild>
        <w:div w:id="1555778401">
          <w:marLeft w:val="0"/>
          <w:marRight w:val="0"/>
          <w:marTop w:val="0"/>
          <w:marBottom w:val="0"/>
          <w:divBdr>
            <w:top w:val="none" w:sz="0" w:space="0" w:color="auto"/>
            <w:left w:val="none" w:sz="0" w:space="0" w:color="auto"/>
            <w:bottom w:val="none" w:sz="0" w:space="0" w:color="auto"/>
            <w:right w:val="none" w:sz="0" w:space="0" w:color="auto"/>
          </w:divBdr>
        </w:div>
      </w:divsChild>
    </w:div>
    <w:div w:id="1954701782">
      <w:marLeft w:val="0"/>
      <w:marRight w:val="0"/>
      <w:marTop w:val="0"/>
      <w:marBottom w:val="240"/>
      <w:divBdr>
        <w:top w:val="none" w:sz="0" w:space="0" w:color="auto"/>
        <w:left w:val="none" w:sz="0" w:space="0" w:color="auto"/>
        <w:bottom w:val="none" w:sz="0" w:space="0" w:color="auto"/>
        <w:right w:val="none" w:sz="0" w:space="0" w:color="auto"/>
      </w:divBdr>
    </w:div>
    <w:div w:id="1954943473">
      <w:marLeft w:val="0"/>
      <w:marRight w:val="0"/>
      <w:marTop w:val="0"/>
      <w:marBottom w:val="240"/>
      <w:divBdr>
        <w:top w:val="none" w:sz="0" w:space="0" w:color="auto"/>
        <w:left w:val="none" w:sz="0" w:space="0" w:color="auto"/>
        <w:bottom w:val="none" w:sz="0" w:space="0" w:color="auto"/>
        <w:right w:val="none" w:sz="0" w:space="0" w:color="auto"/>
      </w:divBdr>
    </w:div>
    <w:div w:id="1958562248">
      <w:marLeft w:val="0"/>
      <w:marRight w:val="0"/>
      <w:marTop w:val="0"/>
      <w:marBottom w:val="0"/>
      <w:divBdr>
        <w:top w:val="none" w:sz="0" w:space="0" w:color="auto"/>
        <w:left w:val="none" w:sz="0" w:space="0" w:color="auto"/>
        <w:bottom w:val="none" w:sz="0" w:space="0" w:color="auto"/>
        <w:right w:val="none" w:sz="0" w:space="0" w:color="auto"/>
      </w:divBdr>
      <w:divsChild>
        <w:div w:id="1612976135">
          <w:marLeft w:val="0"/>
          <w:marRight w:val="0"/>
          <w:marTop w:val="0"/>
          <w:marBottom w:val="0"/>
          <w:divBdr>
            <w:top w:val="none" w:sz="0" w:space="0" w:color="auto"/>
            <w:left w:val="none" w:sz="0" w:space="0" w:color="auto"/>
            <w:bottom w:val="none" w:sz="0" w:space="0" w:color="auto"/>
            <w:right w:val="none" w:sz="0" w:space="0" w:color="auto"/>
          </w:divBdr>
        </w:div>
      </w:divsChild>
    </w:div>
    <w:div w:id="1959876910">
      <w:marLeft w:val="0"/>
      <w:marRight w:val="0"/>
      <w:marTop w:val="240"/>
      <w:marBottom w:val="140"/>
      <w:divBdr>
        <w:top w:val="none" w:sz="0" w:space="0" w:color="auto"/>
        <w:left w:val="none" w:sz="0" w:space="0" w:color="auto"/>
        <w:bottom w:val="none" w:sz="0" w:space="0" w:color="auto"/>
        <w:right w:val="none" w:sz="0" w:space="0" w:color="auto"/>
      </w:divBdr>
    </w:div>
    <w:div w:id="1961371361">
      <w:marLeft w:val="0"/>
      <w:marRight w:val="0"/>
      <w:marTop w:val="0"/>
      <w:marBottom w:val="0"/>
      <w:divBdr>
        <w:top w:val="none" w:sz="0" w:space="0" w:color="auto"/>
        <w:left w:val="none" w:sz="0" w:space="0" w:color="auto"/>
        <w:bottom w:val="none" w:sz="0" w:space="0" w:color="auto"/>
        <w:right w:val="none" w:sz="0" w:space="0" w:color="auto"/>
      </w:divBdr>
    </w:div>
    <w:div w:id="1961371515">
      <w:marLeft w:val="0"/>
      <w:marRight w:val="0"/>
      <w:marTop w:val="0"/>
      <w:marBottom w:val="0"/>
      <w:divBdr>
        <w:top w:val="none" w:sz="0" w:space="0" w:color="auto"/>
        <w:left w:val="none" w:sz="0" w:space="0" w:color="auto"/>
        <w:bottom w:val="none" w:sz="0" w:space="0" w:color="auto"/>
        <w:right w:val="none" w:sz="0" w:space="0" w:color="auto"/>
      </w:divBdr>
      <w:divsChild>
        <w:div w:id="939147862">
          <w:marLeft w:val="0"/>
          <w:marRight w:val="0"/>
          <w:marTop w:val="0"/>
          <w:marBottom w:val="0"/>
          <w:divBdr>
            <w:top w:val="none" w:sz="0" w:space="0" w:color="auto"/>
            <w:left w:val="none" w:sz="0" w:space="0" w:color="auto"/>
            <w:bottom w:val="none" w:sz="0" w:space="0" w:color="auto"/>
            <w:right w:val="none" w:sz="0" w:space="0" w:color="auto"/>
          </w:divBdr>
        </w:div>
      </w:divsChild>
    </w:div>
    <w:div w:id="1961758084">
      <w:marLeft w:val="0"/>
      <w:marRight w:val="0"/>
      <w:marTop w:val="0"/>
      <w:marBottom w:val="240"/>
      <w:divBdr>
        <w:top w:val="none" w:sz="0" w:space="0" w:color="auto"/>
        <w:left w:val="none" w:sz="0" w:space="0" w:color="auto"/>
        <w:bottom w:val="none" w:sz="0" w:space="0" w:color="auto"/>
        <w:right w:val="none" w:sz="0" w:space="0" w:color="auto"/>
      </w:divBdr>
    </w:div>
    <w:div w:id="1963918712">
      <w:marLeft w:val="0"/>
      <w:marRight w:val="0"/>
      <w:marTop w:val="180"/>
      <w:marBottom w:val="180"/>
      <w:divBdr>
        <w:top w:val="none" w:sz="0" w:space="0" w:color="auto"/>
        <w:left w:val="none" w:sz="0" w:space="0" w:color="auto"/>
        <w:bottom w:val="none" w:sz="0" w:space="0" w:color="auto"/>
        <w:right w:val="none" w:sz="0" w:space="0" w:color="auto"/>
      </w:divBdr>
    </w:div>
    <w:div w:id="1965188451">
      <w:marLeft w:val="0"/>
      <w:marRight w:val="0"/>
      <w:marTop w:val="0"/>
      <w:marBottom w:val="0"/>
      <w:divBdr>
        <w:top w:val="none" w:sz="0" w:space="0" w:color="auto"/>
        <w:left w:val="none" w:sz="0" w:space="0" w:color="auto"/>
        <w:bottom w:val="none" w:sz="0" w:space="0" w:color="auto"/>
        <w:right w:val="none" w:sz="0" w:space="0" w:color="auto"/>
      </w:divBdr>
      <w:divsChild>
        <w:div w:id="2053799044">
          <w:marLeft w:val="0"/>
          <w:marRight w:val="0"/>
          <w:marTop w:val="0"/>
          <w:marBottom w:val="0"/>
          <w:divBdr>
            <w:top w:val="none" w:sz="0" w:space="0" w:color="auto"/>
            <w:left w:val="none" w:sz="0" w:space="0" w:color="auto"/>
            <w:bottom w:val="none" w:sz="0" w:space="0" w:color="auto"/>
            <w:right w:val="none" w:sz="0" w:space="0" w:color="auto"/>
          </w:divBdr>
        </w:div>
      </w:divsChild>
    </w:div>
    <w:div w:id="1966621773">
      <w:marLeft w:val="0"/>
      <w:marRight w:val="0"/>
      <w:marTop w:val="0"/>
      <w:marBottom w:val="0"/>
      <w:divBdr>
        <w:top w:val="none" w:sz="0" w:space="0" w:color="auto"/>
        <w:left w:val="none" w:sz="0" w:space="0" w:color="auto"/>
        <w:bottom w:val="none" w:sz="0" w:space="0" w:color="auto"/>
        <w:right w:val="none" w:sz="0" w:space="0" w:color="auto"/>
      </w:divBdr>
    </w:div>
    <w:div w:id="1967881725">
      <w:marLeft w:val="0"/>
      <w:marRight w:val="0"/>
      <w:marTop w:val="0"/>
      <w:marBottom w:val="0"/>
      <w:divBdr>
        <w:top w:val="none" w:sz="0" w:space="0" w:color="auto"/>
        <w:left w:val="none" w:sz="0" w:space="0" w:color="auto"/>
        <w:bottom w:val="none" w:sz="0" w:space="0" w:color="auto"/>
        <w:right w:val="none" w:sz="0" w:space="0" w:color="auto"/>
      </w:divBdr>
      <w:divsChild>
        <w:div w:id="538398732">
          <w:marLeft w:val="0"/>
          <w:marRight w:val="0"/>
          <w:marTop w:val="0"/>
          <w:marBottom w:val="0"/>
          <w:divBdr>
            <w:top w:val="none" w:sz="0" w:space="0" w:color="auto"/>
            <w:left w:val="none" w:sz="0" w:space="0" w:color="auto"/>
            <w:bottom w:val="none" w:sz="0" w:space="0" w:color="auto"/>
            <w:right w:val="none" w:sz="0" w:space="0" w:color="auto"/>
          </w:divBdr>
        </w:div>
      </w:divsChild>
    </w:div>
    <w:div w:id="1970276413">
      <w:marLeft w:val="0"/>
      <w:marRight w:val="0"/>
      <w:marTop w:val="180"/>
      <w:marBottom w:val="180"/>
      <w:divBdr>
        <w:top w:val="none" w:sz="0" w:space="0" w:color="auto"/>
        <w:left w:val="none" w:sz="0" w:space="0" w:color="auto"/>
        <w:bottom w:val="none" w:sz="0" w:space="0" w:color="auto"/>
        <w:right w:val="none" w:sz="0" w:space="0" w:color="auto"/>
      </w:divBdr>
    </w:div>
    <w:div w:id="1971740359">
      <w:marLeft w:val="0"/>
      <w:marRight w:val="0"/>
      <w:marTop w:val="0"/>
      <w:marBottom w:val="240"/>
      <w:divBdr>
        <w:top w:val="none" w:sz="0" w:space="0" w:color="auto"/>
        <w:left w:val="none" w:sz="0" w:space="0" w:color="auto"/>
        <w:bottom w:val="none" w:sz="0" w:space="0" w:color="auto"/>
        <w:right w:val="none" w:sz="0" w:space="0" w:color="auto"/>
      </w:divBdr>
    </w:div>
    <w:div w:id="1972200801">
      <w:marLeft w:val="0"/>
      <w:marRight w:val="0"/>
      <w:marTop w:val="0"/>
      <w:marBottom w:val="0"/>
      <w:divBdr>
        <w:top w:val="none" w:sz="0" w:space="0" w:color="auto"/>
        <w:left w:val="none" w:sz="0" w:space="0" w:color="auto"/>
        <w:bottom w:val="none" w:sz="0" w:space="0" w:color="auto"/>
        <w:right w:val="none" w:sz="0" w:space="0" w:color="auto"/>
      </w:divBdr>
    </w:div>
    <w:div w:id="1974559158">
      <w:marLeft w:val="0"/>
      <w:marRight w:val="0"/>
      <w:marTop w:val="180"/>
      <w:marBottom w:val="180"/>
      <w:divBdr>
        <w:top w:val="none" w:sz="0" w:space="0" w:color="auto"/>
        <w:left w:val="none" w:sz="0" w:space="0" w:color="auto"/>
        <w:bottom w:val="none" w:sz="0" w:space="0" w:color="auto"/>
        <w:right w:val="none" w:sz="0" w:space="0" w:color="auto"/>
      </w:divBdr>
    </w:div>
    <w:div w:id="1975211697">
      <w:marLeft w:val="0"/>
      <w:marRight w:val="0"/>
      <w:marTop w:val="0"/>
      <w:marBottom w:val="240"/>
      <w:divBdr>
        <w:top w:val="none" w:sz="0" w:space="0" w:color="auto"/>
        <w:left w:val="none" w:sz="0" w:space="0" w:color="auto"/>
        <w:bottom w:val="none" w:sz="0" w:space="0" w:color="auto"/>
        <w:right w:val="none" w:sz="0" w:space="0" w:color="auto"/>
      </w:divBdr>
    </w:div>
    <w:div w:id="1975912083">
      <w:marLeft w:val="0"/>
      <w:marRight w:val="0"/>
      <w:marTop w:val="0"/>
      <w:marBottom w:val="180"/>
      <w:divBdr>
        <w:top w:val="none" w:sz="0" w:space="0" w:color="auto"/>
        <w:left w:val="none" w:sz="0" w:space="0" w:color="auto"/>
        <w:bottom w:val="none" w:sz="0" w:space="0" w:color="auto"/>
        <w:right w:val="none" w:sz="0" w:space="0" w:color="auto"/>
      </w:divBdr>
    </w:div>
    <w:div w:id="1976250875">
      <w:marLeft w:val="0"/>
      <w:marRight w:val="0"/>
      <w:marTop w:val="180"/>
      <w:marBottom w:val="180"/>
      <w:divBdr>
        <w:top w:val="none" w:sz="0" w:space="0" w:color="auto"/>
        <w:left w:val="none" w:sz="0" w:space="0" w:color="auto"/>
        <w:bottom w:val="none" w:sz="0" w:space="0" w:color="auto"/>
        <w:right w:val="none" w:sz="0" w:space="0" w:color="auto"/>
      </w:divBdr>
    </w:div>
    <w:div w:id="1978950759">
      <w:marLeft w:val="0"/>
      <w:marRight w:val="0"/>
      <w:marTop w:val="0"/>
      <w:marBottom w:val="240"/>
      <w:divBdr>
        <w:top w:val="none" w:sz="0" w:space="0" w:color="auto"/>
        <w:left w:val="none" w:sz="0" w:space="0" w:color="auto"/>
        <w:bottom w:val="none" w:sz="0" w:space="0" w:color="auto"/>
        <w:right w:val="none" w:sz="0" w:space="0" w:color="auto"/>
      </w:divBdr>
    </w:div>
    <w:div w:id="1980259262">
      <w:marLeft w:val="0"/>
      <w:marRight w:val="0"/>
      <w:marTop w:val="0"/>
      <w:marBottom w:val="240"/>
      <w:divBdr>
        <w:top w:val="none" w:sz="0" w:space="0" w:color="auto"/>
        <w:left w:val="none" w:sz="0" w:space="0" w:color="auto"/>
        <w:bottom w:val="none" w:sz="0" w:space="0" w:color="auto"/>
        <w:right w:val="none" w:sz="0" w:space="0" w:color="auto"/>
      </w:divBdr>
    </w:div>
    <w:div w:id="1980840828">
      <w:marLeft w:val="0"/>
      <w:marRight w:val="0"/>
      <w:marTop w:val="0"/>
      <w:marBottom w:val="240"/>
      <w:divBdr>
        <w:top w:val="none" w:sz="0" w:space="0" w:color="auto"/>
        <w:left w:val="none" w:sz="0" w:space="0" w:color="auto"/>
        <w:bottom w:val="none" w:sz="0" w:space="0" w:color="auto"/>
        <w:right w:val="none" w:sz="0" w:space="0" w:color="auto"/>
      </w:divBdr>
    </w:div>
    <w:div w:id="1982032302">
      <w:marLeft w:val="0"/>
      <w:marRight w:val="0"/>
      <w:marTop w:val="0"/>
      <w:marBottom w:val="180"/>
      <w:divBdr>
        <w:top w:val="none" w:sz="0" w:space="0" w:color="auto"/>
        <w:left w:val="none" w:sz="0" w:space="0" w:color="auto"/>
        <w:bottom w:val="none" w:sz="0" w:space="0" w:color="auto"/>
        <w:right w:val="none" w:sz="0" w:space="0" w:color="auto"/>
      </w:divBdr>
    </w:div>
    <w:div w:id="1982686716">
      <w:marLeft w:val="0"/>
      <w:marRight w:val="0"/>
      <w:marTop w:val="0"/>
      <w:marBottom w:val="0"/>
      <w:divBdr>
        <w:top w:val="none" w:sz="0" w:space="0" w:color="auto"/>
        <w:left w:val="none" w:sz="0" w:space="0" w:color="auto"/>
        <w:bottom w:val="none" w:sz="0" w:space="0" w:color="auto"/>
        <w:right w:val="none" w:sz="0" w:space="0" w:color="auto"/>
      </w:divBdr>
      <w:divsChild>
        <w:div w:id="186991377">
          <w:marLeft w:val="0"/>
          <w:marRight w:val="0"/>
          <w:marTop w:val="0"/>
          <w:marBottom w:val="0"/>
          <w:divBdr>
            <w:top w:val="none" w:sz="0" w:space="0" w:color="auto"/>
            <w:left w:val="none" w:sz="0" w:space="0" w:color="auto"/>
            <w:bottom w:val="none" w:sz="0" w:space="0" w:color="auto"/>
            <w:right w:val="none" w:sz="0" w:space="0" w:color="auto"/>
          </w:divBdr>
        </w:div>
      </w:divsChild>
    </w:div>
    <w:div w:id="1983193819">
      <w:marLeft w:val="0"/>
      <w:marRight w:val="0"/>
      <w:marTop w:val="0"/>
      <w:marBottom w:val="240"/>
      <w:divBdr>
        <w:top w:val="none" w:sz="0" w:space="0" w:color="auto"/>
        <w:left w:val="none" w:sz="0" w:space="0" w:color="auto"/>
        <w:bottom w:val="none" w:sz="0" w:space="0" w:color="auto"/>
        <w:right w:val="none" w:sz="0" w:space="0" w:color="auto"/>
      </w:divBdr>
    </w:div>
    <w:div w:id="1983342592">
      <w:marLeft w:val="0"/>
      <w:marRight w:val="0"/>
      <w:marTop w:val="100"/>
      <w:marBottom w:val="0"/>
      <w:divBdr>
        <w:top w:val="none" w:sz="0" w:space="0" w:color="auto"/>
        <w:left w:val="none" w:sz="0" w:space="0" w:color="auto"/>
        <w:bottom w:val="none" w:sz="0" w:space="0" w:color="auto"/>
        <w:right w:val="none" w:sz="0" w:space="0" w:color="auto"/>
      </w:divBdr>
    </w:div>
    <w:div w:id="1983731162">
      <w:marLeft w:val="0"/>
      <w:marRight w:val="0"/>
      <w:marTop w:val="180"/>
      <w:marBottom w:val="180"/>
      <w:divBdr>
        <w:top w:val="none" w:sz="0" w:space="0" w:color="auto"/>
        <w:left w:val="none" w:sz="0" w:space="0" w:color="auto"/>
        <w:bottom w:val="none" w:sz="0" w:space="0" w:color="auto"/>
        <w:right w:val="none" w:sz="0" w:space="0" w:color="auto"/>
      </w:divBdr>
    </w:div>
    <w:div w:id="1987783073">
      <w:marLeft w:val="0"/>
      <w:marRight w:val="0"/>
      <w:marTop w:val="180"/>
      <w:marBottom w:val="180"/>
      <w:divBdr>
        <w:top w:val="none" w:sz="0" w:space="0" w:color="auto"/>
        <w:left w:val="none" w:sz="0" w:space="0" w:color="auto"/>
        <w:bottom w:val="none" w:sz="0" w:space="0" w:color="auto"/>
        <w:right w:val="none" w:sz="0" w:space="0" w:color="auto"/>
      </w:divBdr>
    </w:div>
    <w:div w:id="1990551306">
      <w:marLeft w:val="0"/>
      <w:marRight w:val="0"/>
      <w:marTop w:val="0"/>
      <w:marBottom w:val="0"/>
      <w:divBdr>
        <w:top w:val="none" w:sz="0" w:space="0" w:color="auto"/>
        <w:left w:val="none" w:sz="0" w:space="0" w:color="auto"/>
        <w:bottom w:val="none" w:sz="0" w:space="0" w:color="auto"/>
        <w:right w:val="none" w:sz="0" w:space="0" w:color="auto"/>
      </w:divBdr>
      <w:divsChild>
        <w:div w:id="398602803">
          <w:marLeft w:val="0"/>
          <w:marRight w:val="0"/>
          <w:marTop w:val="0"/>
          <w:marBottom w:val="0"/>
          <w:divBdr>
            <w:top w:val="none" w:sz="0" w:space="0" w:color="auto"/>
            <w:left w:val="none" w:sz="0" w:space="0" w:color="auto"/>
            <w:bottom w:val="none" w:sz="0" w:space="0" w:color="auto"/>
            <w:right w:val="none" w:sz="0" w:space="0" w:color="auto"/>
          </w:divBdr>
        </w:div>
      </w:divsChild>
    </w:div>
    <w:div w:id="1996832983">
      <w:marLeft w:val="0"/>
      <w:marRight w:val="0"/>
      <w:marTop w:val="0"/>
      <w:marBottom w:val="240"/>
      <w:divBdr>
        <w:top w:val="none" w:sz="0" w:space="0" w:color="auto"/>
        <w:left w:val="none" w:sz="0" w:space="0" w:color="auto"/>
        <w:bottom w:val="none" w:sz="0" w:space="0" w:color="auto"/>
        <w:right w:val="none" w:sz="0" w:space="0" w:color="auto"/>
      </w:divBdr>
    </w:div>
    <w:div w:id="1997032622">
      <w:marLeft w:val="0"/>
      <w:marRight w:val="0"/>
      <w:marTop w:val="0"/>
      <w:marBottom w:val="180"/>
      <w:divBdr>
        <w:top w:val="none" w:sz="0" w:space="0" w:color="auto"/>
        <w:left w:val="none" w:sz="0" w:space="0" w:color="auto"/>
        <w:bottom w:val="none" w:sz="0" w:space="0" w:color="auto"/>
        <w:right w:val="none" w:sz="0" w:space="0" w:color="auto"/>
      </w:divBdr>
    </w:div>
    <w:div w:id="1997879041">
      <w:marLeft w:val="0"/>
      <w:marRight w:val="0"/>
      <w:marTop w:val="0"/>
      <w:marBottom w:val="60"/>
      <w:divBdr>
        <w:top w:val="none" w:sz="0" w:space="0" w:color="auto"/>
        <w:left w:val="none" w:sz="0" w:space="0" w:color="auto"/>
        <w:bottom w:val="none" w:sz="0" w:space="0" w:color="auto"/>
        <w:right w:val="none" w:sz="0" w:space="0" w:color="auto"/>
      </w:divBdr>
    </w:div>
    <w:div w:id="2000768815">
      <w:marLeft w:val="0"/>
      <w:marRight w:val="0"/>
      <w:marTop w:val="0"/>
      <w:marBottom w:val="0"/>
      <w:divBdr>
        <w:top w:val="none" w:sz="0" w:space="0" w:color="auto"/>
        <w:left w:val="none" w:sz="0" w:space="0" w:color="auto"/>
        <w:bottom w:val="none" w:sz="0" w:space="0" w:color="auto"/>
        <w:right w:val="none" w:sz="0" w:space="0" w:color="auto"/>
      </w:divBdr>
    </w:div>
    <w:div w:id="2003655763">
      <w:marLeft w:val="0"/>
      <w:marRight w:val="0"/>
      <w:marTop w:val="100"/>
      <w:marBottom w:val="0"/>
      <w:divBdr>
        <w:top w:val="none" w:sz="0" w:space="0" w:color="auto"/>
        <w:left w:val="none" w:sz="0" w:space="0" w:color="auto"/>
        <w:bottom w:val="none" w:sz="0" w:space="0" w:color="auto"/>
        <w:right w:val="none" w:sz="0" w:space="0" w:color="auto"/>
      </w:divBdr>
    </w:div>
    <w:div w:id="2003656091">
      <w:marLeft w:val="0"/>
      <w:marRight w:val="0"/>
      <w:marTop w:val="0"/>
      <w:marBottom w:val="180"/>
      <w:divBdr>
        <w:top w:val="none" w:sz="0" w:space="0" w:color="auto"/>
        <w:left w:val="none" w:sz="0" w:space="0" w:color="auto"/>
        <w:bottom w:val="none" w:sz="0" w:space="0" w:color="auto"/>
        <w:right w:val="none" w:sz="0" w:space="0" w:color="auto"/>
      </w:divBdr>
    </w:div>
    <w:div w:id="2005008584">
      <w:marLeft w:val="0"/>
      <w:marRight w:val="0"/>
      <w:marTop w:val="180"/>
      <w:marBottom w:val="180"/>
      <w:divBdr>
        <w:top w:val="none" w:sz="0" w:space="0" w:color="auto"/>
        <w:left w:val="none" w:sz="0" w:space="0" w:color="auto"/>
        <w:bottom w:val="none" w:sz="0" w:space="0" w:color="auto"/>
        <w:right w:val="none" w:sz="0" w:space="0" w:color="auto"/>
      </w:divBdr>
    </w:div>
    <w:div w:id="2006324408">
      <w:marLeft w:val="0"/>
      <w:marRight w:val="0"/>
      <w:marTop w:val="120"/>
      <w:marBottom w:val="120"/>
      <w:divBdr>
        <w:top w:val="none" w:sz="0" w:space="0" w:color="auto"/>
        <w:left w:val="none" w:sz="0" w:space="0" w:color="auto"/>
        <w:bottom w:val="none" w:sz="0" w:space="0" w:color="auto"/>
        <w:right w:val="none" w:sz="0" w:space="0" w:color="auto"/>
      </w:divBdr>
    </w:div>
    <w:div w:id="2007393543">
      <w:marLeft w:val="0"/>
      <w:marRight w:val="0"/>
      <w:marTop w:val="0"/>
      <w:marBottom w:val="240"/>
      <w:divBdr>
        <w:top w:val="none" w:sz="0" w:space="0" w:color="auto"/>
        <w:left w:val="none" w:sz="0" w:space="0" w:color="auto"/>
        <w:bottom w:val="none" w:sz="0" w:space="0" w:color="auto"/>
        <w:right w:val="none" w:sz="0" w:space="0" w:color="auto"/>
      </w:divBdr>
    </w:div>
    <w:div w:id="2012445426">
      <w:marLeft w:val="0"/>
      <w:marRight w:val="0"/>
      <w:marTop w:val="0"/>
      <w:marBottom w:val="0"/>
      <w:divBdr>
        <w:top w:val="none" w:sz="0" w:space="0" w:color="auto"/>
        <w:left w:val="none" w:sz="0" w:space="0" w:color="auto"/>
        <w:bottom w:val="none" w:sz="0" w:space="0" w:color="auto"/>
        <w:right w:val="none" w:sz="0" w:space="0" w:color="auto"/>
      </w:divBdr>
      <w:divsChild>
        <w:div w:id="1107848843">
          <w:marLeft w:val="0"/>
          <w:marRight w:val="0"/>
          <w:marTop w:val="0"/>
          <w:marBottom w:val="0"/>
          <w:divBdr>
            <w:top w:val="none" w:sz="0" w:space="0" w:color="auto"/>
            <w:left w:val="none" w:sz="0" w:space="0" w:color="auto"/>
            <w:bottom w:val="none" w:sz="0" w:space="0" w:color="auto"/>
            <w:right w:val="none" w:sz="0" w:space="0" w:color="auto"/>
          </w:divBdr>
        </w:div>
      </w:divsChild>
    </w:div>
    <w:div w:id="2015691511">
      <w:marLeft w:val="0"/>
      <w:marRight w:val="0"/>
      <w:marTop w:val="0"/>
      <w:marBottom w:val="0"/>
      <w:divBdr>
        <w:top w:val="none" w:sz="0" w:space="0" w:color="auto"/>
        <w:left w:val="none" w:sz="0" w:space="0" w:color="auto"/>
        <w:bottom w:val="none" w:sz="0" w:space="0" w:color="auto"/>
        <w:right w:val="none" w:sz="0" w:space="0" w:color="auto"/>
      </w:divBdr>
      <w:divsChild>
        <w:div w:id="567569072">
          <w:marLeft w:val="0"/>
          <w:marRight w:val="0"/>
          <w:marTop w:val="0"/>
          <w:marBottom w:val="0"/>
          <w:divBdr>
            <w:top w:val="none" w:sz="0" w:space="0" w:color="auto"/>
            <w:left w:val="none" w:sz="0" w:space="0" w:color="auto"/>
            <w:bottom w:val="none" w:sz="0" w:space="0" w:color="auto"/>
            <w:right w:val="none" w:sz="0" w:space="0" w:color="auto"/>
          </w:divBdr>
        </w:div>
      </w:divsChild>
    </w:div>
    <w:div w:id="2017492135">
      <w:marLeft w:val="0"/>
      <w:marRight w:val="0"/>
      <w:marTop w:val="0"/>
      <w:marBottom w:val="0"/>
      <w:divBdr>
        <w:top w:val="none" w:sz="0" w:space="0" w:color="auto"/>
        <w:left w:val="none" w:sz="0" w:space="0" w:color="auto"/>
        <w:bottom w:val="none" w:sz="0" w:space="0" w:color="auto"/>
        <w:right w:val="none" w:sz="0" w:space="0" w:color="auto"/>
      </w:divBdr>
      <w:divsChild>
        <w:div w:id="190605943">
          <w:marLeft w:val="0"/>
          <w:marRight w:val="0"/>
          <w:marTop w:val="0"/>
          <w:marBottom w:val="0"/>
          <w:divBdr>
            <w:top w:val="none" w:sz="0" w:space="0" w:color="auto"/>
            <w:left w:val="none" w:sz="0" w:space="0" w:color="auto"/>
            <w:bottom w:val="none" w:sz="0" w:space="0" w:color="auto"/>
            <w:right w:val="none" w:sz="0" w:space="0" w:color="auto"/>
          </w:divBdr>
        </w:div>
      </w:divsChild>
    </w:div>
    <w:div w:id="2020309740">
      <w:marLeft w:val="0"/>
      <w:marRight w:val="0"/>
      <w:marTop w:val="0"/>
      <w:marBottom w:val="0"/>
      <w:divBdr>
        <w:top w:val="none" w:sz="0" w:space="0" w:color="auto"/>
        <w:left w:val="none" w:sz="0" w:space="0" w:color="auto"/>
        <w:bottom w:val="none" w:sz="0" w:space="0" w:color="auto"/>
        <w:right w:val="none" w:sz="0" w:space="0" w:color="auto"/>
      </w:divBdr>
    </w:div>
    <w:div w:id="2021005377">
      <w:marLeft w:val="0"/>
      <w:marRight w:val="0"/>
      <w:marTop w:val="0"/>
      <w:marBottom w:val="180"/>
      <w:divBdr>
        <w:top w:val="none" w:sz="0" w:space="0" w:color="auto"/>
        <w:left w:val="none" w:sz="0" w:space="0" w:color="auto"/>
        <w:bottom w:val="none" w:sz="0" w:space="0" w:color="auto"/>
        <w:right w:val="none" w:sz="0" w:space="0" w:color="auto"/>
      </w:divBdr>
    </w:div>
    <w:div w:id="2021852565">
      <w:marLeft w:val="0"/>
      <w:marRight w:val="0"/>
      <w:marTop w:val="120"/>
      <w:marBottom w:val="120"/>
      <w:divBdr>
        <w:top w:val="none" w:sz="0" w:space="0" w:color="auto"/>
        <w:left w:val="none" w:sz="0" w:space="0" w:color="auto"/>
        <w:bottom w:val="none" w:sz="0" w:space="0" w:color="auto"/>
        <w:right w:val="none" w:sz="0" w:space="0" w:color="auto"/>
      </w:divBdr>
    </w:div>
    <w:div w:id="2027124884">
      <w:marLeft w:val="0"/>
      <w:marRight w:val="0"/>
      <w:marTop w:val="0"/>
      <w:marBottom w:val="0"/>
      <w:divBdr>
        <w:top w:val="none" w:sz="0" w:space="0" w:color="auto"/>
        <w:left w:val="none" w:sz="0" w:space="0" w:color="auto"/>
        <w:bottom w:val="none" w:sz="0" w:space="0" w:color="auto"/>
        <w:right w:val="none" w:sz="0" w:space="0" w:color="auto"/>
      </w:divBdr>
    </w:div>
    <w:div w:id="2031486299">
      <w:marLeft w:val="0"/>
      <w:marRight w:val="0"/>
      <w:marTop w:val="0"/>
      <w:marBottom w:val="0"/>
      <w:divBdr>
        <w:top w:val="none" w:sz="0" w:space="0" w:color="auto"/>
        <w:left w:val="none" w:sz="0" w:space="0" w:color="auto"/>
        <w:bottom w:val="none" w:sz="0" w:space="0" w:color="auto"/>
        <w:right w:val="none" w:sz="0" w:space="0" w:color="auto"/>
      </w:divBdr>
    </w:div>
    <w:div w:id="2036416384">
      <w:marLeft w:val="0"/>
      <w:marRight w:val="0"/>
      <w:marTop w:val="120"/>
      <w:marBottom w:val="120"/>
      <w:divBdr>
        <w:top w:val="none" w:sz="0" w:space="0" w:color="auto"/>
        <w:left w:val="none" w:sz="0" w:space="0" w:color="auto"/>
        <w:bottom w:val="none" w:sz="0" w:space="0" w:color="auto"/>
        <w:right w:val="none" w:sz="0" w:space="0" w:color="auto"/>
      </w:divBdr>
    </w:div>
    <w:div w:id="2036999407">
      <w:marLeft w:val="0"/>
      <w:marRight w:val="0"/>
      <w:marTop w:val="0"/>
      <w:marBottom w:val="0"/>
      <w:divBdr>
        <w:top w:val="none" w:sz="0" w:space="0" w:color="auto"/>
        <w:left w:val="none" w:sz="0" w:space="0" w:color="auto"/>
        <w:bottom w:val="none" w:sz="0" w:space="0" w:color="auto"/>
        <w:right w:val="none" w:sz="0" w:space="0" w:color="auto"/>
      </w:divBdr>
      <w:divsChild>
        <w:div w:id="2113696782">
          <w:marLeft w:val="0"/>
          <w:marRight w:val="0"/>
          <w:marTop w:val="0"/>
          <w:marBottom w:val="0"/>
          <w:divBdr>
            <w:top w:val="none" w:sz="0" w:space="0" w:color="auto"/>
            <w:left w:val="none" w:sz="0" w:space="0" w:color="auto"/>
            <w:bottom w:val="none" w:sz="0" w:space="0" w:color="auto"/>
            <w:right w:val="none" w:sz="0" w:space="0" w:color="auto"/>
          </w:divBdr>
        </w:div>
      </w:divsChild>
    </w:div>
    <w:div w:id="2037346625">
      <w:marLeft w:val="0"/>
      <w:marRight w:val="0"/>
      <w:marTop w:val="120"/>
      <w:marBottom w:val="120"/>
      <w:divBdr>
        <w:top w:val="none" w:sz="0" w:space="0" w:color="auto"/>
        <w:left w:val="none" w:sz="0" w:space="0" w:color="auto"/>
        <w:bottom w:val="none" w:sz="0" w:space="0" w:color="auto"/>
        <w:right w:val="none" w:sz="0" w:space="0" w:color="auto"/>
      </w:divBdr>
    </w:div>
    <w:div w:id="2038311011">
      <w:marLeft w:val="0"/>
      <w:marRight w:val="0"/>
      <w:marTop w:val="120"/>
      <w:marBottom w:val="240"/>
      <w:divBdr>
        <w:top w:val="none" w:sz="0" w:space="0" w:color="auto"/>
        <w:left w:val="none" w:sz="0" w:space="0" w:color="auto"/>
        <w:bottom w:val="none" w:sz="0" w:space="0" w:color="auto"/>
        <w:right w:val="none" w:sz="0" w:space="0" w:color="auto"/>
      </w:divBdr>
    </w:div>
    <w:div w:id="2040819004">
      <w:marLeft w:val="0"/>
      <w:marRight w:val="0"/>
      <w:marTop w:val="120"/>
      <w:marBottom w:val="180"/>
      <w:divBdr>
        <w:top w:val="none" w:sz="0" w:space="0" w:color="auto"/>
        <w:left w:val="none" w:sz="0" w:space="0" w:color="auto"/>
        <w:bottom w:val="none" w:sz="0" w:space="0" w:color="auto"/>
        <w:right w:val="none" w:sz="0" w:space="0" w:color="auto"/>
      </w:divBdr>
    </w:div>
    <w:div w:id="2040861183">
      <w:marLeft w:val="0"/>
      <w:marRight w:val="0"/>
      <w:marTop w:val="180"/>
      <w:marBottom w:val="180"/>
      <w:divBdr>
        <w:top w:val="none" w:sz="0" w:space="0" w:color="auto"/>
        <w:left w:val="none" w:sz="0" w:space="0" w:color="auto"/>
        <w:bottom w:val="none" w:sz="0" w:space="0" w:color="auto"/>
        <w:right w:val="none" w:sz="0" w:space="0" w:color="auto"/>
      </w:divBdr>
    </w:div>
    <w:div w:id="2041662670">
      <w:marLeft w:val="0"/>
      <w:marRight w:val="0"/>
      <w:marTop w:val="180"/>
      <w:marBottom w:val="180"/>
      <w:divBdr>
        <w:top w:val="none" w:sz="0" w:space="0" w:color="auto"/>
        <w:left w:val="none" w:sz="0" w:space="0" w:color="auto"/>
        <w:bottom w:val="none" w:sz="0" w:space="0" w:color="auto"/>
        <w:right w:val="none" w:sz="0" w:space="0" w:color="auto"/>
      </w:divBdr>
    </w:div>
    <w:div w:id="2041928977">
      <w:marLeft w:val="0"/>
      <w:marRight w:val="0"/>
      <w:marTop w:val="0"/>
      <w:marBottom w:val="0"/>
      <w:divBdr>
        <w:top w:val="none" w:sz="0" w:space="0" w:color="auto"/>
        <w:left w:val="none" w:sz="0" w:space="0" w:color="auto"/>
        <w:bottom w:val="none" w:sz="0" w:space="0" w:color="auto"/>
        <w:right w:val="none" w:sz="0" w:space="0" w:color="auto"/>
      </w:divBdr>
      <w:divsChild>
        <w:div w:id="1282885854">
          <w:marLeft w:val="0"/>
          <w:marRight w:val="0"/>
          <w:marTop w:val="0"/>
          <w:marBottom w:val="0"/>
          <w:divBdr>
            <w:top w:val="none" w:sz="0" w:space="0" w:color="auto"/>
            <w:left w:val="none" w:sz="0" w:space="0" w:color="auto"/>
            <w:bottom w:val="none" w:sz="0" w:space="0" w:color="auto"/>
            <w:right w:val="none" w:sz="0" w:space="0" w:color="auto"/>
          </w:divBdr>
        </w:div>
      </w:divsChild>
    </w:div>
    <w:div w:id="2042120370">
      <w:marLeft w:val="0"/>
      <w:marRight w:val="0"/>
      <w:marTop w:val="120"/>
      <w:marBottom w:val="240"/>
      <w:divBdr>
        <w:top w:val="none" w:sz="0" w:space="0" w:color="auto"/>
        <w:left w:val="none" w:sz="0" w:space="0" w:color="auto"/>
        <w:bottom w:val="none" w:sz="0" w:space="0" w:color="auto"/>
        <w:right w:val="none" w:sz="0" w:space="0" w:color="auto"/>
      </w:divBdr>
    </w:div>
    <w:div w:id="2044088267">
      <w:marLeft w:val="0"/>
      <w:marRight w:val="0"/>
      <w:marTop w:val="0"/>
      <w:marBottom w:val="0"/>
      <w:divBdr>
        <w:top w:val="none" w:sz="0" w:space="0" w:color="auto"/>
        <w:left w:val="none" w:sz="0" w:space="0" w:color="auto"/>
        <w:bottom w:val="none" w:sz="0" w:space="0" w:color="auto"/>
        <w:right w:val="none" w:sz="0" w:space="0" w:color="auto"/>
      </w:divBdr>
    </w:div>
    <w:div w:id="2044404618">
      <w:marLeft w:val="0"/>
      <w:marRight w:val="0"/>
      <w:marTop w:val="0"/>
      <w:marBottom w:val="240"/>
      <w:divBdr>
        <w:top w:val="none" w:sz="0" w:space="0" w:color="auto"/>
        <w:left w:val="none" w:sz="0" w:space="0" w:color="auto"/>
        <w:bottom w:val="none" w:sz="0" w:space="0" w:color="auto"/>
        <w:right w:val="none" w:sz="0" w:space="0" w:color="auto"/>
      </w:divBdr>
    </w:div>
    <w:div w:id="2044671572">
      <w:marLeft w:val="0"/>
      <w:marRight w:val="0"/>
      <w:marTop w:val="120"/>
      <w:marBottom w:val="120"/>
      <w:divBdr>
        <w:top w:val="none" w:sz="0" w:space="0" w:color="auto"/>
        <w:left w:val="none" w:sz="0" w:space="0" w:color="auto"/>
        <w:bottom w:val="none" w:sz="0" w:space="0" w:color="auto"/>
        <w:right w:val="none" w:sz="0" w:space="0" w:color="auto"/>
      </w:divBdr>
    </w:div>
    <w:div w:id="2045909781">
      <w:marLeft w:val="0"/>
      <w:marRight w:val="0"/>
      <w:marTop w:val="120"/>
      <w:marBottom w:val="120"/>
      <w:divBdr>
        <w:top w:val="none" w:sz="0" w:space="0" w:color="auto"/>
        <w:left w:val="none" w:sz="0" w:space="0" w:color="auto"/>
        <w:bottom w:val="none" w:sz="0" w:space="0" w:color="auto"/>
        <w:right w:val="none" w:sz="0" w:space="0" w:color="auto"/>
      </w:divBdr>
    </w:div>
    <w:div w:id="2050641627">
      <w:marLeft w:val="0"/>
      <w:marRight w:val="0"/>
      <w:marTop w:val="0"/>
      <w:marBottom w:val="0"/>
      <w:divBdr>
        <w:top w:val="none" w:sz="0" w:space="0" w:color="auto"/>
        <w:left w:val="none" w:sz="0" w:space="0" w:color="auto"/>
        <w:bottom w:val="none" w:sz="0" w:space="0" w:color="auto"/>
        <w:right w:val="none" w:sz="0" w:space="0" w:color="auto"/>
      </w:divBdr>
    </w:div>
    <w:div w:id="2051107959">
      <w:marLeft w:val="0"/>
      <w:marRight w:val="0"/>
      <w:marTop w:val="180"/>
      <w:marBottom w:val="180"/>
      <w:divBdr>
        <w:top w:val="none" w:sz="0" w:space="0" w:color="auto"/>
        <w:left w:val="none" w:sz="0" w:space="0" w:color="auto"/>
        <w:bottom w:val="none" w:sz="0" w:space="0" w:color="auto"/>
        <w:right w:val="none" w:sz="0" w:space="0" w:color="auto"/>
      </w:divBdr>
    </w:div>
    <w:div w:id="2052723466">
      <w:marLeft w:val="0"/>
      <w:marRight w:val="0"/>
      <w:marTop w:val="180"/>
      <w:marBottom w:val="180"/>
      <w:divBdr>
        <w:top w:val="none" w:sz="0" w:space="0" w:color="auto"/>
        <w:left w:val="none" w:sz="0" w:space="0" w:color="auto"/>
        <w:bottom w:val="none" w:sz="0" w:space="0" w:color="auto"/>
        <w:right w:val="none" w:sz="0" w:space="0" w:color="auto"/>
      </w:divBdr>
    </w:div>
    <w:div w:id="2053917269">
      <w:marLeft w:val="0"/>
      <w:marRight w:val="0"/>
      <w:marTop w:val="0"/>
      <w:marBottom w:val="0"/>
      <w:divBdr>
        <w:top w:val="none" w:sz="0" w:space="0" w:color="auto"/>
        <w:left w:val="none" w:sz="0" w:space="0" w:color="auto"/>
        <w:bottom w:val="none" w:sz="0" w:space="0" w:color="auto"/>
        <w:right w:val="none" w:sz="0" w:space="0" w:color="auto"/>
      </w:divBdr>
    </w:div>
    <w:div w:id="2054697200">
      <w:marLeft w:val="0"/>
      <w:marRight w:val="0"/>
      <w:marTop w:val="0"/>
      <w:marBottom w:val="0"/>
      <w:divBdr>
        <w:top w:val="none" w:sz="0" w:space="0" w:color="auto"/>
        <w:left w:val="none" w:sz="0" w:space="0" w:color="auto"/>
        <w:bottom w:val="none" w:sz="0" w:space="0" w:color="auto"/>
        <w:right w:val="none" w:sz="0" w:space="0" w:color="auto"/>
      </w:divBdr>
    </w:div>
    <w:div w:id="2057266659">
      <w:marLeft w:val="0"/>
      <w:marRight w:val="0"/>
      <w:marTop w:val="0"/>
      <w:marBottom w:val="180"/>
      <w:divBdr>
        <w:top w:val="none" w:sz="0" w:space="0" w:color="auto"/>
        <w:left w:val="none" w:sz="0" w:space="0" w:color="auto"/>
        <w:bottom w:val="none" w:sz="0" w:space="0" w:color="auto"/>
        <w:right w:val="none" w:sz="0" w:space="0" w:color="auto"/>
      </w:divBdr>
    </w:div>
    <w:div w:id="2059475117">
      <w:marLeft w:val="0"/>
      <w:marRight w:val="0"/>
      <w:marTop w:val="0"/>
      <w:marBottom w:val="0"/>
      <w:divBdr>
        <w:top w:val="none" w:sz="0" w:space="0" w:color="auto"/>
        <w:left w:val="none" w:sz="0" w:space="0" w:color="auto"/>
        <w:bottom w:val="none" w:sz="0" w:space="0" w:color="auto"/>
        <w:right w:val="none" w:sz="0" w:space="0" w:color="auto"/>
      </w:divBdr>
    </w:div>
    <w:div w:id="2059819347">
      <w:marLeft w:val="0"/>
      <w:marRight w:val="0"/>
      <w:marTop w:val="180"/>
      <w:marBottom w:val="180"/>
      <w:divBdr>
        <w:top w:val="none" w:sz="0" w:space="0" w:color="auto"/>
        <w:left w:val="none" w:sz="0" w:space="0" w:color="auto"/>
        <w:bottom w:val="none" w:sz="0" w:space="0" w:color="auto"/>
        <w:right w:val="none" w:sz="0" w:space="0" w:color="auto"/>
      </w:divBdr>
    </w:div>
    <w:div w:id="2060206831">
      <w:marLeft w:val="0"/>
      <w:marRight w:val="0"/>
      <w:marTop w:val="0"/>
      <w:marBottom w:val="180"/>
      <w:divBdr>
        <w:top w:val="none" w:sz="0" w:space="0" w:color="auto"/>
        <w:left w:val="none" w:sz="0" w:space="0" w:color="auto"/>
        <w:bottom w:val="none" w:sz="0" w:space="0" w:color="auto"/>
        <w:right w:val="none" w:sz="0" w:space="0" w:color="auto"/>
      </w:divBdr>
    </w:div>
    <w:div w:id="2060518696">
      <w:marLeft w:val="0"/>
      <w:marRight w:val="0"/>
      <w:marTop w:val="180"/>
      <w:marBottom w:val="180"/>
      <w:divBdr>
        <w:top w:val="none" w:sz="0" w:space="0" w:color="auto"/>
        <w:left w:val="none" w:sz="0" w:space="0" w:color="auto"/>
        <w:bottom w:val="none" w:sz="0" w:space="0" w:color="auto"/>
        <w:right w:val="none" w:sz="0" w:space="0" w:color="auto"/>
      </w:divBdr>
    </w:div>
    <w:div w:id="2060585990">
      <w:marLeft w:val="0"/>
      <w:marRight w:val="0"/>
      <w:marTop w:val="120"/>
      <w:marBottom w:val="120"/>
      <w:divBdr>
        <w:top w:val="none" w:sz="0" w:space="0" w:color="auto"/>
        <w:left w:val="none" w:sz="0" w:space="0" w:color="auto"/>
        <w:bottom w:val="none" w:sz="0" w:space="0" w:color="auto"/>
        <w:right w:val="none" w:sz="0" w:space="0" w:color="auto"/>
      </w:divBdr>
    </w:div>
    <w:div w:id="2060668911">
      <w:marLeft w:val="0"/>
      <w:marRight w:val="0"/>
      <w:marTop w:val="0"/>
      <w:marBottom w:val="0"/>
      <w:divBdr>
        <w:top w:val="none" w:sz="0" w:space="0" w:color="auto"/>
        <w:left w:val="none" w:sz="0" w:space="0" w:color="auto"/>
        <w:bottom w:val="none" w:sz="0" w:space="0" w:color="auto"/>
        <w:right w:val="none" w:sz="0" w:space="0" w:color="auto"/>
      </w:divBdr>
    </w:div>
    <w:div w:id="2060745743">
      <w:marLeft w:val="0"/>
      <w:marRight w:val="0"/>
      <w:marTop w:val="180"/>
      <w:marBottom w:val="180"/>
      <w:divBdr>
        <w:top w:val="none" w:sz="0" w:space="0" w:color="auto"/>
        <w:left w:val="none" w:sz="0" w:space="0" w:color="auto"/>
        <w:bottom w:val="none" w:sz="0" w:space="0" w:color="auto"/>
        <w:right w:val="none" w:sz="0" w:space="0" w:color="auto"/>
      </w:divBdr>
    </w:div>
    <w:div w:id="2062515321">
      <w:marLeft w:val="0"/>
      <w:marRight w:val="0"/>
      <w:marTop w:val="180"/>
      <w:marBottom w:val="180"/>
      <w:divBdr>
        <w:top w:val="none" w:sz="0" w:space="0" w:color="auto"/>
        <w:left w:val="none" w:sz="0" w:space="0" w:color="auto"/>
        <w:bottom w:val="none" w:sz="0" w:space="0" w:color="auto"/>
        <w:right w:val="none" w:sz="0" w:space="0" w:color="auto"/>
      </w:divBdr>
    </w:div>
    <w:div w:id="2062554517">
      <w:marLeft w:val="0"/>
      <w:marRight w:val="0"/>
      <w:marTop w:val="0"/>
      <w:marBottom w:val="0"/>
      <w:divBdr>
        <w:top w:val="none" w:sz="0" w:space="0" w:color="auto"/>
        <w:left w:val="none" w:sz="0" w:space="0" w:color="auto"/>
        <w:bottom w:val="none" w:sz="0" w:space="0" w:color="auto"/>
        <w:right w:val="none" w:sz="0" w:space="0" w:color="auto"/>
      </w:divBdr>
      <w:divsChild>
        <w:div w:id="1135373586">
          <w:marLeft w:val="0"/>
          <w:marRight w:val="0"/>
          <w:marTop w:val="0"/>
          <w:marBottom w:val="0"/>
          <w:divBdr>
            <w:top w:val="none" w:sz="0" w:space="0" w:color="auto"/>
            <w:left w:val="none" w:sz="0" w:space="0" w:color="auto"/>
            <w:bottom w:val="none" w:sz="0" w:space="0" w:color="auto"/>
            <w:right w:val="none" w:sz="0" w:space="0" w:color="auto"/>
          </w:divBdr>
        </w:div>
      </w:divsChild>
    </w:div>
    <w:div w:id="2065985752">
      <w:marLeft w:val="0"/>
      <w:marRight w:val="0"/>
      <w:marTop w:val="0"/>
      <w:marBottom w:val="0"/>
      <w:divBdr>
        <w:top w:val="none" w:sz="0" w:space="0" w:color="auto"/>
        <w:left w:val="none" w:sz="0" w:space="0" w:color="auto"/>
        <w:bottom w:val="none" w:sz="0" w:space="0" w:color="auto"/>
        <w:right w:val="none" w:sz="0" w:space="0" w:color="auto"/>
      </w:divBdr>
      <w:divsChild>
        <w:div w:id="1504203868">
          <w:marLeft w:val="0"/>
          <w:marRight w:val="0"/>
          <w:marTop w:val="0"/>
          <w:marBottom w:val="0"/>
          <w:divBdr>
            <w:top w:val="none" w:sz="0" w:space="0" w:color="auto"/>
            <w:left w:val="none" w:sz="0" w:space="0" w:color="auto"/>
            <w:bottom w:val="none" w:sz="0" w:space="0" w:color="auto"/>
            <w:right w:val="none" w:sz="0" w:space="0" w:color="auto"/>
          </w:divBdr>
        </w:div>
      </w:divsChild>
    </w:div>
    <w:div w:id="2069378332">
      <w:marLeft w:val="0"/>
      <w:marRight w:val="0"/>
      <w:marTop w:val="0"/>
      <w:marBottom w:val="240"/>
      <w:divBdr>
        <w:top w:val="none" w:sz="0" w:space="0" w:color="auto"/>
        <w:left w:val="none" w:sz="0" w:space="0" w:color="auto"/>
        <w:bottom w:val="none" w:sz="0" w:space="0" w:color="auto"/>
        <w:right w:val="none" w:sz="0" w:space="0" w:color="auto"/>
      </w:divBdr>
    </w:div>
    <w:div w:id="2069956619">
      <w:marLeft w:val="0"/>
      <w:marRight w:val="0"/>
      <w:marTop w:val="120"/>
      <w:marBottom w:val="180"/>
      <w:divBdr>
        <w:top w:val="none" w:sz="0" w:space="0" w:color="auto"/>
        <w:left w:val="none" w:sz="0" w:space="0" w:color="auto"/>
        <w:bottom w:val="none" w:sz="0" w:space="0" w:color="auto"/>
        <w:right w:val="none" w:sz="0" w:space="0" w:color="auto"/>
      </w:divBdr>
    </w:div>
    <w:div w:id="2071881184">
      <w:marLeft w:val="0"/>
      <w:marRight w:val="0"/>
      <w:marTop w:val="180"/>
      <w:marBottom w:val="180"/>
      <w:divBdr>
        <w:top w:val="none" w:sz="0" w:space="0" w:color="auto"/>
        <w:left w:val="none" w:sz="0" w:space="0" w:color="auto"/>
        <w:bottom w:val="none" w:sz="0" w:space="0" w:color="auto"/>
        <w:right w:val="none" w:sz="0" w:space="0" w:color="auto"/>
      </w:divBdr>
    </w:div>
    <w:div w:id="2072733333">
      <w:marLeft w:val="0"/>
      <w:marRight w:val="0"/>
      <w:marTop w:val="0"/>
      <w:marBottom w:val="0"/>
      <w:divBdr>
        <w:top w:val="none" w:sz="0" w:space="0" w:color="auto"/>
        <w:left w:val="none" w:sz="0" w:space="0" w:color="auto"/>
        <w:bottom w:val="none" w:sz="0" w:space="0" w:color="auto"/>
        <w:right w:val="none" w:sz="0" w:space="0" w:color="auto"/>
      </w:divBdr>
    </w:div>
    <w:div w:id="2075003465">
      <w:marLeft w:val="0"/>
      <w:marRight w:val="0"/>
      <w:marTop w:val="0"/>
      <w:marBottom w:val="180"/>
      <w:divBdr>
        <w:top w:val="none" w:sz="0" w:space="0" w:color="auto"/>
        <w:left w:val="none" w:sz="0" w:space="0" w:color="auto"/>
        <w:bottom w:val="none" w:sz="0" w:space="0" w:color="auto"/>
        <w:right w:val="none" w:sz="0" w:space="0" w:color="auto"/>
      </w:divBdr>
    </w:div>
    <w:div w:id="2075005835">
      <w:marLeft w:val="0"/>
      <w:marRight w:val="0"/>
      <w:marTop w:val="0"/>
      <w:marBottom w:val="0"/>
      <w:divBdr>
        <w:top w:val="none" w:sz="0" w:space="0" w:color="auto"/>
        <w:left w:val="none" w:sz="0" w:space="0" w:color="auto"/>
        <w:bottom w:val="none" w:sz="0" w:space="0" w:color="auto"/>
        <w:right w:val="none" w:sz="0" w:space="0" w:color="auto"/>
      </w:divBdr>
    </w:div>
    <w:div w:id="2080787680">
      <w:marLeft w:val="0"/>
      <w:marRight w:val="0"/>
      <w:marTop w:val="0"/>
      <w:marBottom w:val="180"/>
      <w:divBdr>
        <w:top w:val="none" w:sz="0" w:space="0" w:color="auto"/>
        <w:left w:val="none" w:sz="0" w:space="0" w:color="auto"/>
        <w:bottom w:val="none" w:sz="0" w:space="0" w:color="auto"/>
        <w:right w:val="none" w:sz="0" w:space="0" w:color="auto"/>
      </w:divBdr>
    </w:div>
    <w:div w:id="2081634194">
      <w:marLeft w:val="0"/>
      <w:marRight w:val="0"/>
      <w:marTop w:val="0"/>
      <w:marBottom w:val="180"/>
      <w:divBdr>
        <w:top w:val="none" w:sz="0" w:space="0" w:color="auto"/>
        <w:left w:val="none" w:sz="0" w:space="0" w:color="auto"/>
        <w:bottom w:val="none" w:sz="0" w:space="0" w:color="auto"/>
        <w:right w:val="none" w:sz="0" w:space="0" w:color="auto"/>
      </w:divBdr>
    </w:div>
    <w:div w:id="2082361034">
      <w:marLeft w:val="0"/>
      <w:marRight w:val="0"/>
      <w:marTop w:val="0"/>
      <w:marBottom w:val="0"/>
      <w:divBdr>
        <w:top w:val="none" w:sz="0" w:space="0" w:color="auto"/>
        <w:left w:val="none" w:sz="0" w:space="0" w:color="auto"/>
        <w:bottom w:val="none" w:sz="0" w:space="0" w:color="auto"/>
        <w:right w:val="none" w:sz="0" w:space="0" w:color="auto"/>
      </w:divBdr>
    </w:div>
    <w:div w:id="2084252019">
      <w:marLeft w:val="0"/>
      <w:marRight w:val="0"/>
      <w:marTop w:val="0"/>
      <w:marBottom w:val="180"/>
      <w:divBdr>
        <w:top w:val="none" w:sz="0" w:space="0" w:color="auto"/>
        <w:left w:val="none" w:sz="0" w:space="0" w:color="auto"/>
        <w:bottom w:val="none" w:sz="0" w:space="0" w:color="auto"/>
        <w:right w:val="none" w:sz="0" w:space="0" w:color="auto"/>
      </w:divBdr>
    </w:div>
    <w:div w:id="2085448530">
      <w:marLeft w:val="0"/>
      <w:marRight w:val="0"/>
      <w:marTop w:val="0"/>
      <w:marBottom w:val="180"/>
      <w:divBdr>
        <w:top w:val="none" w:sz="0" w:space="0" w:color="auto"/>
        <w:left w:val="none" w:sz="0" w:space="0" w:color="auto"/>
        <w:bottom w:val="none" w:sz="0" w:space="0" w:color="auto"/>
        <w:right w:val="none" w:sz="0" w:space="0" w:color="auto"/>
      </w:divBdr>
    </w:div>
    <w:div w:id="2086829848">
      <w:marLeft w:val="0"/>
      <w:marRight w:val="0"/>
      <w:marTop w:val="0"/>
      <w:marBottom w:val="0"/>
      <w:divBdr>
        <w:top w:val="none" w:sz="0" w:space="0" w:color="auto"/>
        <w:left w:val="none" w:sz="0" w:space="0" w:color="auto"/>
        <w:bottom w:val="none" w:sz="0" w:space="0" w:color="auto"/>
        <w:right w:val="none" w:sz="0" w:space="0" w:color="auto"/>
      </w:divBdr>
      <w:divsChild>
        <w:div w:id="1751805442">
          <w:marLeft w:val="0"/>
          <w:marRight w:val="0"/>
          <w:marTop w:val="0"/>
          <w:marBottom w:val="0"/>
          <w:divBdr>
            <w:top w:val="none" w:sz="0" w:space="0" w:color="auto"/>
            <w:left w:val="none" w:sz="0" w:space="0" w:color="auto"/>
            <w:bottom w:val="none" w:sz="0" w:space="0" w:color="auto"/>
            <w:right w:val="none" w:sz="0" w:space="0" w:color="auto"/>
          </w:divBdr>
        </w:div>
      </w:divsChild>
    </w:div>
    <w:div w:id="2091385122">
      <w:marLeft w:val="0"/>
      <w:marRight w:val="0"/>
      <w:marTop w:val="0"/>
      <w:marBottom w:val="180"/>
      <w:divBdr>
        <w:top w:val="none" w:sz="0" w:space="0" w:color="auto"/>
        <w:left w:val="none" w:sz="0" w:space="0" w:color="auto"/>
        <w:bottom w:val="none" w:sz="0" w:space="0" w:color="auto"/>
        <w:right w:val="none" w:sz="0" w:space="0" w:color="auto"/>
      </w:divBdr>
    </w:div>
    <w:div w:id="2093354264">
      <w:marLeft w:val="0"/>
      <w:marRight w:val="0"/>
      <w:marTop w:val="180"/>
      <w:marBottom w:val="180"/>
      <w:divBdr>
        <w:top w:val="none" w:sz="0" w:space="0" w:color="auto"/>
        <w:left w:val="none" w:sz="0" w:space="0" w:color="auto"/>
        <w:bottom w:val="none" w:sz="0" w:space="0" w:color="auto"/>
        <w:right w:val="none" w:sz="0" w:space="0" w:color="auto"/>
      </w:divBdr>
    </w:div>
    <w:div w:id="2093769891">
      <w:marLeft w:val="0"/>
      <w:marRight w:val="0"/>
      <w:marTop w:val="0"/>
      <w:marBottom w:val="0"/>
      <w:divBdr>
        <w:top w:val="none" w:sz="0" w:space="0" w:color="auto"/>
        <w:left w:val="none" w:sz="0" w:space="0" w:color="auto"/>
        <w:bottom w:val="none" w:sz="0" w:space="0" w:color="auto"/>
        <w:right w:val="none" w:sz="0" w:space="0" w:color="auto"/>
      </w:divBdr>
    </w:div>
    <w:div w:id="2098138080">
      <w:marLeft w:val="0"/>
      <w:marRight w:val="0"/>
      <w:marTop w:val="0"/>
      <w:marBottom w:val="180"/>
      <w:divBdr>
        <w:top w:val="none" w:sz="0" w:space="0" w:color="auto"/>
        <w:left w:val="none" w:sz="0" w:space="0" w:color="auto"/>
        <w:bottom w:val="none" w:sz="0" w:space="0" w:color="auto"/>
        <w:right w:val="none" w:sz="0" w:space="0" w:color="auto"/>
      </w:divBdr>
    </w:div>
    <w:div w:id="2098280203">
      <w:marLeft w:val="0"/>
      <w:marRight w:val="0"/>
      <w:marTop w:val="0"/>
      <w:marBottom w:val="240"/>
      <w:divBdr>
        <w:top w:val="none" w:sz="0" w:space="0" w:color="auto"/>
        <w:left w:val="none" w:sz="0" w:space="0" w:color="auto"/>
        <w:bottom w:val="none" w:sz="0" w:space="0" w:color="auto"/>
        <w:right w:val="none" w:sz="0" w:space="0" w:color="auto"/>
      </w:divBdr>
    </w:div>
    <w:div w:id="2098868387">
      <w:marLeft w:val="0"/>
      <w:marRight w:val="0"/>
      <w:marTop w:val="0"/>
      <w:marBottom w:val="180"/>
      <w:divBdr>
        <w:top w:val="none" w:sz="0" w:space="0" w:color="auto"/>
        <w:left w:val="none" w:sz="0" w:space="0" w:color="auto"/>
        <w:bottom w:val="none" w:sz="0" w:space="0" w:color="auto"/>
        <w:right w:val="none" w:sz="0" w:space="0" w:color="auto"/>
      </w:divBdr>
    </w:div>
    <w:div w:id="2099787805">
      <w:marLeft w:val="0"/>
      <w:marRight w:val="0"/>
      <w:marTop w:val="0"/>
      <w:marBottom w:val="0"/>
      <w:divBdr>
        <w:top w:val="none" w:sz="0" w:space="0" w:color="auto"/>
        <w:left w:val="none" w:sz="0" w:space="0" w:color="auto"/>
        <w:bottom w:val="none" w:sz="0" w:space="0" w:color="auto"/>
        <w:right w:val="none" w:sz="0" w:space="0" w:color="auto"/>
      </w:divBdr>
    </w:div>
    <w:div w:id="2101370135">
      <w:marLeft w:val="0"/>
      <w:marRight w:val="0"/>
      <w:marTop w:val="0"/>
      <w:marBottom w:val="180"/>
      <w:divBdr>
        <w:top w:val="none" w:sz="0" w:space="0" w:color="auto"/>
        <w:left w:val="none" w:sz="0" w:space="0" w:color="auto"/>
        <w:bottom w:val="none" w:sz="0" w:space="0" w:color="auto"/>
        <w:right w:val="none" w:sz="0" w:space="0" w:color="auto"/>
      </w:divBdr>
    </w:div>
    <w:div w:id="2102681408">
      <w:marLeft w:val="0"/>
      <w:marRight w:val="0"/>
      <w:marTop w:val="180"/>
      <w:marBottom w:val="180"/>
      <w:divBdr>
        <w:top w:val="none" w:sz="0" w:space="0" w:color="auto"/>
        <w:left w:val="none" w:sz="0" w:space="0" w:color="auto"/>
        <w:bottom w:val="none" w:sz="0" w:space="0" w:color="auto"/>
        <w:right w:val="none" w:sz="0" w:space="0" w:color="auto"/>
      </w:divBdr>
    </w:div>
    <w:div w:id="2103649259">
      <w:marLeft w:val="0"/>
      <w:marRight w:val="0"/>
      <w:marTop w:val="0"/>
      <w:marBottom w:val="0"/>
      <w:divBdr>
        <w:top w:val="none" w:sz="0" w:space="0" w:color="auto"/>
        <w:left w:val="none" w:sz="0" w:space="0" w:color="auto"/>
        <w:bottom w:val="none" w:sz="0" w:space="0" w:color="auto"/>
        <w:right w:val="none" w:sz="0" w:space="0" w:color="auto"/>
      </w:divBdr>
      <w:divsChild>
        <w:div w:id="1762867441">
          <w:marLeft w:val="0"/>
          <w:marRight w:val="0"/>
          <w:marTop w:val="0"/>
          <w:marBottom w:val="0"/>
          <w:divBdr>
            <w:top w:val="none" w:sz="0" w:space="0" w:color="auto"/>
            <w:left w:val="none" w:sz="0" w:space="0" w:color="auto"/>
            <w:bottom w:val="none" w:sz="0" w:space="0" w:color="auto"/>
            <w:right w:val="none" w:sz="0" w:space="0" w:color="auto"/>
          </w:divBdr>
        </w:div>
      </w:divsChild>
    </w:div>
    <w:div w:id="2104106705">
      <w:marLeft w:val="0"/>
      <w:marRight w:val="0"/>
      <w:marTop w:val="0"/>
      <w:marBottom w:val="240"/>
      <w:divBdr>
        <w:top w:val="none" w:sz="0" w:space="0" w:color="auto"/>
        <w:left w:val="none" w:sz="0" w:space="0" w:color="auto"/>
        <w:bottom w:val="none" w:sz="0" w:space="0" w:color="auto"/>
        <w:right w:val="none" w:sz="0" w:space="0" w:color="auto"/>
      </w:divBdr>
    </w:div>
    <w:div w:id="2104760494">
      <w:marLeft w:val="0"/>
      <w:marRight w:val="0"/>
      <w:marTop w:val="0"/>
      <w:marBottom w:val="180"/>
      <w:divBdr>
        <w:top w:val="none" w:sz="0" w:space="0" w:color="auto"/>
        <w:left w:val="none" w:sz="0" w:space="0" w:color="auto"/>
        <w:bottom w:val="none" w:sz="0" w:space="0" w:color="auto"/>
        <w:right w:val="none" w:sz="0" w:space="0" w:color="auto"/>
      </w:divBdr>
    </w:div>
    <w:div w:id="2105300267">
      <w:marLeft w:val="0"/>
      <w:marRight w:val="0"/>
      <w:marTop w:val="0"/>
      <w:marBottom w:val="0"/>
      <w:divBdr>
        <w:top w:val="none" w:sz="0" w:space="0" w:color="auto"/>
        <w:left w:val="none" w:sz="0" w:space="0" w:color="auto"/>
        <w:bottom w:val="none" w:sz="0" w:space="0" w:color="auto"/>
        <w:right w:val="none" w:sz="0" w:space="0" w:color="auto"/>
      </w:divBdr>
      <w:divsChild>
        <w:div w:id="235818913">
          <w:marLeft w:val="0"/>
          <w:marRight w:val="0"/>
          <w:marTop w:val="0"/>
          <w:marBottom w:val="0"/>
          <w:divBdr>
            <w:top w:val="none" w:sz="0" w:space="0" w:color="auto"/>
            <w:left w:val="none" w:sz="0" w:space="0" w:color="auto"/>
            <w:bottom w:val="none" w:sz="0" w:space="0" w:color="auto"/>
            <w:right w:val="none" w:sz="0" w:space="0" w:color="auto"/>
          </w:divBdr>
        </w:div>
      </w:divsChild>
    </w:div>
    <w:div w:id="2108503064">
      <w:marLeft w:val="0"/>
      <w:marRight w:val="0"/>
      <w:marTop w:val="0"/>
      <w:marBottom w:val="0"/>
      <w:divBdr>
        <w:top w:val="none" w:sz="0" w:space="0" w:color="auto"/>
        <w:left w:val="none" w:sz="0" w:space="0" w:color="auto"/>
        <w:bottom w:val="none" w:sz="0" w:space="0" w:color="auto"/>
        <w:right w:val="none" w:sz="0" w:space="0" w:color="auto"/>
      </w:divBdr>
    </w:div>
    <w:div w:id="2109504205">
      <w:marLeft w:val="0"/>
      <w:marRight w:val="0"/>
      <w:marTop w:val="0"/>
      <w:marBottom w:val="0"/>
      <w:divBdr>
        <w:top w:val="none" w:sz="0" w:space="0" w:color="auto"/>
        <w:left w:val="none" w:sz="0" w:space="0" w:color="auto"/>
        <w:bottom w:val="none" w:sz="0" w:space="0" w:color="auto"/>
        <w:right w:val="none" w:sz="0" w:space="0" w:color="auto"/>
      </w:divBdr>
      <w:divsChild>
        <w:div w:id="758214243">
          <w:marLeft w:val="0"/>
          <w:marRight w:val="0"/>
          <w:marTop w:val="0"/>
          <w:marBottom w:val="0"/>
          <w:divBdr>
            <w:top w:val="none" w:sz="0" w:space="0" w:color="auto"/>
            <w:left w:val="none" w:sz="0" w:space="0" w:color="auto"/>
            <w:bottom w:val="none" w:sz="0" w:space="0" w:color="auto"/>
            <w:right w:val="none" w:sz="0" w:space="0" w:color="auto"/>
          </w:divBdr>
        </w:div>
      </w:divsChild>
    </w:div>
    <w:div w:id="2110881052">
      <w:marLeft w:val="0"/>
      <w:marRight w:val="0"/>
      <w:marTop w:val="0"/>
      <w:marBottom w:val="0"/>
      <w:divBdr>
        <w:top w:val="none" w:sz="0" w:space="0" w:color="auto"/>
        <w:left w:val="none" w:sz="0" w:space="0" w:color="auto"/>
        <w:bottom w:val="none" w:sz="0" w:space="0" w:color="auto"/>
        <w:right w:val="none" w:sz="0" w:space="0" w:color="auto"/>
      </w:divBdr>
      <w:divsChild>
        <w:div w:id="325208266">
          <w:marLeft w:val="0"/>
          <w:marRight w:val="0"/>
          <w:marTop w:val="0"/>
          <w:marBottom w:val="0"/>
          <w:divBdr>
            <w:top w:val="none" w:sz="0" w:space="0" w:color="auto"/>
            <w:left w:val="none" w:sz="0" w:space="0" w:color="auto"/>
            <w:bottom w:val="none" w:sz="0" w:space="0" w:color="auto"/>
            <w:right w:val="none" w:sz="0" w:space="0" w:color="auto"/>
          </w:divBdr>
        </w:div>
      </w:divsChild>
    </w:div>
    <w:div w:id="2112620869">
      <w:marLeft w:val="0"/>
      <w:marRight w:val="0"/>
      <w:marTop w:val="0"/>
      <w:marBottom w:val="0"/>
      <w:divBdr>
        <w:top w:val="none" w:sz="0" w:space="0" w:color="auto"/>
        <w:left w:val="none" w:sz="0" w:space="0" w:color="auto"/>
        <w:bottom w:val="none" w:sz="0" w:space="0" w:color="auto"/>
        <w:right w:val="none" w:sz="0" w:space="0" w:color="auto"/>
      </w:divBdr>
    </w:div>
    <w:div w:id="2114474797">
      <w:marLeft w:val="0"/>
      <w:marRight w:val="0"/>
      <w:marTop w:val="180"/>
      <w:marBottom w:val="180"/>
      <w:divBdr>
        <w:top w:val="none" w:sz="0" w:space="0" w:color="auto"/>
        <w:left w:val="none" w:sz="0" w:space="0" w:color="auto"/>
        <w:bottom w:val="none" w:sz="0" w:space="0" w:color="auto"/>
        <w:right w:val="none" w:sz="0" w:space="0" w:color="auto"/>
      </w:divBdr>
    </w:div>
    <w:div w:id="2117752238">
      <w:marLeft w:val="0"/>
      <w:marRight w:val="0"/>
      <w:marTop w:val="180"/>
      <w:marBottom w:val="180"/>
      <w:divBdr>
        <w:top w:val="none" w:sz="0" w:space="0" w:color="auto"/>
        <w:left w:val="none" w:sz="0" w:space="0" w:color="auto"/>
        <w:bottom w:val="none" w:sz="0" w:space="0" w:color="auto"/>
        <w:right w:val="none" w:sz="0" w:space="0" w:color="auto"/>
      </w:divBdr>
    </w:div>
    <w:div w:id="2118714967">
      <w:marLeft w:val="0"/>
      <w:marRight w:val="0"/>
      <w:marTop w:val="0"/>
      <w:marBottom w:val="240"/>
      <w:divBdr>
        <w:top w:val="none" w:sz="0" w:space="0" w:color="auto"/>
        <w:left w:val="none" w:sz="0" w:space="0" w:color="auto"/>
        <w:bottom w:val="none" w:sz="0" w:space="0" w:color="auto"/>
        <w:right w:val="none" w:sz="0" w:space="0" w:color="auto"/>
      </w:divBdr>
    </w:div>
    <w:div w:id="2119374332">
      <w:marLeft w:val="0"/>
      <w:marRight w:val="0"/>
      <w:marTop w:val="0"/>
      <w:marBottom w:val="180"/>
      <w:divBdr>
        <w:top w:val="none" w:sz="0" w:space="0" w:color="auto"/>
        <w:left w:val="none" w:sz="0" w:space="0" w:color="auto"/>
        <w:bottom w:val="none" w:sz="0" w:space="0" w:color="auto"/>
        <w:right w:val="none" w:sz="0" w:space="0" w:color="auto"/>
      </w:divBdr>
    </w:div>
    <w:div w:id="2119567882">
      <w:marLeft w:val="0"/>
      <w:marRight w:val="0"/>
      <w:marTop w:val="0"/>
      <w:marBottom w:val="0"/>
      <w:divBdr>
        <w:top w:val="none" w:sz="0" w:space="0" w:color="auto"/>
        <w:left w:val="none" w:sz="0" w:space="0" w:color="auto"/>
        <w:bottom w:val="none" w:sz="0" w:space="0" w:color="auto"/>
        <w:right w:val="none" w:sz="0" w:space="0" w:color="auto"/>
      </w:divBdr>
    </w:div>
    <w:div w:id="2120636542">
      <w:marLeft w:val="0"/>
      <w:marRight w:val="0"/>
      <w:marTop w:val="0"/>
      <w:marBottom w:val="180"/>
      <w:divBdr>
        <w:top w:val="none" w:sz="0" w:space="0" w:color="auto"/>
        <w:left w:val="none" w:sz="0" w:space="0" w:color="auto"/>
        <w:bottom w:val="none" w:sz="0" w:space="0" w:color="auto"/>
        <w:right w:val="none" w:sz="0" w:space="0" w:color="auto"/>
      </w:divBdr>
    </w:div>
    <w:div w:id="2121878635">
      <w:marLeft w:val="0"/>
      <w:marRight w:val="0"/>
      <w:marTop w:val="0"/>
      <w:marBottom w:val="180"/>
      <w:divBdr>
        <w:top w:val="none" w:sz="0" w:space="0" w:color="auto"/>
        <w:left w:val="none" w:sz="0" w:space="0" w:color="auto"/>
        <w:bottom w:val="none" w:sz="0" w:space="0" w:color="auto"/>
        <w:right w:val="none" w:sz="0" w:space="0" w:color="auto"/>
      </w:divBdr>
    </w:div>
    <w:div w:id="2122996449">
      <w:marLeft w:val="0"/>
      <w:marRight w:val="0"/>
      <w:marTop w:val="180"/>
      <w:marBottom w:val="180"/>
      <w:divBdr>
        <w:top w:val="none" w:sz="0" w:space="0" w:color="auto"/>
        <w:left w:val="none" w:sz="0" w:space="0" w:color="auto"/>
        <w:bottom w:val="none" w:sz="0" w:space="0" w:color="auto"/>
        <w:right w:val="none" w:sz="0" w:space="0" w:color="auto"/>
      </w:divBdr>
    </w:div>
    <w:div w:id="2123377037">
      <w:marLeft w:val="0"/>
      <w:marRight w:val="0"/>
      <w:marTop w:val="120"/>
      <w:marBottom w:val="180"/>
      <w:divBdr>
        <w:top w:val="none" w:sz="0" w:space="0" w:color="auto"/>
        <w:left w:val="none" w:sz="0" w:space="0" w:color="auto"/>
        <w:bottom w:val="none" w:sz="0" w:space="0" w:color="auto"/>
        <w:right w:val="none" w:sz="0" w:space="0" w:color="auto"/>
      </w:divBdr>
    </w:div>
    <w:div w:id="2125035615">
      <w:marLeft w:val="0"/>
      <w:marRight w:val="0"/>
      <w:marTop w:val="0"/>
      <w:marBottom w:val="180"/>
      <w:divBdr>
        <w:top w:val="none" w:sz="0" w:space="0" w:color="auto"/>
        <w:left w:val="none" w:sz="0" w:space="0" w:color="auto"/>
        <w:bottom w:val="none" w:sz="0" w:space="0" w:color="auto"/>
        <w:right w:val="none" w:sz="0" w:space="0" w:color="auto"/>
      </w:divBdr>
    </w:div>
    <w:div w:id="2126806442">
      <w:marLeft w:val="0"/>
      <w:marRight w:val="0"/>
      <w:marTop w:val="0"/>
      <w:marBottom w:val="240"/>
      <w:divBdr>
        <w:top w:val="none" w:sz="0" w:space="0" w:color="auto"/>
        <w:left w:val="none" w:sz="0" w:space="0" w:color="auto"/>
        <w:bottom w:val="none" w:sz="0" w:space="0" w:color="auto"/>
        <w:right w:val="none" w:sz="0" w:space="0" w:color="auto"/>
      </w:divBdr>
    </w:div>
    <w:div w:id="2134277369">
      <w:marLeft w:val="0"/>
      <w:marRight w:val="0"/>
      <w:marTop w:val="0"/>
      <w:marBottom w:val="0"/>
      <w:divBdr>
        <w:top w:val="none" w:sz="0" w:space="0" w:color="auto"/>
        <w:left w:val="none" w:sz="0" w:space="0" w:color="auto"/>
        <w:bottom w:val="none" w:sz="0" w:space="0" w:color="auto"/>
        <w:right w:val="none" w:sz="0" w:space="0" w:color="auto"/>
      </w:divBdr>
      <w:divsChild>
        <w:div w:id="1462575470">
          <w:marLeft w:val="0"/>
          <w:marRight w:val="0"/>
          <w:marTop w:val="0"/>
          <w:marBottom w:val="0"/>
          <w:divBdr>
            <w:top w:val="none" w:sz="0" w:space="0" w:color="auto"/>
            <w:left w:val="none" w:sz="0" w:space="0" w:color="auto"/>
            <w:bottom w:val="none" w:sz="0" w:space="0" w:color="auto"/>
            <w:right w:val="none" w:sz="0" w:space="0" w:color="auto"/>
          </w:divBdr>
        </w:div>
      </w:divsChild>
    </w:div>
    <w:div w:id="2136482591">
      <w:marLeft w:val="0"/>
      <w:marRight w:val="0"/>
      <w:marTop w:val="0"/>
      <w:marBottom w:val="180"/>
      <w:divBdr>
        <w:top w:val="none" w:sz="0" w:space="0" w:color="auto"/>
        <w:left w:val="none" w:sz="0" w:space="0" w:color="auto"/>
        <w:bottom w:val="none" w:sz="0" w:space="0" w:color="auto"/>
        <w:right w:val="none" w:sz="0" w:space="0" w:color="auto"/>
      </w:divBdr>
    </w:div>
    <w:div w:id="2136674291">
      <w:marLeft w:val="0"/>
      <w:marRight w:val="0"/>
      <w:marTop w:val="180"/>
      <w:marBottom w:val="180"/>
      <w:divBdr>
        <w:top w:val="none" w:sz="0" w:space="0" w:color="auto"/>
        <w:left w:val="none" w:sz="0" w:space="0" w:color="auto"/>
        <w:bottom w:val="none" w:sz="0" w:space="0" w:color="auto"/>
        <w:right w:val="none" w:sz="0" w:space="0" w:color="auto"/>
      </w:divBdr>
    </w:div>
    <w:div w:id="2139955609">
      <w:marLeft w:val="0"/>
      <w:marRight w:val="0"/>
      <w:marTop w:val="0"/>
      <w:marBottom w:val="0"/>
      <w:divBdr>
        <w:top w:val="none" w:sz="0" w:space="0" w:color="auto"/>
        <w:left w:val="none" w:sz="0" w:space="0" w:color="auto"/>
        <w:bottom w:val="none" w:sz="0" w:space="0" w:color="auto"/>
        <w:right w:val="none" w:sz="0" w:space="0" w:color="auto"/>
      </w:divBdr>
      <w:divsChild>
        <w:div w:id="1851289214">
          <w:marLeft w:val="0"/>
          <w:marRight w:val="0"/>
          <w:marTop w:val="0"/>
          <w:marBottom w:val="0"/>
          <w:divBdr>
            <w:top w:val="none" w:sz="0" w:space="0" w:color="auto"/>
            <w:left w:val="none" w:sz="0" w:space="0" w:color="auto"/>
            <w:bottom w:val="none" w:sz="0" w:space="0" w:color="auto"/>
            <w:right w:val="none" w:sz="0" w:space="0" w:color="auto"/>
          </w:divBdr>
        </w:div>
      </w:divsChild>
    </w:div>
    <w:div w:id="2142452063">
      <w:marLeft w:val="0"/>
      <w:marRight w:val="0"/>
      <w:marTop w:val="120"/>
      <w:marBottom w:val="240"/>
      <w:divBdr>
        <w:top w:val="none" w:sz="0" w:space="0" w:color="auto"/>
        <w:left w:val="none" w:sz="0" w:space="0" w:color="auto"/>
        <w:bottom w:val="none" w:sz="0" w:space="0" w:color="auto"/>
        <w:right w:val="none" w:sz="0" w:space="0" w:color="auto"/>
      </w:divBdr>
    </w:div>
    <w:div w:id="2143618501">
      <w:marLeft w:val="0"/>
      <w:marRight w:val="0"/>
      <w:marTop w:val="120"/>
      <w:marBottom w:val="120"/>
      <w:divBdr>
        <w:top w:val="none" w:sz="0" w:space="0" w:color="auto"/>
        <w:left w:val="none" w:sz="0" w:space="0" w:color="auto"/>
        <w:bottom w:val="none" w:sz="0" w:space="0" w:color="auto"/>
        <w:right w:val="none" w:sz="0" w:space="0" w:color="auto"/>
      </w:divBdr>
    </w:div>
    <w:div w:id="2144498086">
      <w:marLeft w:val="0"/>
      <w:marRight w:val="0"/>
      <w:marTop w:val="0"/>
      <w:marBottom w:val="180"/>
      <w:divBdr>
        <w:top w:val="none" w:sz="0" w:space="0" w:color="auto"/>
        <w:left w:val="none" w:sz="0" w:space="0" w:color="auto"/>
        <w:bottom w:val="none" w:sz="0" w:space="0" w:color="auto"/>
        <w:right w:val="none" w:sz="0" w:space="0" w:color="auto"/>
      </w:divBdr>
    </w:div>
    <w:div w:id="214488833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333986/000156459022023006/eqh-ex101_13.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1333986/000156459022020876/eqh-ex32_111.htm" TargetMode="External"/><Relationship Id="rId12" Type="http://schemas.openxmlformats.org/officeDocument/2006/relationships/hyperlink" Target="eqh-063022exhibit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333986/000156459022020876/eqh-ex31_26.htm" TargetMode="External"/><Relationship Id="rId11" Type="http://schemas.openxmlformats.org/officeDocument/2006/relationships/hyperlink" Target="eqh-063022exhibit321.htm" TargetMode="Externa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063022exhibit312.htm" TargetMode="External"/><Relationship Id="rId4" Type="http://schemas.openxmlformats.org/officeDocument/2006/relationships/image" Target="file:///E:\projects\LLMs\new_data_collection\data_new\htm\Equitable%20Holdings,%20Inc\eqh-20220630_g1.jpg" TargetMode="External"/><Relationship Id="rId9" Type="http://schemas.openxmlformats.org/officeDocument/2006/relationships/hyperlink" Target="eqh-063022exhibit31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82622</Words>
  <Characters>470948</Characters>
  <Application>Microsoft Office Word</Application>
  <DocSecurity>0</DocSecurity>
  <Lines>3924</Lines>
  <Paragraphs>1104</Paragraphs>
  <ScaleCrop>false</ScaleCrop>
  <Company/>
  <LinksUpToDate>false</LinksUpToDate>
  <CharactersWithSpaces>552466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eqh-20220630</dc:title>
  <dc:subject/>
  <dc:creator>Chongjian.Yue</dc:creator>
  <cp:keywords/>
  <dc:description/>
  <cp:lastModifiedBy>Yue Chongjian</cp:lastModifiedBy>
  <cp:revision>1</cp:revision>
  <dcterms:created xsi:type="dcterms:W3CDTF">2024-01-04T15:43:00Z</dcterms:created>
  <dcterms:modified xsi:type="dcterms:W3CDTF">2024-01-04T15:43:00Z</dcterms:modified>
</cp:coreProperties>
</file>