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56D69">
      <w:pPr>
        <w:divId w:val="1840390523"/>
        <w:rPr>
          <w:rFonts w:eastAsia="Times New Roman"/>
          <w:vanish/>
        </w:rPr>
      </w:pPr>
      <w:r>
        <w:rPr>
          <w:rFonts w:eastAsia="Times New Roman"/>
          <w:vanish/>
        </w:rPr>
        <w:t>Q32022FALSE0001333986--12-3151.669.676.071.655.433366.56.565.671.369.15.60.52.433366.56.500013339862022-01-012022-09-300001333986us-gaap:CommonClassAMember2022-01-012022-09-300001333986us-gaap:SeriesAPreferredStockMember2022-01-012022-09-30</w:t>
      </w:r>
      <w:r>
        <w:rPr>
          <w:rFonts w:eastAsia="Times New Roman"/>
          <w:vanish/>
        </w:rPr>
        <w:t>0001333986us-gaap:SeriesCPreferredStockMember2022-01-012022-09-3000013339862022-11-01xbrli:shares00013339862022-09-30iso4217:USD00013339862021-12-310001333986eqh:EmbeddedDerivativeDueFromReinsuranceReinsurersMemberus-gaap:FairValueInputsLevel3Membereqh:Dis</w:t>
      </w:r>
      <w:r>
        <w:rPr>
          <w:rFonts w:eastAsia="Times New Roman"/>
          <w:vanish/>
        </w:rPr>
        <w:t>countedCashFlowValuationTechniqueMember2022-09-300001333986eqh:EmbeddedDerivativeDueFromReinsuranceReinsurersMemberus-gaap:FairValueInputsLevel3Membereqh:DiscountedCashFlowValuationTechniqueMember2021-12-31iso4217:USDxbrli:shares00013339862022-07-012022-09</w:t>
      </w:r>
      <w:r>
        <w:rPr>
          <w:rFonts w:eastAsia="Times New Roman"/>
          <w:vanish/>
        </w:rPr>
        <w:t>-3000013339862021-07-012021-09-3000013339862021-01-012021-09-300001333986us-gaap:PreferredStockIncludingAdditionalPaidInCapitalMember2022-06-300001333986us-gaap:CommonStockMember2022-06-300001333986us-gaap:AdditionalPaidInCapitalMember2022-06-300001333986u</w:t>
      </w:r>
      <w:r>
        <w:rPr>
          <w:rFonts w:eastAsia="Times New Roman"/>
          <w:vanish/>
        </w:rPr>
        <w:t>s-gaap:TreasuryStockMember2022-06-300001333986us-gaap:RetainedEarningsMember2022-06-300001333986us-gaap:AccumulatedOtherComprehensiveIncomeMember2022-06-300001333986us-gaap:ParentMember2022-06-300001333986us-gaap:NoncontrollingInterestMember2022-06-3000013</w:t>
      </w:r>
      <w:r>
        <w:rPr>
          <w:rFonts w:eastAsia="Times New Roman"/>
          <w:vanish/>
        </w:rPr>
        <w:t>339862022-06-300001333986us-gaap:AdditionalPaidInCapitalMember2022-07-012022-09-300001333986us-gaap:TreasuryStockMember2022-07-012022-09-300001333986us-gaap:ParentMember2022-07-012022-09-300001333986us-gaap:NoncontrollingInterestMember2022-07-012022-09-300</w:t>
      </w:r>
      <w:r>
        <w:rPr>
          <w:rFonts w:eastAsia="Times New Roman"/>
          <w:vanish/>
        </w:rPr>
        <w:t>001333986us-gaap:RetainedEarningsMember2022-07-012022-09-300001333986us-gaap:PreferredStockIncludingAdditionalPaidInCapitalMember2022-07-012022-09-300001333986us-gaap:AccumulatedOtherComprehensiveIncomeMember2022-07-012022-09-300001333986us-gaap:PreferredS</w:t>
      </w:r>
      <w:r>
        <w:rPr>
          <w:rFonts w:eastAsia="Times New Roman"/>
          <w:vanish/>
        </w:rPr>
        <w:t>tockIncludingAdditionalPaidInCapitalMember2022-09-300001333986us-gaap:CommonStockMember2022-09-300001333986us-gaap:AdditionalPaidInCapitalMember2022-09-300001333986us-gaap:TreasuryStockMember2022-09-300001333986us-gaap:RetainedEarningsMember2022-09-3000013</w:t>
      </w:r>
      <w:r>
        <w:rPr>
          <w:rFonts w:eastAsia="Times New Roman"/>
          <w:vanish/>
        </w:rPr>
        <w:t>33986us-gaap:AccumulatedOtherComprehensiveIncomeMember2022-09-300001333986us-gaap:ParentMember2022-09-300001333986us-gaap:NoncontrollingInterestMember2022-09-300001333986us-gaap:PreferredStockIncludingAdditionalPaidInCapitalMember2021-06-300001333986us-gaa</w:t>
      </w:r>
      <w:r>
        <w:rPr>
          <w:rFonts w:eastAsia="Times New Roman"/>
          <w:vanish/>
        </w:rPr>
        <w:t>p:CommonStockMember2021-06-300001333986us-gaap:AdditionalPaidInCapitalMember2021-06-300001333986us-gaap:TreasuryStockMember2021-06-300001333986us-gaap:RetainedEarningsMember2021-06-300001333986us-gaap:AccumulatedOtherComprehensiveIncomeMember2021-06-300001</w:t>
      </w:r>
      <w:r>
        <w:rPr>
          <w:rFonts w:eastAsia="Times New Roman"/>
          <w:vanish/>
        </w:rPr>
        <w:t>333986us-gaap:ParentMember2021-06-300001333986us-gaap:NoncontrollingInterestMember2021-06-3000013339862021-06-300001333986us-gaap:AdditionalPaidInCapitalMember2021-07-012021-09-300001333986us-gaap:TreasuryStockMember2021-07-012021-09-300001333986us-gaap:Pa</w:t>
      </w:r>
      <w:r>
        <w:rPr>
          <w:rFonts w:eastAsia="Times New Roman"/>
          <w:vanish/>
        </w:rPr>
        <w:t>rentMember2021-07-012021-09-300001333986us-gaap:NoncontrollingInterestMember2021-07-012021-09-300001333986us-gaap:RetainedEarningsMember2021-07-012021-09-300001333986us-gaap:AccumulatedOtherComprehensiveIncomeMember2021-07-012021-09-300001333986us-gaap:Pre</w:t>
      </w:r>
      <w:r>
        <w:rPr>
          <w:rFonts w:eastAsia="Times New Roman"/>
          <w:vanish/>
        </w:rPr>
        <w:t>ferredStockIncludingAdditionalPaidInCapitalMember2021-09-300001333986us-gaap:CommonStockMember2021-09-300001333986us-gaap:AdditionalPaidInCapitalMember2021-09-300001333986us-gaap:TreasuryStockMember2021-09-300001333986us-gaap:RetainedEarningsMember2021-09-</w:t>
      </w:r>
      <w:r>
        <w:rPr>
          <w:rFonts w:eastAsia="Times New Roman"/>
          <w:vanish/>
        </w:rPr>
        <w:t>300001333986us-gaap:AccumulatedOtherComprehensiveIncomeMember2021-09-300001333986us-gaap:ParentMember2021-09-300001333986us-gaap:NoncontrollingInterestMember2021-09-3000013339862021-09-300001333986us-gaap:PreferredStockIncludingAdditionalPaidInCapitalMembe</w:t>
      </w:r>
      <w:r>
        <w:rPr>
          <w:rFonts w:eastAsia="Times New Roman"/>
          <w:vanish/>
        </w:rPr>
        <w:t>r2021-12-310001333986us-gaap:CommonStockMember2021-12-310001333986us-gaap:AdditionalPaidInCapitalMember2021-12-310001333986us-gaap:TreasuryStockMember2021-12-310001333986us-gaap:RetainedEarningsMember2021-12-310001333986us-gaap:AccumulatedOtherComprehensiv</w:t>
      </w:r>
      <w:r>
        <w:rPr>
          <w:rFonts w:eastAsia="Times New Roman"/>
          <w:vanish/>
        </w:rPr>
        <w:t>eIncomeMember2021-12-310001333986us-gaap:ParentMember2021-12-310001333986us-gaap:NoncontrollingInterestMember2021-12-310001333986us-gaap:AdditionalPaidInCapitalMember2022-01-012022-09-300001333986us-gaap:TreasuryStockMember2022-01-012022-09-300001333986us-</w:t>
      </w:r>
      <w:r>
        <w:rPr>
          <w:rFonts w:eastAsia="Times New Roman"/>
          <w:vanish/>
        </w:rPr>
        <w:t>gaap:ParentMember2022-01-012022-09-300001333986us-gaap:NoncontrollingInterestMember2022-01-012022-09-300001333986us-gaap:RetainedEarningsMember2022-01-012022-09-300001333986us-gaap:AccumulatedOtherComprehensiveIncomeMember2022-01-012022-09-300001333986us-g</w:t>
      </w:r>
      <w:r>
        <w:rPr>
          <w:rFonts w:eastAsia="Times New Roman"/>
          <w:vanish/>
        </w:rPr>
        <w:t>aap:PreferredStockIncludingAdditionalPaidInCapitalMember2020-12-310001333986us-gaap:CommonStockMember2020-12-310001333986us-gaap:AdditionalPaidInCapitalMember2020-12-310001333986us-gaap:TreasuryStockMember2020-12-310001333986us-gaap:RetainedEarningsMember2</w:t>
      </w:r>
      <w:r>
        <w:rPr>
          <w:rFonts w:eastAsia="Times New Roman"/>
          <w:vanish/>
        </w:rPr>
        <w:t>020-12-310001333986us-gaap:AccumulatedOtherComprehensiveIncomeMember2020-12-310001333986us-gaap:ParentMember2020-12-310001333986us-gaap:NoncontrollingInterestMember2020-12-3100013339862020-12-310001333986us-gaap:AdditionalPaidInCapitalMember2021-01-012021-</w:t>
      </w:r>
      <w:r>
        <w:rPr>
          <w:rFonts w:eastAsia="Times New Roman"/>
          <w:vanish/>
        </w:rPr>
        <w:t>09-300001333986us-gaap:TreasuryStockMember2021-01-012021-09-300001333986us-gaap:ParentMember2021-01-012021-09-300001333986us-gaap:NoncontrollingInterestMember2021-01-012021-09-300001333986us-gaap:RetainedEarningsMember2021-01-012021-09-300001333986us-gaap:</w:t>
      </w:r>
      <w:r>
        <w:rPr>
          <w:rFonts w:eastAsia="Times New Roman"/>
          <w:vanish/>
        </w:rPr>
        <w:t>PreferredStockIncludingAdditionalPaidInCapitalMember2021-01-012021-09-300001333986us-gaap:AccumulatedOtherComprehensiveIncomeMember2021-01-012021-09-30eqh:segment0001333986eqh:AllianceBernsteinMember2022-01-012022-09-30xbrli:pure0001333986eqh:AllianceBerns</w:t>
      </w:r>
      <w:r>
        <w:rPr>
          <w:rFonts w:eastAsia="Times New Roman"/>
          <w:vanish/>
        </w:rPr>
        <w:t>teinMember2021-01-012021-12-310001333986eqh:CarValInvestmentsLPMembereqh:AllianceBernsteinMember2022-09-300001333986eqh:AllianceBernsteinMember2022-07-012022-07-010001333986eqh:AllianceBernsteinMember2022-09-300001333986eqh:CorporateSolutionsLifeReinsuranc</w:t>
      </w:r>
      <w:r>
        <w:rPr>
          <w:rFonts w:eastAsia="Times New Roman"/>
          <w:vanish/>
        </w:rPr>
        <w:t>eCompanyMember2021-06-010001333986eqh:VenerableInsuranceAndAnnuityCompanyMembereqh:CorporateSolutionsLifeReinsuranceCompanyMember2021-06-012021-06-010001333986eqh:VenerableInsuranceAndAnnuityCompanyMembereqh:EquitableFinancialLifeInsuranceCompanyEFLICMembe</w:t>
      </w:r>
      <w:r>
        <w:rPr>
          <w:rFonts w:eastAsia="Times New Roman"/>
          <w:vanish/>
        </w:rPr>
        <w:t>r2021-06-010001333986eqh:CorporateSolutionsLifeReinsuranceCompanyMembereqh:AllianceBernsteinMember2021-06-010001333986us-gaap:GuaranteedMinimumWithdrawalBenefitMembereqh:CorporateSolutionsLifeReinsuranceCompanyMembereqh:AllianceBernsteinMember2021-06-01000</w:t>
      </w:r>
      <w:r>
        <w:rPr>
          <w:rFonts w:eastAsia="Times New Roman"/>
          <w:vanish/>
        </w:rPr>
        <w:t>1333986eqh:EquitableInvestmentManagementGroupLLCMembereqh:VACapitalCompanyLLCMember2021-06-010001333986us-gaap:CollateralizedLoanObligationsMemberus-gaap:VariableInterestEntityPrimaryBeneficiaryMember2022-09-300001333986us-gaap:CollateralizedLoanObligation</w:t>
      </w:r>
      <w:r>
        <w:rPr>
          <w:rFonts w:eastAsia="Times New Roman"/>
          <w:vanish/>
        </w:rPr>
        <w:t>sMemberus-gaap:VariableInterestEntityPrimaryBeneficiaryMember2021-12-310001333986eqh:ConsolidatedLimitedPartnershipsMember2022-09-300001333986eqh:ConsolidatedLimitedPartnershipsMember2021-12-310001333986eqh:ABSponsoredInvestmentFundsMembereqh:ConsolidatedE</w:t>
      </w:r>
      <w:r>
        <w:rPr>
          <w:rFonts w:eastAsia="Times New Roman"/>
          <w:vanish/>
        </w:rPr>
        <w:t>ntityMember2022-09-300001333986eqh:ABSponsoredInvestmentFundsMembereqh:ConsolidatedEntityMember2021-12-310001333986us-gaap:ConsolidatedEntityExcludingVieMembereqh:ABSponsoredInvestmentFundsMember2022-09-300001333986us-gaap:ConsolidatedEntityExcludingVieMem</w:t>
      </w:r>
      <w:r>
        <w:rPr>
          <w:rFonts w:eastAsia="Times New Roman"/>
          <w:vanish/>
        </w:rPr>
        <w:t>bereqh:ABSponsoredInvestmentFundsMember2021-12-310001333986eqh:NonConsolidatedVairableInterestEntitiesVIEMember2022-09-300001333986eqh:NonConsolidatedVairableInterestEntitiesVIEMember2021-12-310001333986eqh:ABSponsoredInvestmentFundsMembereqh:NonConsolidat</w:t>
      </w:r>
      <w:r>
        <w:rPr>
          <w:rFonts w:eastAsia="Times New Roman"/>
          <w:vanish/>
        </w:rPr>
        <w:t>edVairableInterestEntitiesVIEMember2022-09-300001333986eqh:ABSponsoredInvestmentFundsMembereqh:NonConsolidatedVairableInterestEntitiesVIEMember2021-12-310001333986eqh:ABSponsoredInvestmentFundsMembereqh:NonConsolidatedVairableInterestEntitiesVIEMember2022-</w:t>
      </w:r>
      <w:r>
        <w:rPr>
          <w:rFonts w:eastAsia="Times New Roman"/>
          <w:vanish/>
        </w:rPr>
        <w:t>09-300001333986eqh:ABSponsoredInvestmentFundsMembereqh:NonConsolidatedVairableInterestEntitiesVIEMember2021-12-310001333986eqh:LongtermLapsesPartialWithdrawalRatesAndElectionAssumptionsUpdatesMember2022-07-012022-09-300001333986eqh:LongtermLapsesPartialWit</w:t>
      </w:r>
      <w:r>
        <w:rPr>
          <w:rFonts w:eastAsia="Times New Roman"/>
          <w:vanish/>
        </w:rPr>
        <w:t>hdrawalRatesAndElectionAssumptionsUpdatesMember2022-01-012022-09-300001333986eqh:LongtermLapsesPartialWithdrawalRatesAndElectionAssumptionsUpdatesMember2021-07-012021-09-300001333986eqh:LongtermLapsesPartialWithdrawalRatesAndElectionAssumptionsUpdatesMembe</w:t>
      </w:r>
      <w:r>
        <w:rPr>
          <w:rFonts w:eastAsia="Times New Roman"/>
          <w:vanish/>
        </w:rPr>
        <w:t>r2021-01-012021-09-300001333986us-gaap:FixedMaturitiesMember2022-09-300001333986us-gaap:FixedMaturitiesMember2021-12-310001333986us-gaap:FixedMaturitiesMember2022-07-012022-09-300001333986us-gaap:FixedMaturitiesMember2021-01-012021-09-300001333986us-gaap:F</w:t>
      </w:r>
      <w:r>
        <w:rPr>
          <w:rFonts w:eastAsia="Times New Roman"/>
          <w:vanish/>
        </w:rPr>
        <w:t>ixedMaturitiesMember2021-07-012021-09-300001333986us-gaap:FixedMaturitiesMember2022-01-012022-09-300001333986us-gaap:CorporateDebtSecuritiesMember2022-09-300001333986us-gaap:USTreasuryAndGovernmentMember2022-09-300001333986us-gaap:USStatesAndPoliticalSubdi</w:t>
      </w:r>
      <w:r>
        <w:rPr>
          <w:rFonts w:eastAsia="Times New Roman"/>
          <w:vanish/>
        </w:rPr>
        <w:t>visionsMember2022-09-300001333986us-gaap:ForeignGovernmentDebtSecuritiesMember2022-09-300001333986us-gaap:ResidentialMortgageBackedSecuritiesMember2022-09-300001333986us-gaap:AssetBackedSecuritiesMember2022-09-300001333986us-gaap:CommercialMortgageBackedSe</w:t>
      </w:r>
      <w:r>
        <w:rPr>
          <w:rFonts w:eastAsia="Times New Roman"/>
          <w:vanish/>
        </w:rPr>
        <w:t>curitiesMember2022-09-300001333986us-gaap:RedeemablePreferredStockMember2022-09-300001333986us-gaap:CorporateDebtSecuritiesMember2021-12-310001333986us-gaap:USTreasuryAndGovernmentMember2021-12-310001333986us-gaap:USStatesAndPoliticalSubdivisionsMember2021</w:t>
      </w:r>
      <w:r>
        <w:rPr>
          <w:rFonts w:eastAsia="Times New Roman"/>
          <w:vanish/>
        </w:rPr>
        <w:t>-12-310001333986us-gaap:ForeignGovernmentDebtSecuritiesMember2021-12-310001333986us-gaap:ResidentialMortgageBackedSecuritiesMember2021-12-310001333986us-gaap:AssetBackedSecuritiesMember2021-12-310001333986us-gaap:CommercialMortgageBackedSecuritiesMember202</w:t>
      </w:r>
      <w:r>
        <w:rPr>
          <w:rFonts w:eastAsia="Times New Roman"/>
          <w:vanish/>
        </w:rPr>
        <w:t>1-12-310001333986us-gaap:RedeemablePreferredStockMember2021-12-310001333986eqh:NetUnrealizedGainsLossesOnInvestmentsMembereqh:UnrealizedInvestmentGainsLossesAllOtherMemberus-gaap:AccumulatedNetUnrealizedInvestmentGainLossMember2022-06-300001333986eqh:Unrea</w:t>
      </w:r>
      <w:r>
        <w:rPr>
          <w:rFonts w:eastAsia="Times New Roman"/>
          <w:vanish/>
        </w:rPr>
        <w:t>lizedInvestmentGainsLossesAllOtherMembereqh:DacMemberus-gaap:AccumulatedNetUnrealizedInvestmentGainLossMember2022-06-300001333986eqh:PolicyholdersLiabilitiesMembereqh:UnrealizedInvestmentGainsLossesAllOtherMemberus-gaap:AccumulatedNetUnrealizedInvestmentGa</w:t>
      </w:r>
      <w:r>
        <w:rPr>
          <w:rFonts w:eastAsia="Times New Roman"/>
          <w:vanish/>
        </w:rPr>
        <w:t>inLossMember2022-06-300001333986eqh:DeferredIncomeTaxAssetLiabilityMembereqh:UnrealizedInvestmentGainsLossesAllOtherMemberus-gaap:AccumulatedNetUnrealizedInvestmentGainLossMember2022-06-300001333986eqh:AociGainLossesRelatedToNetUnrealizedInvestmentGainsLos</w:t>
      </w:r>
      <w:r>
        <w:rPr>
          <w:rFonts w:eastAsia="Times New Roman"/>
          <w:vanish/>
        </w:rPr>
        <w:t>sesMembereqh:UnrealizedInvestmentGainsLossesAllOtherMemberus-gaap:AccumulatedNetUnrealizedInvestmentGainLossMember2022-06-300001333986eqh:NetUnrealizedGainsLossesOnInvestmentsMembereqh:UnrealizedInvestmentGainsLossesAllOtherMemberus-gaap:AccumulatedNetUnre</w:t>
      </w:r>
      <w:r>
        <w:rPr>
          <w:rFonts w:eastAsia="Times New Roman"/>
          <w:vanish/>
        </w:rPr>
        <w:t>alizedInvestmentGainLossMember2022-07-012022-09-300001333986eqh:AociGainLossesRelatedToNetUnrealizedInvestmentGainsLossesMembereqh:UnrealizedInvestmentGainsLossesAllOtherMemberus-gaap:AccumulatedNetUnrealizedInvestmentGainLossMember2022-07-012022-09-300001</w:t>
      </w:r>
      <w:r>
        <w:rPr>
          <w:rFonts w:eastAsia="Times New Roman"/>
          <w:vanish/>
        </w:rPr>
        <w:t>333986eqh:UnrealizedInvestmentGainsLossesAllOtherMembereqh:DacMemberus-gaap:AccumulatedNetUnrealizedInvestmentGainLossMember2022-07-012022-09-300001333986eqh:PolicyholdersLiabilitiesMembereqh:UnrealizedInvestmentGainsLossesAllOtherMemberus-gaap:Accumulated</w:t>
      </w:r>
      <w:r>
        <w:rPr>
          <w:rFonts w:eastAsia="Times New Roman"/>
          <w:vanish/>
        </w:rPr>
        <w:t>NetUnrealizedInvestmentGainLossMember2022-07-012022-09-300001333986eqh:DeferredIncomeTaxAssetLiabilityMembereqh:UnrealizedInvestmentGainsLossesAllOtherMemberus-gaap:AccumulatedNetUnrealizedInvestmentGainLossMember2022-07-012022-09-300001333986eqh:Unrealize</w:t>
      </w:r>
      <w:r>
        <w:rPr>
          <w:rFonts w:eastAsia="Times New Roman"/>
          <w:vanish/>
        </w:rPr>
        <w:t>dInvestmentGainsLossesAllOtherMembereqh:DacMemberus-gaap:AccumulatedNetUnrealizedInvestmentGainLossMemberus-gaap:FixedMaturitiesMember2022-07-012022-09-300001333986eqh:PolicyholdersLiabilitiesMembereqh:UnrealizedInvestmentGainsLossesAllOtherMemberus-gaap:A</w:t>
      </w:r>
      <w:r>
        <w:rPr>
          <w:rFonts w:eastAsia="Times New Roman"/>
          <w:vanish/>
        </w:rPr>
        <w:t>ccumulatedNetUnrealizedInvestmentGainLossMemberus-gaap:FixedMaturitiesMember2022-07-012022-09-300001333986eqh:DeferredIncomeTaxAssetLiabilityMembereqh:UnrealizedInvestmentGainsLossesAllOtherMemberus-gaap:AccumulatedNetUnrealizedInvestmentGainLossMemberus-g</w:t>
      </w:r>
      <w:r>
        <w:rPr>
          <w:rFonts w:eastAsia="Times New Roman"/>
          <w:vanish/>
        </w:rPr>
        <w:t>aap:FixedMaturitiesMember2022-07-012022-09-300001333986eqh:NetUnrealizedGainsLossesOnInvestmentsMembereqh:UnrealizedInvestmentGainsLossesAllOtherMemberus-gaap:AccumulatedNetUnrealizedInvestmentGainLossMember2022-09-300001333986eqh:UnrealizedInvestmentGains</w:t>
      </w:r>
      <w:r>
        <w:rPr>
          <w:rFonts w:eastAsia="Times New Roman"/>
          <w:vanish/>
        </w:rPr>
        <w:t>LossesAllOtherMembereqh:DacMemberus-gaap:AccumulatedNetUnrealizedInvestmentGainLossMember2022-09-300001333986eqh:PolicyholdersLiabilitiesMembereqh:UnrealizedInvestmentGainsLossesAllOtherMemberus-gaap:AccumulatedNetUnrealizedInvestmentGainLossMember2022-09-</w:t>
      </w:r>
      <w:r>
        <w:rPr>
          <w:rFonts w:eastAsia="Times New Roman"/>
          <w:vanish/>
        </w:rPr>
        <w:t>300001333986eqh:DeferredIncomeTaxAssetLiabilityMembereqh:UnrealizedInvestmentGainsLossesAllOtherMemberus-gaap:AccumulatedNetUnrealizedInvestmentGainLossMember2022-09-300001333986eqh:AociGainLossesRelatedToNetUnrealizedInvestmentGainsLossesMembereqh:Unreali</w:t>
      </w:r>
      <w:r>
        <w:rPr>
          <w:rFonts w:eastAsia="Times New Roman"/>
          <w:vanish/>
        </w:rPr>
        <w:t>zedInvestmentGainsLossesAllOtherMemberus-gaap:AccumulatedNetUnrealizedInvestmentGainLossMember2022-09-300001333986eqh:NetUnrealizedGainsLossesOnInvestmentsMembereqh:UnrealizedInvestmentGainsLossesAllOtherMemberus-gaap:AccumulatedNetUnrealizedInvestmentGain</w:t>
      </w:r>
      <w:r>
        <w:rPr>
          <w:rFonts w:eastAsia="Times New Roman"/>
          <w:vanish/>
        </w:rPr>
        <w:t>LossMember2021-06-300001333986eqh:UnrealizedInvestmentGainsLossesAllOtherMembereqh:DacMemberus-gaap:AccumulatedNetUnrealizedInvestmentGainLossMember2021-06-300001333986eqh:PolicyholdersLiabilitiesMembereqh:UnrealizedInvestmentGainsLossesAllOtherMemberus-ga</w:t>
      </w:r>
      <w:r>
        <w:rPr>
          <w:rFonts w:eastAsia="Times New Roman"/>
          <w:vanish/>
        </w:rPr>
        <w:t>ap:AccumulatedNetUnrealizedInvestmentGainLossMember2021-06-300001333986eqh:DeferredIncomeTaxAssetLiabilityMembereqh:UnrealizedInvestmentGainsLossesAllOtherMemberus-gaap:AccumulatedNetUnrealizedInvestmentGainLossMember2021-06-300001333986eqh:AociGainLossesR</w:t>
      </w:r>
      <w:r>
        <w:rPr>
          <w:rFonts w:eastAsia="Times New Roman"/>
          <w:vanish/>
        </w:rPr>
        <w:t>elatedToNetUnrealizedInvestmentGainsLossesMembereqh:UnrealizedInvestmentGainsLossesAllOtherMemberus-gaap:AccumulatedNetUnrealizedInvestmentGainLossMember2021-06-300001333986eqh:NetUnrealizedGainsLossesOnInvestmentsMembereqh:UnrealizedInvestmentGainsLossesA</w:t>
      </w:r>
      <w:r>
        <w:rPr>
          <w:rFonts w:eastAsia="Times New Roman"/>
          <w:vanish/>
        </w:rPr>
        <w:t>llOtherMemberus-gaap:AccumulatedNetUnrealizedInvestmentGainLossMember2021-07-012021-09-300001333986eqh:AociGainLossesRelatedToNetUnrealizedInvestmentGainsLossesMembereqh:UnrealizedInvestmentGainsLossesAllOtherMemberus-gaap:AccumulatedNetUnrealizedInvestmen</w:t>
      </w:r>
      <w:r>
        <w:rPr>
          <w:rFonts w:eastAsia="Times New Roman"/>
          <w:vanish/>
        </w:rPr>
        <w:t>tGainLossMember2021-07-012021-09-300001333986eqh:UnrealizedInvestmentGainsLossesAllOtherMembereqh:DacMemberus-gaap:AccumulatedNetUnrealizedInvestmentGainLossMember2021-07-012021-09-300001333986eqh:PolicyholdersLiabilitiesMembereqh:UnrealizedInvestmentGains</w:t>
      </w:r>
      <w:r>
        <w:rPr>
          <w:rFonts w:eastAsia="Times New Roman"/>
          <w:vanish/>
        </w:rPr>
        <w:t>LossesAllOtherMemberus-gaap:AccumulatedNetUnrealizedInvestmentGainLossMember2021-07-012021-09-300001333986eqh:DeferredIncomeTaxAssetLiabilityMembereqh:UnrealizedInvestmentGainsLossesAllOtherMemberus-gaap:AccumulatedNetUnrealizedInvestmentGainLossMember2021</w:t>
      </w:r>
      <w:r>
        <w:rPr>
          <w:rFonts w:eastAsia="Times New Roman"/>
          <w:vanish/>
        </w:rPr>
        <w:t>-07-012021-09-300001333986eqh:UnrealizedInvestmentGainsLossesAllOtherMembereqh:DacMemberus-gaap:AccumulatedNetUnrealizedInvestmentGainLossMemberus-gaap:FixedMaturitiesMember2021-07-012021-09-300001333986eqh:PolicyholdersLiabilitiesMembereqh:UnrealizedInves</w:t>
      </w:r>
      <w:r>
        <w:rPr>
          <w:rFonts w:eastAsia="Times New Roman"/>
          <w:vanish/>
        </w:rPr>
        <w:t>tmentGainsLossesAllOtherMemberus-gaap:AccumulatedNetUnrealizedInvestmentGainLossMemberus-gaap:FixedMaturitiesMember2021-07-012021-09-300001333986eqh:DeferredIncomeTaxAssetLiabilityMembereqh:UnrealizedInvestmentGainsLossesAllOtherMemberus-gaap:AccumulatedNe</w:t>
      </w:r>
      <w:r>
        <w:rPr>
          <w:rFonts w:eastAsia="Times New Roman"/>
          <w:vanish/>
        </w:rPr>
        <w:t>tUnrealizedInvestmentGainLossMemberus-gaap:FixedMaturitiesMember2021-07-012021-09-300001333986eqh:NetUnrealizedGainsLossesOnInvestmentsMembereqh:UnrealizedInvestmentGainsLossesAllOtherMemberus-gaap:AccumulatedNetUnrealizedInvestmentGainLossMember2021-09-30</w:t>
      </w:r>
      <w:r>
        <w:rPr>
          <w:rFonts w:eastAsia="Times New Roman"/>
          <w:vanish/>
        </w:rPr>
        <w:t>0001333986eqh:UnrealizedInvestmentGainsLossesAllOtherMembereqh:DacMemberus-gaap:AccumulatedNetUnrealizedInvestmentGainLossMember2021-09-300001333986eqh:PolicyholdersLiabilitiesMembereqh:UnrealizedInvestmentGainsLossesAllOtherMemberus-gaap:AccumulatedNetUnr</w:t>
      </w:r>
      <w:r>
        <w:rPr>
          <w:rFonts w:eastAsia="Times New Roman"/>
          <w:vanish/>
        </w:rPr>
        <w:t>ealizedInvestmentGainLossMember2021-09-300001333986eqh:DeferredIncomeTaxAssetLiabilityMembereqh:UnrealizedInvestmentGainsLossesAllOtherMemberus-gaap:AccumulatedNetUnrealizedInvestmentGainLossMember2021-09-300001333986eqh:AociGainLossesRelatedToNetUnrealize</w:t>
      </w:r>
      <w:r>
        <w:rPr>
          <w:rFonts w:eastAsia="Times New Roman"/>
          <w:vanish/>
        </w:rPr>
        <w:t>dInvestmentGainsLossesMembereqh:UnrealizedInvestmentGainsLossesAllOtherMemberus-gaap:AccumulatedNetUnrealizedInvestmentGainLossMember2021-09-300001333986eqh:NetUnrealizedGainsLossesOnInvestmentsMembereqh:UnrealizedInvestmentGainsLossesAllOtherMemberus-gaap</w:t>
      </w:r>
      <w:r>
        <w:rPr>
          <w:rFonts w:eastAsia="Times New Roman"/>
          <w:vanish/>
        </w:rPr>
        <w:t>:AccumulatedNetUnrealizedInvestmentGainLossMember2021-12-310001333986eqh:UnrealizedInvestmentGainsLossesAllOtherMembereqh:DacMemberus-gaap:AccumulatedNetUnrealizedInvestmentGainLossMember2021-12-310001333986eqh:PolicyholdersLiabilitiesMembereqh:UnrealizedI</w:t>
      </w:r>
      <w:r>
        <w:rPr>
          <w:rFonts w:eastAsia="Times New Roman"/>
          <w:vanish/>
        </w:rPr>
        <w:t>nvestmentGainsLossesAllOtherMemberus-gaap:AccumulatedNetUnrealizedInvestmentGainLossMember2021-12-310001333986eqh:DeferredIncomeTaxAssetLiabilityMembereqh:UnrealizedInvestmentGainsLossesAllOtherMemberus-gaap:AccumulatedNetUnrealizedInvestmentGainLossMember</w:t>
      </w:r>
      <w:r>
        <w:rPr>
          <w:rFonts w:eastAsia="Times New Roman"/>
          <w:vanish/>
        </w:rPr>
        <w:t>2021-12-310001333986eqh:AociGainLossesRelatedToNetUnrealizedInvestmentGainsLossesMembereqh:UnrealizedInvestmentGainsLossesAllOtherMemberus-gaap:AccumulatedNetUnrealizedInvestmentGainLossMember2021-12-310001333986eqh:NetUnrealizedGainsLossesOnInvestmentsMem</w:t>
      </w:r>
      <w:r>
        <w:rPr>
          <w:rFonts w:eastAsia="Times New Roman"/>
          <w:vanish/>
        </w:rPr>
        <w:t>bereqh:UnrealizedInvestmentGainsLossesAllOtherMemberus-gaap:AccumulatedNetUnrealizedInvestmentGainLossMember2022-01-012022-09-300001333986eqh:AociGainLossesRelatedToNetUnrealizedInvestmentGainsLossesMembereqh:UnrealizedInvestmentGainsLossesAllOtherMemberus</w:t>
      </w:r>
      <w:r>
        <w:rPr>
          <w:rFonts w:eastAsia="Times New Roman"/>
          <w:vanish/>
        </w:rPr>
        <w:t>-gaap:AccumulatedNetUnrealizedInvestmentGainLossMember2022-01-012022-09-300001333986eqh:UnrealizedInvestmentGainsLossesAllOtherMembereqh:DacMemberus-gaap:AccumulatedNetUnrealizedInvestmentGainLossMember2022-01-012022-09-300001333986eqh:PolicyholdersLiabili</w:t>
      </w:r>
      <w:r>
        <w:rPr>
          <w:rFonts w:eastAsia="Times New Roman"/>
          <w:vanish/>
        </w:rPr>
        <w:t>tiesMembereqh:UnrealizedInvestmentGainsLossesAllOtherMemberus-gaap:AccumulatedNetUnrealizedInvestmentGainLossMember2022-01-012022-09-300001333986eqh:DeferredIncomeTaxAssetLiabilityMembereqh:UnrealizedInvestmentGainsLossesAllOtherMemberus-gaap:AccumulatedNe</w:t>
      </w:r>
      <w:r>
        <w:rPr>
          <w:rFonts w:eastAsia="Times New Roman"/>
          <w:vanish/>
        </w:rPr>
        <w:t>tUnrealizedInvestmentGainLossMember2022-01-012022-09-300001333986eqh:UnrealizedInvestmentGainsLossesAllOtherMembereqh:DacMemberus-gaap:AccumulatedNetUnrealizedInvestmentGainLossMemberus-gaap:FixedMaturitiesMember2022-01-012022-09-300001333986eqh:Policyhold</w:t>
      </w:r>
      <w:r>
        <w:rPr>
          <w:rFonts w:eastAsia="Times New Roman"/>
          <w:vanish/>
        </w:rPr>
        <w:t>ersLiabilitiesMembereqh:UnrealizedInvestmentGainsLossesAllOtherMemberus-gaap:AccumulatedNetUnrealizedInvestmentGainLossMemberus-gaap:FixedMaturitiesMember2022-01-012022-09-300001333986eqh:DeferredIncomeTaxAssetLiabilityMembereqh:UnrealizedInvestmentGainsLo</w:t>
      </w:r>
      <w:r>
        <w:rPr>
          <w:rFonts w:eastAsia="Times New Roman"/>
          <w:vanish/>
        </w:rPr>
        <w:t>ssesAllOtherMemberus-gaap:AccumulatedNetUnrealizedInvestmentGainLossMemberus-gaap:FixedMaturitiesMember2022-01-012022-09-300001333986eqh:NetUnrealizedGainsLossesOnInvestmentsMembereqh:UnrealizedInvestmentGainsLossesAllOtherMemberus-gaap:AccumulatedNetUnrea</w:t>
      </w:r>
      <w:r>
        <w:rPr>
          <w:rFonts w:eastAsia="Times New Roman"/>
          <w:vanish/>
        </w:rPr>
        <w:t>lizedInvestmentGainLossMember2020-12-310001333986eqh:UnrealizedInvestmentGainsLossesAllOtherMembereqh:DacMemberus-gaap:AccumulatedNetUnrealizedInvestmentGainLossMember2020-12-310001333986eqh:PolicyholdersLiabilitiesMembereqh:UnrealizedInvestmentGainsLosses</w:t>
      </w:r>
      <w:r>
        <w:rPr>
          <w:rFonts w:eastAsia="Times New Roman"/>
          <w:vanish/>
        </w:rPr>
        <w:t>AllOtherMemberus-gaap:AccumulatedNetUnrealizedInvestmentGainLossMember2020-12-310001333986eqh:DeferredIncomeTaxAssetLiabilityMembereqh:UnrealizedInvestmentGainsLossesAllOtherMemberus-gaap:AccumulatedNetUnrealizedInvestmentGainLossMember2020-12-310001333986</w:t>
      </w:r>
      <w:r>
        <w:rPr>
          <w:rFonts w:eastAsia="Times New Roman"/>
          <w:vanish/>
        </w:rPr>
        <w:t>eqh:AociGainLossesRelatedToNetUnrealizedInvestmentGainsLossesMembereqh:UnrealizedInvestmentGainsLossesAllOtherMemberus-gaap:AccumulatedNetUnrealizedInvestmentGainLossMember2020-12-310001333986eqh:NetUnrealizedGainsLossesOnInvestmentsMembereqh:UnrealizedInv</w:t>
      </w:r>
      <w:r>
        <w:rPr>
          <w:rFonts w:eastAsia="Times New Roman"/>
          <w:vanish/>
        </w:rPr>
        <w:t>estmentGainsLossesAllOtherMemberus-gaap:AccumulatedNetUnrealizedInvestmentGainLossMember2021-01-012021-09-300001333986eqh:AociGainLossesRelatedToNetUnrealizedInvestmentGainsLossesMembereqh:UnrealizedInvestmentGainsLossesAllOtherMemberus-gaap:AccumulatedNet</w:t>
      </w:r>
      <w:r>
        <w:rPr>
          <w:rFonts w:eastAsia="Times New Roman"/>
          <w:vanish/>
        </w:rPr>
        <w:t>UnrealizedInvestmentGainLossMember2021-01-012021-09-300001333986eqh:UnrealizedInvestmentGainsLossesAllOtherMembereqh:DacMemberus-gaap:AccumulatedNetUnrealizedInvestmentGainLossMember2021-01-012021-09-300001333986eqh:PolicyholdersLiabilitiesMembereqh:Unreal</w:t>
      </w:r>
      <w:r>
        <w:rPr>
          <w:rFonts w:eastAsia="Times New Roman"/>
          <w:vanish/>
        </w:rPr>
        <w:t>izedInvestmentGainsLossesAllOtherMemberus-gaap:AccumulatedNetUnrealizedInvestmentGainLossMember2021-01-012021-09-300001333986eqh:DeferredIncomeTaxAssetLiabilityMembereqh:UnrealizedInvestmentGainsLossesAllOtherMemberus-gaap:AccumulatedNetUnrealizedInvestmen</w:t>
      </w:r>
      <w:r>
        <w:rPr>
          <w:rFonts w:eastAsia="Times New Roman"/>
          <w:vanish/>
        </w:rPr>
        <w:t>tGainLossMember2021-01-012021-09-300001333986eqh:UnrealizedInvestmentGainsLossesAllOtherMembereqh:DacMemberus-gaap:AccumulatedNetUnrealizedInvestmentGainLossMemberus-gaap:FixedMaturitiesMember2021-01-012021-09-300001333986eqh:PolicyholdersLiabilitiesMember</w:t>
      </w:r>
      <w:r>
        <w:rPr>
          <w:rFonts w:eastAsia="Times New Roman"/>
          <w:vanish/>
        </w:rPr>
        <w:t>eqh:UnrealizedInvestmentGainsLossesAllOtherMemberus-gaap:AccumulatedNetUnrealizedInvestmentGainLossMemberus-gaap:FixedMaturitiesMember2021-01-012021-09-300001333986eqh:DeferredIncomeTaxAssetLiabilityMembereqh:UnrealizedInvestmentGainsLossesAllOtherMemberus</w:t>
      </w:r>
      <w:r>
        <w:rPr>
          <w:rFonts w:eastAsia="Times New Roman"/>
          <w:vanish/>
        </w:rPr>
        <w:t>-gaap:AccumulatedNetUnrealizedInvestmentGainLossMemberus-gaap:FixedMaturitiesMember2021-01-012021-09-30eqh:issue0001333986eqh:OtherThanInvestmentGradeMemberus-gaap:ExternalCreditRatingNonInvestmentGradeMemberus-gaap:FixedMaturitiesMember2022-09-30000133398</w:t>
      </w:r>
      <w:r>
        <w:rPr>
          <w:rFonts w:eastAsia="Times New Roman"/>
          <w:vanish/>
        </w:rPr>
        <w:t>6eqh:OtherThanInvestmentGradeMemberus-gaap:ExternalCreditRatingNonInvestmentGradeMemberus-gaap:FixedMaturitiesMember2021-12-310001333986us-gaap:CommercialLoanMember2022-09-300001333986eqh:AgriculturalMortgageLoansMember2022-09-300001333986us-gaap:Commercia</w:t>
      </w:r>
      <w:r>
        <w:rPr>
          <w:rFonts w:eastAsia="Times New Roman"/>
          <w:vanish/>
        </w:rPr>
        <w:t>lLoanMember2021-12-310001333986eqh:AgriculturalMortgageLoansMember2021-12-310001333986us-gaap:CommercialLoanMember2021-01-012021-09-300001333986eqh:AgriculturalMortgageLoansMember2021-01-012021-09-300001333986us-gaap:CommercialLoanMember2022-01-012022-09-3</w:t>
      </w:r>
      <w:r>
        <w:rPr>
          <w:rFonts w:eastAsia="Times New Roman"/>
          <w:vanish/>
        </w:rPr>
        <w:t>00001333986eqh:AgriculturalMortgageLoansMember2022-01-012022-09-300001333986eqh:IndividuallyAssessedMortgageLoansMember2022-09-300001333986us-gaap:CommercialLoanMember2022-06-300001333986us-gaap:CommercialLoanMember2021-06-300001333986us-gaap:CommercialLoa</w:t>
      </w:r>
      <w:r>
        <w:rPr>
          <w:rFonts w:eastAsia="Times New Roman"/>
          <w:vanish/>
        </w:rPr>
        <w:t>nMember2020-12-310001333986us-gaap:CommercialLoanMember2022-07-012022-09-300001333986us-gaap:CommercialLoanMember2021-07-012021-09-300001333986us-gaap:CommercialLoanMember2021-09-300001333986eqh:AgriculturalMortgageLoansMember2022-06-300001333986eqh:Agricu</w:t>
      </w:r>
      <w:r>
        <w:rPr>
          <w:rFonts w:eastAsia="Times New Roman"/>
          <w:vanish/>
        </w:rPr>
        <w:t>lturalMortgageLoansMember2021-06-300001333986eqh:AgriculturalMortgageLoansMember2020-12-310001333986eqh:AgriculturalMortgageLoansMember2022-07-012022-09-300001333986eqh:AgriculturalMortgageLoansMember2021-07-012021-09-300001333986eqh:AgriculturalMortgageLo</w:t>
      </w:r>
      <w:r>
        <w:rPr>
          <w:rFonts w:eastAsia="Times New Roman"/>
          <w:vanish/>
        </w:rPr>
        <w:t>ansMember2021-09-300001333986us-gaap:CommercialLoanMembereqh:ZeroToFiftyPercentMember2022-09-300001333986us-gaap:CommercialLoanMembereqh:FiftyToSeventyPercentMember2022-09-300001333986us-gaap:CommercialLoanMembereqh:SeventyToNinetyPercentMember2022-09-3000</w:t>
      </w:r>
      <w:r>
        <w:rPr>
          <w:rFonts w:eastAsia="Times New Roman"/>
          <w:vanish/>
        </w:rPr>
        <w:t>01333986us-gaap:CommercialLoanMembereqh:MoreThanNinetyPercentMember2022-09-300001333986eqh:ZeroToFiftyPercentMembereqh:AgriculturalMortgageLoansMember2022-09-300001333986eqh:FiftyToSeventyPercentMembereqh:AgriculturalMortgageLoansMember2022-09-300001333986</w:t>
      </w:r>
      <w:r>
        <w:rPr>
          <w:rFonts w:eastAsia="Times New Roman"/>
          <w:vanish/>
        </w:rPr>
        <w:t>eqh:SeventyToNinetyPercentMembereqh:AgriculturalMortgageLoansMember2022-09-300001333986eqh:MoreThanNinetyPercentMembereqh:AgriculturalMortgageLoansMember2022-09-300001333986eqh:ZeroToFiftyPercentMembereqh:TotalMortgagesLoanMember2022-09-300001333986eqh:Fif</w:t>
      </w:r>
      <w:r>
        <w:rPr>
          <w:rFonts w:eastAsia="Times New Roman"/>
          <w:vanish/>
        </w:rPr>
        <w:t>tyToSeventyPercentMembereqh:TotalMortgagesLoanMember2022-09-300001333986eqh:SeventyToNinetyPercentMembereqh:TotalMortgagesLoanMember2022-09-300001333986eqh:MoreThanNinetyPercentMembereqh:TotalMortgagesLoanMember2022-09-300001333986eqh:TotalMortgagesLoanMem</w:t>
      </w:r>
      <w:r>
        <w:rPr>
          <w:rFonts w:eastAsia="Times New Roman"/>
          <w:vanish/>
        </w:rPr>
        <w:t>ber2022-09-300001333986eqh:RatioGreaterThan2TimesMemberus-gaap:CommercialLoanMember2022-09-300001333986us-gaap:CommercialLoanMembereqh:RatioBetween18To2TimesMember2022-09-300001333986us-gaap:CommercialLoanMembereqh:RatioBetween15To18TimesMember2022-09-3000</w:t>
      </w:r>
      <w:r>
        <w:rPr>
          <w:rFonts w:eastAsia="Times New Roman"/>
          <w:vanish/>
        </w:rPr>
        <w:t>01333986us-gaap:CommercialLoanMembereqh:RatioBetween12To15TimesMember2022-09-300001333986us-gaap:CommercialLoanMembereqh:RatioBetween1To12TimesMember2022-09-300001333986us-gaap:CommercialLoanMembereqh:RatioLessThan1TimesMember2022-09-300001333986eqh:RatioG</w:t>
      </w:r>
      <w:r>
        <w:rPr>
          <w:rFonts w:eastAsia="Times New Roman"/>
          <w:vanish/>
        </w:rPr>
        <w:t>reaterThan2TimesMembereqh:AgriculturalMortgageLoansMember2022-09-300001333986eqh:AgriculturalMortgageLoansMembereqh:RatioBetween18To2TimesMember2022-09-300001333986eqh:AgriculturalMortgageLoansMembereqh:RatioBetween15To18TimesMember2022-09-300001333986eqh:</w:t>
      </w:r>
      <w:r>
        <w:rPr>
          <w:rFonts w:eastAsia="Times New Roman"/>
          <w:vanish/>
        </w:rPr>
        <w:t>AgriculturalMortgageLoansMembereqh:RatioBetween12To15TimesMember2022-09-300001333986eqh:RatioBetween1To12TimesMembereqh:AgriculturalMortgageLoansMember2022-09-300001333986eqh:AgriculturalMortgageLoansMembereqh:RatioLessThan1TimesMember2022-09-300001333986e</w:t>
      </w:r>
      <w:r>
        <w:rPr>
          <w:rFonts w:eastAsia="Times New Roman"/>
          <w:vanish/>
        </w:rPr>
        <w:t>qh:RatioGreaterThan2TimesMembereqh:TotalMortgagesLoanMember2022-09-300001333986eqh:TotalMortgagesLoanMembereqh:RatioBetween18To2TimesMember2022-09-300001333986eqh:RatioBetween15To18TimesMembereqh:TotalMortgagesLoanMember2022-09-300001333986eqh:TotalMortgag</w:t>
      </w:r>
      <w:r>
        <w:rPr>
          <w:rFonts w:eastAsia="Times New Roman"/>
          <w:vanish/>
        </w:rPr>
        <w:t>esLoanMembereqh:RatioBetween12To15TimesMember2022-09-300001333986eqh:RatioBetween1To12TimesMembereqh:TotalMortgagesLoanMember2022-09-300001333986eqh:RatioLessThan1TimesMembereqh:TotalMortgagesLoanMember2022-09-300001333986us-gaap:CommercialLoanMembereqh:Ze</w:t>
      </w:r>
      <w:r>
        <w:rPr>
          <w:rFonts w:eastAsia="Times New Roman"/>
          <w:vanish/>
        </w:rPr>
        <w:t>roToFiftyPercentMember2021-12-310001333986us-gaap:CommercialLoanMembereqh:FiftyToSeventyPercentMember2021-12-310001333986us-gaap:CommercialLoanMembereqh:SeventyToNinetyPercentMember2021-12-310001333986us-gaap:CommercialLoanMembereqh:MoreThanNinetyPercentMe</w:t>
      </w:r>
      <w:r>
        <w:rPr>
          <w:rFonts w:eastAsia="Times New Roman"/>
          <w:vanish/>
        </w:rPr>
        <w:t>mber2021-12-310001333986eqh:ZeroToFiftyPercentMembereqh:AgriculturalMortgageLoansMember2021-12-310001333986eqh:FiftyToSeventyPercentMembereqh:AgriculturalMortgageLoansMember2021-12-310001333986eqh:SeventyToNinetyPercentMembereqh:AgriculturalMortgageLoansMe</w:t>
      </w:r>
      <w:r>
        <w:rPr>
          <w:rFonts w:eastAsia="Times New Roman"/>
          <w:vanish/>
        </w:rPr>
        <w:t>mber2021-12-310001333986eqh:MoreThanNinetyPercentMembereqh:AgriculturalMortgageLoansMember2021-12-310001333986eqh:ZeroToFiftyPercentMembereqh:TotalMortgagesLoanMember2021-12-310001333986eqh:FiftyToSeventyPercentMembereqh:TotalMortgagesLoanMember2021-12-310</w:t>
      </w:r>
      <w:r>
        <w:rPr>
          <w:rFonts w:eastAsia="Times New Roman"/>
          <w:vanish/>
        </w:rPr>
        <w:t>001333986eqh:SeventyToNinetyPercentMembereqh:TotalMortgagesLoanMember2021-12-310001333986eqh:MoreThanNinetyPercentMembereqh:TotalMortgagesLoanMember2021-12-310001333986eqh:TotalMortgagesLoanMember2021-12-310001333986eqh:RatioGreaterThan2TimesMemberus-gaap:</w:t>
      </w:r>
      <w:r>
        <w:rPr>
          <w:rFonts w:eastAsia="Times New Roman"/>
          <w:vanish/>
        </w:rPr>
        <w:t>CommercialLoanMember2021-12-310001333986us-gaap:CommercialLoanMembereqh:RatioBetween18To2TimesMember2021-12-310001333986us-gaap:CommercialLoanMembereqh:RatioBetween15To18TimesMember2021-12-310001333986us-gaap:CommercialLoanMembereqh:RatioBetween12To15Times</w:t>
      </w:r>
      <w:r>
        <w:rPr>
          <w:rFonts w:eastAsia="Times New Roman"/>
          <w:vanish/>
        </w:rPr>
        <w:t>Member2021-12-310001333986us-gaap:CommercialLoanMembereqh:RatioBetween1To12TimesMember2021-12-310001333986us-gaap:CommercialLoanMembereqh:RatioLessThan1TimesMember2021-12-310001333986eqh:RatioGreaterThan2TimesMembereqh:AgriculturalMortgageLoansMember2021-1</w:t>
      </w:r>
      <w:r>
        <w:rPr>
          <w:rFonts w:eastAsia="Times New Roman"/>
          <w:vanish/>
        </w:rPr>
        <w:t>2-310001333986eqh:AgriculturalMortgageLoansMembereqh:RatioBetween18To2TimesMember2021-12-310001333986eqh:AgriculturalMortgageLoansMembereqh:RatioBetween15To18TimesMember2021-12-310001333986eqh:AgriculturalMortgageLoansMembereqh:RatioBetween12To15TimesMembe</w:t>
      </w:r>
      <w:r>
        <w:rPr>
          <w:rFonts w:eastAsia="Times New Roman"/>
          <w:vanish/>
        </w:rPr>
        <w:t>r2021-12-310001333986eqh:RatioBetween1To12TimesMembereqh:AgriculturalMortgageLoansMember2021-12-310001333986eqh:AgriculturalMortgageLoansMembereqh:RatioLessThan1TimesMember2021-12-310001333986eqh:RatioGreaterThan2TimesMembereqh:TotalMortgagesLoanMember2021</w:t>
      </w:r>
      <w:r>
        <w:rPr>
          <w:rFonts w:eastAsia="Times New Roman"/>
          <w:vanish/>
        </w:rPr>
        <w:t>-12-310001333986eqh:TotalMortgagesLoanMembereqh:RatioBetween18To2TimesMember2021-12-310001333986eqh:RatioBetween15To18TimesMembereqh:TotalMortgagesLoanMember2021-12-310001333986eqh:TotalMortgagesLoanMembereqh:RatioBetween12To15TimesMember2021-12-3100013339</w:t>
      </w:r>
      <w:r>
        <w:rPr>
          <w:rFonts w:eastAsia="Times New Roman"/>
          <w:vanish/>
        </w:rPr>
        <w:t>86eqh:RatioBetween1To12TimesMembereqh:TotalMortgagesLoanMember2021-12-310001333986eqh:RatioLessThan1TimesMembereqh:TotalMortgagesLoanMember2021-12-310001333986us-gaap:CommercialLoanMemberus-gaap:FinancingReceivables30To59DaysPastDueMember2022-09-3000013339</w:t>
      </w:r>
      <w:r>
        <w:rPr>
          <w:rFonts w:eastAsia="Times New Roman"/>
          <w:vanish/>
        </w:rPr>
        <w:t>86us-gaap:CommercialLoanMemberus-gaap:FinancingReceivables60To89DaysPastDueMember2022-09-300001333986us-gaap:FinancingReceivablesEqualToGreaterThan90DaysPastDueMemberus-gaap:CommercialLoanMember2022-09-300001333986us-gaap:CommercialLoanMemberus-gaap:Financ</w:t>
      </w:r>
      <w:r>
        <w:rPr>
          <w:rFonts w:eastAsia="Times New Roman"/>
          <w:vanish/>
        </w:rPr>
        <w:t>ialAssetPastDueMember2022-09-300001333986us-gaap:CommercialLoanMemberus-gaap:FinancialAssetNotPastDueMember2022-09-300001333986eqh:AgriculturalMortgageLoansMemberus-gaap:FinancingReceivables30To59DaysPastDueMember2022-09-300001333986us-gaap:FinancingReceiv</w:t>
      </w:r>
      <w:r>
        <w:rPr>
          <w:rFonts w:eastAsia="Times New Roman"/>
          <w:vanish/>
        </w:rPr>
        <w:t>ables60To89DaysPastDueMembereqh:AgriculturalMortgageLoansMember2022-09-300001333986us-gaap:FinancingReceivablesEqualToGreaterThan90DaysPastDueMembereqh:AgriculturalMortgageLoansMember2022-09-300001333986eqh:AgriculturalMortgageLoansMemberus-gaap:FinancialA</w:t>
      </w:r>
      <w:r>
        <w:rPr>
          <w:rFonts w:eastAsia="Times New Roman"/>
          <w:vanish/>
        </w:rPr>
        <w:t>ssetPastDueMember2022-09-300001333986eqh:AgriculturalMortgageLoansMemberus-gaap:FinancialAssetNotPastDueMember2022-09-300001333986us-gaap:FinancingReceivables30To59DaysPastDueMember2022-09-300001333986us-gaap:FinancingReceivables60To89DaysPastDueMember2022</w:t>
      </w:r>
      <w:r>
        <w:rPr>
          <w:rFonts w:eastAsia="Times New Roman"/>
          <w:vanish/>
        </w:rPr>
        <w:t>-09-300001333986us-gaap:FinancingReceivablesEqualToGreaterThan90DaysPastDueMember2022-09-300001333986us-gaap:FinancialAssetPastDueMember2022-09-300001333986us-gaap:FinancialAssetNotPastDueMember2022-09-300001333986us-gaap:CommercialLoanMemberus-gaap:Financ</w:t>
      </w:r>
      <w:r>
        <w:rPr>
          <w:rFonts w:eastAsia="Times New Roman"/>
          <w:vanish/>
        </w:rPr>
        <w:t>ingReceivables30To59DaysPastDueMember2021-12-310001333986us-gaap:CommercialLoanMemberus-gaap:FinancingReceivables60To89DaysPastDueMember2021-12-310001333986us-gaap:FinancingReceivablesEqualToGreaterThan90DaysPastDueMemberus-gaap:CommercialLoanMember2021-12</w:t>
      </w:r>
      <w:r>
        <w:rPr>
          <w:rFonts w:eastAsia="Times New Roman"/>
          <w:vanish/>
        </w:rPr>
        <w:t>-310001333986us-gaap:CommercialLoanMemberus-gaap:FinancialAssetPastDueMember2021-12-310001333986us-gaap:CommercialLoanMemberus-gaap:FinancialAssetNotPastDueMember2021-12-310001333986us-gaap:CommercialLoanMember2021-01-012021-12-310001333986eqh:Agricultural</w:t>
      </w:r>
      <w:r>
        <w:rPr>
          <w:rFonts w:eastAsia="Times New Roman"/>
          <w:vanish/>
        </w:rPr>
        <w:t>MortgageLoansMemberus-gaap:FinancingReceivables30To59DaysPastDueMember2021-12-310001333986us-gaap:FinancingReceivables60To89DaysPastDueMembereqh:AgriculturalMortgageLoansMember2021-12-310001333986us-gaap:FinancingReceivablesEqualToGreaterThan90DaysPastDueM</w:t>
      </w:r>
      <w:r>
        <w:rPr>
          <w:rFonts w:eastAsia="Times New Roman"/>
          <w:vanish/>
        </w:rPr>
        <w:t>embereqh:AgriculturalMortgageLoansMember2021-12-310001333986eqh:AgriculturalMortgageLoansMemberus-gaap:FinancialAssetPastDueMember2021-12-310001333986eqh:AgriculturalMortgageLoansMemberus-gaap:FinancialAssetNotPastDueMember2021-12-310001333986eqh:Agricultu</w:t>
      </w:r>
      <w:r>
        <w:rPr>
          <w:rFonts w:eastAsia="Times New Roman"/>
          <w:vanish/>
        </w:rPr>
        <w:t>ralMortgageLoansMember2021-01-012021-12-310001333986us-gaap:FinancingReceivables30To59DaysPastDueMember2021-12-310001333986us-gaap:FinancingReceivables60To89DaysPastDueMember2021-12-310001333986us-gaap:FinancingReceivablesEqualToGreaterThan90DaysPastDueMem</w:t>
      </w:r>
      <w:r>
        <w:rPr>
          <w:rFonts w:eastAsia="Times New Roman"/>
          <w:vanish/>
        </w:rPr>
        <w:t>ber2021-12-310001333986us-gaap:FinancialAssetPastDueMember2021-12-310001333986us-gaap:FinancialAssetNotPastDueMember2021-12-3100013339862021-01-012021-12-310001333986us-gaap:FairValueMeasurementsRecurringMember2022-09-300001333986us-gaap:FairValueMeasureme</w:t>
      </w:r>
      <w:r>
        <w:rPr>
          <w:rFonts w:eastAsia="Times New Roman"/>
          <w:vanish/>
        </w:rPr>
        <w:t>ntsRecurringMember2021-12-310001333986us-gaap:CurrencySwapMemberus-gaap:CashFlowHedgingMemberus-gaap:DesignatedAsHedgingInstrumentMember2022-09-300001333986us-gaap:CurrencySwapMemberus-gaap:CashFlowHedgingMemberus-gaap:DesignatedAsHedgingInstrumentMember20</w:t>
      </w:r>
      <w:r>
        <w:rPr>
          <w:rFonts w:eastAsia="Times New Roman"/>
          <w:vanish/>
        </w:rPr>
        <w:t>21-12-310001333986us-gaap:CashFlowHedgingMemberus-gaap:InterestRateSwapMemberus-gaap:DesignatedAsHedgingInstrumentMember2022-09-300001333986us-gaap:CashFlowHedgingMemberus-gaap:InterestRateSwapMemberus-gaap:DesignatedAsHedgingInstrumentMember2021-12-310001</w:t>
      </w:r>
      <w:r>
        <w:rPr>
          <w:rFonts w:eastAsia="Times New Roman"/>
          <w:vanish/>
        </w:rPr>
        <w:t>333986us-gaap:CashFlowHedgingMemberus-gaap:DesignatedAsHedgingInstrumentMember2022-09-300001333986us-gaap:CashFlowHedgingMemberus-gaap:DesignatedAsHedgingInstrumentMember2021-12-310001333986eqh:EquityFuturesMemberus-gaap:NondesignatedMember2022-09-30000133</w:t>
      </w:r>
      <w:r>
        <w:rPr>
          <w:rFonts w:eastAsia="Times New Roman"/>
          <w:vanish/>
        </w:rPr>
        <w:t>3986eqh:EquityFuturesMemberus-gaap:NondesignatedMember2021-12-310001333986us-gaap:EquitySwapMemberus-gaap:NondesignatedMember2022-09-300001333986us-gaap:EquitySwapMemberus-gaap:NondesignatedMember2021-12-310001333986us-gaap:NondesignatedMemberus-gaap:Stock</w:t>
      </w:r>
      <w:r>
        <w:rPr>
          <w:rFonts w:eastAsia="Times New Roman"/>
          <w:vanish/>
        </w:rPr>
        <w:t>OptionMember2022-09-300001333986us-gaap:NondesignatedMemberus-gaap:StockOptionMember2021-12-310001333986us-gaap:NondesignatedMembereqh:InterestRateFuturesMember2022-09-300001333986us-gaap:NondesignatedMembereqh:InterestRateFuturesMember2021-12-310001333986</w:t>
      </w:r>
      <w:r>
        <w:rPr>
          <w:rFonts w:eastAsia="Times New Roman"/>
          <w:vanish/>
        </w:rPr>
        <w:t>us-gaap:NondesignatedMemberus-gaap:InterestRateSwapMember2022-09-300001333986us-gaap:NondesignatedMemberus-gaap:InterestRateSwapMember2021-12-310001333986us-gaap:NondesignatedMemberus-gaap:InterestRateSwaptionMember2022-09-300001333986us-gaap:Nondesignated</w:t>
      </w:r>
      <w:r>
        <w:rPr>
          <w:rFonts w:eastAsia="Times New Roman"/>
          <w:vanish/>
        </w:rPr>
        <w:t>Memberus-gaap:InterestRateSwaptionMember2021-12-310001333986us-gaap:NondesignatedMemberus-gaap:CreditDefaultSwapMember2022-09-300001333986us-gaap:NondesignatedMemberus-gaap:CreditDefaultSwapMember2021-12-310001333986us-gaap:CurrencySwapMemberus-gaap:Nondes</w:t>
      </w:r>
      <w:r>
        <w:rPr>
          <w:rFonts w:eastAsia="Times New Roman"/>
          <w:vanish/>
        </w:rPr>
        <w:t>ignatedMember2022-09-300001333986us-gaap:CurrencySwapMemberus-gaap:NondesignatedMember2021-12-310001333986us-gaap:NondesignatedMembereqh:CurrencyFowardMember2022-09-300001333986us-gaap:NondesignatedMembereqh:CurrencyFowardMember2021-12-310001333986us-gaap:</w:t>
      </w:r>
      <w:r>
        <w:rPr>
          <w:rFonts w:eastAsia="Times New Roman"/>
          <w:vanish/>
        </w:rPr>
        <w:t>NondesignatedMembereqh:MarginMember2022-09-300001333986us-gaap:NondesignatedMembereqh:MarginMember2021-12-310001333986us-gaap:CollateralizedSecuritiesMemberus-gaap:NondesignatedMember2022-09-300001333986us-gaap:CollateralizedSecuritiesMemberus-gaap:Nondesi</w:t>
      </w:r>
      <w:r>
        <w:rPr>
          <w:rFonts w:eastAsia="Times New Roman"/>
          <w:vanish/>
        </w:rPr>
        <w:t>gnatedMember2021-12-310001333986us-gaap:NondesignatedMember2022-09-300001333986us-gaap:NondesignatedMember2021-12-310001333986eqh:EmbeddedDerivativeDueFromReinsuranceReinsurersMember2022-09-300001333986eqh:EmbeddedDerivativeDueFromReinsuranceReinsurersMemb</w:t>
      </w:r>
      <w:r>
        <w:rPr>
          <w:rFonts w:eastAsia="Times New Roman"/>
          <w:vanish/>
        </w:rPr>
        <w:t>er2021-12-310001333986eqh:EmbeddedDerivativeGMIBReinsuranceMember2022-09-300001333986eqh:EmbeddedDerivativeGMIBReinsuranceMember2021-12-310001333986us-gaap:GuaranteedMinimumWithdrawalBenefitMember2022-09-300001333986us-gaap:GuaranteedMinimumWithdrawalBenef</w:t>
      </w:r>
      <w:r>
        <w:rPr>
          <w:rFonts w:eastAsia="Times New Roman"/>
          <w:vanish/>
        </w:rPr>
        <w:t>itMember2021-12-310001333986eqh:EmbeddedDerivativeNonGMxBInsuranceProductsMember2022-09-300001333986eqh:EmbeddedDerivativeNonGMxBInsuranceProductsMember2021-12-310001333986us-gaap:EmbeddedDerivativeFinancialInstrumentsMember2022-09-300001333986us-gaap:Embe</w:t>
      </w:r>
      <w:r>
        <w:rPr>
          <w:rFonts w:eastAsia="Times New Roman"/>
          <w:vanish/>
        </w:rPr>
        <w:t>ddedDerivativeFinancialInstrumentsMember2021-12-310001333986eqh:DerivativeInstrumentsIncludingEmbeddedDerivativeMember2022-09-300001333986eqh:DerivativeInstrumentsIncludingEmbeddedDerivativeMember2021-12-310001333986us-gaap:CurrencySwapMemberus-gaap:CashFl</w:t>
      </w:r>
      <w:r>
        <w:rPr>
          <w:rFonts w:eastAsia="Times New Roman"/>
          <w:vanish/>
        </w:rPr>
        <w:t>owHedgingMemberus-gaap:DesignatedAsHedgingInstrumentMember2022-07-012022-09-300001333986us-gaap:CurrencySwapMemberus-gaap:CashFlowHedgingMemberus-gaap:DesignatedAsHedgingInstrumentMember2022-01-012022-09-300001333986us-gaap:CashFlowHedgingMemberus-gaap:Int</w:t>
      </w:r>
      <w:r>
        <w:rPr>
          <w:rFonts w:eastAsia="Times New Roman"/>
          <w:vanish/>
        </w:rPr>
        <w:t>erestRateSwapMemberus-gaap:DesignatedAsHedgingInstrumentMember2022-07-012022-09-300001333986us-gaap:CashFlowHedgingMemberus-gaap:InterestRateSwapMemberus-gaap:DesignatedAsHedgingInstrumentMember2022-01-012022-09-300001333986us-gaap:CashFlowHedgingMemberus-</w:t>
      </w:r>
      <w:r>
        <w:rPr>
          <w:rFonts w:eastAsia="Times New Roman"/>
          <w:vanish/>
        </w:rPr>
        <w:t>gaap:DesignatedAsHedgingInstrumentMember2022-07-012022-09-300001333986us-gaap:CashFlowHedgingMemberus-gaap:DesignatedAsHedgingInstrumentMember2022-01-012022-09-300001333986eqh:EquityFuturesMemberus-gaap:NondesignatedMember2022-07-012022-09-300001333986eqh:</w:t>
      </w:r>
      <w:r>
        <w:rPr>
          <w:rFonts w:eastAsia="Times New Roman"/>
          <w:vanish/>
        </w:rPr>
        <w:t>EquityFuturesMemberus-gaap:NondesignatedMember2022-01-012022-09-300001333986us-gaap:EquitySwapMemberus-gaap:NondesignatedMember2022-07-012022-09-300001333986us-gaap:EquitySwapMemberus-gaap:NondesignatedMember2022-01-012022-09-300001333986us-gaap:Nondesigna</w:t>
      </w:r>
      <w:r>
        <w:rPr>
          <w:rFonts w:eastAsia="Times New Roman"/>
          <w:vanish/>
        </w:rPr>
        <w:t>tedMemberus-gaap:StockOptionMember2022-07-012022-09-300001333986us-gaap:NondesignatedMemberus-gaap:StockOptionMember2022-01-012022-09-300001333986us-gaap:NondesignatedMembereqh:InterestRateFuturesMember2022-07-012022-09-300001333986us-gaap:NondesignatedMem</w:t>
      </w:r>
      <w:r>
        <w:rPr>
          <w:rFonts w:eastAsia="Times New Roman"/>
          <w:vanish/>
        </w:rPr>
        <w:t>bereqh:InterestRateFuturesMember2022-01-012022-09-300001333986us-gaap:NondesignatedMemberus-gaap:InterestRateSwapMember2022-07-012022-09-300001333986us-gaap:NondesignatedMemberus-gaap:InterestRateSwapMember2022-01-012022-09-300001333986us-gaap:Nondesignate</w:t>
      </w:r>
      <w:r>
        <w:rPr>
          <w:rFonts w:eastAsia="Times New Roman"/>
          <w:vanish/>
        </w:rPr>
        <w:t>dMemberus-gaap:InterestRateSwaptionMember2022-07-012022-09-300001333986us-gaap:NondesignatedMemberus-gaap:InterestRateSwaptionMember2022-01-012022-09-300001333986us-gaap:NondesignatedMemberus-gaap:CreditDefaultSwapMember2022-07-012022-09-300001333986us-gaa</w:t>
      </w:r>
      <w:r>
        <w:rPr>
          <w:rFonts w:eastAsia="Times New Roman"/>
          <w:vanish/>
        </w:rPr>
        <w:t>p:NondesignatedMemberus-gaap:CreditDefaultSwapMember2022-01-012022-09-300001333986us-gaap:CurrencySwapMemberus-gaap:NondesignatedMember2022-07-012022-09-300001333986us-gaap:CurrencySwapMemberus-gaap:NondesignatedMember2022-01-012022-09-300001333986us-gaap:</w:t>
      </w:r>
      <w:r>
        <w:rPr>
          <w:rFonts w:eastAsia="Times New Roman"/>
          <w:vanish/>
        </w:rPr>
        <w:t>NondesignatedMembereqh:CurrencyFowardMember2022-07-012022-09-300001333986us-gaap:NondesignatedMembereqh:CurrencyFowardMember2022-01-012022-09-300001333986us-gaap:NondesignatedMembereqh:MarginMember2022-07-012022-09-300001333986us-gaap:NondesignatedMembereq</w:t>
      </w:r>
      <w:r>
        <w:rPr>
          <w:rFonts w:eastAsia="Times New Roman"/>
          <w:vanish/>
        </w:rPr>
        <w:t>h:MarginMember2022-01-012022-09-300001333986us-gaap:CollateralizedSecuritiesMemberus-gaap:NondesignatedMember2022-07-012022-09-300001333986us-gaap:CollateralizedSecuritiesMemberus-gaap:NondesignatedMember2022-01-012022-09-300001333986us-gaap:NondesignatedM</w:t>
      </w:r>
      <w:r>
        <w:rPr>
          <w:rFonts w:eastAsia="Times New Roman"/>
          <w:vanish/>
        </w:rPr>
        <w:t>ember2022-07-012022-09-300001333986us-gaap:NondesignatedMember2022-01-012022-09-300001333986eqh:EmbeddedDerivativeDueFromReinsuranceReinsurersMember2022-07-012022-09-300001333986eqh:EmbeddedDerivativeDueFromReinsuranceReinsurersMember2022-01-012022-09-3000</w:t>
      </w:r>
      <w:r>
        <w:rPr>
          <w:rFonts w:eastAsia="Times New Roman"/>
          <w:vanish/>
        </w:rPr>
        <w:t>01333986eqh:EmbeddedDerivativeGMIBReinsuranceMember2022-07-012022-09-300001333986eqh:EmbeddedDerivativeGMIBReinsuranceMember2022-01-012022-09-300001333986us-gaap:GuaranteedMinimumWithdrawalBenefitMember2022-07-012022-09-300001333986us-gaap:GuaranteedMinimu</w:t>
      </w:r>
      <w:r>
        <w:rPr>
          <w:rFonts w:eastAsia="Times New Roman"/>
          <w:vanish/>
        </w:rPr>
        <w:t>mWithdrawalBenefitMember2022-01-012022-09-300001333986eqh:EmbeddedDerivativeNonGMxBInsuranceProductsMember2022-07-012022-09-300001333986eqh:EmbeddedDerivativeNonGMxBInsuranceProductsMember2022-01-012022-09-300001333986us-gaap:EmbeddedDerivativeFinancialIns</w:t>
      </w:r>
      <w:r>
        <w:rPr>
          <w:rFonts w:eastAsia="Times New Roman"/>
          <w:vanish/>
        </w:rPr>
        <w:t>trumentsMember2022-07-012022-09-300001333986us-gaap:EmbeddedDerivativeFinancialInstrumentsMember2022-01-012022-09-300001333986eqh:DerivativeInstrumentsIncludingEmbeddedDerivativeMember2022-07-012022-09-300001333986eqh:DerivativeInstrumentsIncludingEmbedded</w:t>
      </w:r>
      <w:r>
        <w:rPr>
          <w:rFonts w:eastAsia="Times New Roman"/>
          <w:vanish/>
        </w:rPr>
        <w:t>DerivativeMember2022-01-012022-09-300001333986us-gaap:CurrencySwapMemberus-gaap:CashFlowHedgingMemberus-gaap:DesignatedAsHedgingInstrumentMember2021-07-012021-09-300001333986us-gaap:CurrencySwapMemberus-gaap:CashFlowHedgingMemberus-gaap:DesignatedAsHedging</w:t>
      </w:r>
      <w:r>
        <w:rPr>
          <w:rFonts w:eastAsia="Times New Roman"/>
          <w:vanish/>
        </w:rPr>
        <w:t>InstrumentMember2021-01-012021-09-300001333986us-gaap:CashFlowHedgingMemberus-gaap:InterestRateSwapMemberus-gaap:DesignatedAsHedgingInstrumentMember2021-07-012021-09-300001333986us-gaap:CashFlowHedgingMemberus-gaap:InterestRateSwapMemberus-gaap:DesignatedA</w:t>
      </w:r>
      <w:r>
        <w:rPr>
          <w:rFonts w:eastAsia="Times New Roman"/>
          <w:vanish/>
        </w:rPr>
        <w:t>sHedgingInstrumentMember2021-01-012021-09-300001333986us-gaap:CashFlowHedgingMemberus-gaap:DesignatedAsHedgingInstrumentMember2021-07-012021-09-300001333986us-gaap:CashFlowHedgingMemberus-gaap:DesignatedAsHedgingInstrumentMember2021-01-012021-09-3000013339</w:t>
      </w:r>
      <w:r>
        <w:rPr>
          <w:rFonts w:eastAsia="Times New Roman"/>
          <w:vanish/>
        </w:rPr>
        <w:t>86eqh:EquityFuturesMemberus-gaap:NondesignatedMember2021-07-012021-09-300001333986eqh:EquityFuturesMemberus-gaap:NondesignatedMember2021-01-012021-09-300001333986us-gaap:EquitySwapMemberus-gaap:NondesignatedMember2021-07-012021-09-300001333986us-gaap:Equit</w:t>
      </w:r>
      <w:r>
        <w:rPr>
          <w:rFonts w:eastAsia="Times New Roman"/>
          <w:vanish/>
        </w:rPr>
        <w:t>ySwapMemberus-gaap:NondesignatedMember2021-01-012021-09-300001333986us-gaap:NondesignatedMemberus-gaap:StockOptionMember2021-07-012021-09-300001333986us-gaap:NondesignatedMemberus-gaap:StockOptionMember2021-01-012021-09-300001333986us-gaap:NondesignatedMem</w:t>
      </w:r>
      <w:r>
        <w:rPr>
          <w:rFonts w:eastAsia="Times New Roman"/>
          <w:vanish/>
        </w:rPr>
        <w:t>bereqh:InterestRateFuturesMember2021-07-012021-09-300001333986us-gaap:NondesignatedMembereqh:InterestRateFuturesMember2021-01-012021-09-300001333986us-gaap:NondesignatedMemberus-gaap:InterestRateSwapMember2021-07-012021-09-300001333986us-gaap:Nondesignated</w:t>
      </w:r>
      <w:r>
        <w:rPr>
          <w:rFonts w:eastAsia="Times New Roman"/>
          <w:vanish/>
        </w:rPr>
        <w:t>Memberus-gaap:InterestRateSwapMember2021-01-012021-09-300001333986us-gaap:NondesignatedMemberus-gaap:InterestRateSwaptionMember2021-07-012021-09-300001333986us-gaap:NondesignatedMemberus-gaap:InterestRateSwaptionMember2021-01-012021-09-300001333986us-gaap:</w:t>
      </w:r>
      <w:r>
        <w:rPr>
          <w:rFonts w:eastAsia="Times New Roman"/>
          <w:vanish/>
        </w:rPr>
        <w:t>NondesignatedMemberus-gaap:CreditDefaultSwapMember2021-07-012021-09-300001333986us-gaap:NondesignatedMemberus-gaap:CreditDefaultSwapMember2021-01-012021-09-300001333986us-gaap:CurrencySwapMemberus-gaap:NondesignatedMember2021-07-012021-09-300001333986us-ga</w:t>
      </w:r>
      <w:r>
        <w:rPr>
          <w:rFonts w:eastAsia="Times New Roman"/>
          <w:vanish/>
        </w:rPr>
        <w:t>ap:CurrencySwapMemberus-gaap:NondesignatedMember2021-01-012021-09-300001333986us-gaap:NondesignatedMembereqh:CurrencyFowardMember2021-07-012021-09-300001333986us-gaap:NondesignatedMembereqh:CurrencyFowardMember2021-01-012021-09-300001333986us-gaap:Nondesig</w:t>
      </w:r>
      <w:r>
        <w:rPr>
          <w:rFonts w:eastAsia="Times New Roman"/>
          <w:vanish/>
        </w:rPr>
        <w:t>natedMembereqh:MarginMember2021-07-012021-09-300001333986us-gaap:NondesignatedMembereqh:MarginMember2021-01-012021-09-300001333986us-gaap:CollateralizedSecuritiesMemberus-gaap:NondesignatedMember2021-07-012021-09-300001333986us-gaap:CollateralizedSecuritie</w:t>
      </w:r>
      <w:r>
        <w:rPr>
          <w:rFonts w:eastAsia="Times New Roman"/>
          <w:vanish/>
        </w:rPr>
        <w:t>sMemberus-gaap:NondesignatedMember2021-01-012021-09-300001333986us-gaap:NondesignatedMember2021-07-012021-09-300001333986us-gaap:NondesignatedMember2021-01-012021-09-300001333986eqh:EmbeddedDerivativeDueFromReinsuranceReinsurersMember2021-07-012021-09-3000</w:t>
      </w:r>
      <w:r>
        <w:rPr>
          <w:rFonts w:eastAsia="Times New Roman"/>
          <w:vanish/>
        </w:rPr>
        <w:t>01333986eqh:EmbeddedDerivativeDueFromReinsuranceReinsurersMember2021-01-012021-09-300001333986eqh:EmbeddedDerivativeGMIBReinsuranceMember2021-07-012021-09-300001333986eqh:EmbeddedDerivativeGMIBReinsuranceMember2021-01-012021-09-300001333986us-gaap:Guarante</w:t>
      </w:r>
      <w:r>
        <w:rPr>
          <w:rFonts w:eastAsia="Times New Roman"/>
          <w:vanish/>
        </w:rPr>
        <w:t>edMinimumWithdrawalBenefitMember2021-07-012021-09-300001333986us-gaap:GuaranteedMinimumWithdrawalBenefitMember2021-01-012021-09-300001333986eqh:EmbeddedDerivativeNonGMxBInsuranceProductsMember2021-07-012021-09-300001333986eqh:EmbeddedDerivativeNonGMxBInsur</w:t>
      </w:r>
      <w:r>
        <w:rPr>
          <w:rFonts w:eastAsia="Times New Roman"/>
          <w:vanish/>
        </w:rPr>
        <w:t>anceProductsMember2021-01-012021-09-300001333986us-gaap:EmbeddedDerivativeFinancialInstrumentsMember2021-07-012021-09-300001333986us-gaap:EmbeddedDerivativeFinancialInstrumentsMember2021-01-012021-09-300001333986eqh:DerivativeInstrumentsIncludingEmbeddedDe</w:t>
      </w:r>
      <w:r>
        <w:rPr>
          <w:rFonts w:eastAsia="Times New Roman"/>
          <w:vanish/>
        </w:rPr>
        <w:t>rivativeMember2021-07-012021-09-300001333986eqh:DerivativeInstrumentsIncludingEmbeddedDerivativeMember2021-01-012021-09-300001333986us-gaap:AccumulatedGainLossNetCashFlowHedgeParentMember2022-06-300001333986us-gaap:AccumulatedGainLossNetCashFlowHedgeParent</w:t>
      </w:r>
      <w:r>
        <w:rPr>
          <w:rFonts w:eastAsia="Times New Roman"/>
          <w:vanish/>
        </w:rPr>
        <w:t>Member2021-06-300001333986us-gaap:AccumulatedGainLossNetCashFlowHedgeParentMember2021-12-310001333986us-gaap:AccumulatedGainLossNetCashFlowHedgeParentMember2020-12-310001333986us-gaap:CurrencySwapMemberus-gaap:AccumulatedGainLossNetCashFlowHedgeParentMembe</w:t>
      </w:r>
      <w:r>
        <w:rPr>
          <w:rFonts w:eastAsia="Times New Roman"/>
          <w:vanish/>
        </w:rPr>
        <w:t>r2022-07-012022-09-300001333986us-gaap:CurrencySwapMemberus-gaap:AccumulatedGainLossNetCashFlowHedgeParentMember2021-07-012021-09-300001333986us-gaap:CurrencySwapMemberus-gaap:AccumulatedGainLossNetCashFlowHedgeParentMember2022-01-012022-09-300001333986us-</w:t>
      </w:r>
      <w:r>
        <w:rPr>
          <w:rFonts w:eastAsia="Times New Roman"/>
          <w:vanish/>
        </w:rPr>
        <w:t>gaap:CurrencySwapMemberus-gaap:AccumulatedGainLossNetCashFlowHedgeParentMember2021-01-012021-09-300001333986us-gaap:AccumulatedGainLossNetCashFlowHedgeParentMemberus-gaap:InterestRateSwapMember2022-07-012022-09-300001333986us-gaap:AccumulatedGainLossNetCas</w:t>
      </w:r>
      <w:r>
        <w:rPr>
          <w:rFonts w:eastAsia="Times New Roman"/>
          <w:vanish/>
        </w:rPr>
        <w:t>hFlowHedgeParentMemberus-gaap:InterestRateSwapMember2021-07-012021-09-300001333986us-gaap:AccumulatedGainLossNetCashFlowHedgeParentMemberus-gaap:InterestRateSwapMember2022-01-012022-09-300001333986us-gaap:AccumulatedGainLossNetCashFlowHedgeParentMemberus-g</w:t>
      </w:r>
      <w:r>
        <w:rPr>
          <w:rFonts w:eastAsia="Times New Roman"/>
          <w:vanish/>
        </w:rPr>
        <w:t>aap:InterestRateSwapMember2021-01-012021-09-300001333986us-gaap:AccumulatedGainLossNetCashFlowHedgeParentMember2022-07-012022-09-300001333986us-gaap:AccumulatedGainLossNetCashFlowHedgeParentMember2021-07-012021-09-300001333986us-gaap:AccumulatedGainLossNet</w:t>
      </w:r>
      <w:r>
        <w:rPr>
          <w:rFonts w:eastAsia="Times New Roman"/>
          <w:vanish/>
        </w:rPr>
        <w:t>CashFlowHedgeParentMember2022-01-012022-09-300001333986us-gaap:AccumulatedGainLossNetCashFlowHedgeParentMember2021-01-012021-09-300001333986us-gaap:AccumulatedGainLossNetCashFlowHedgeParentMember2022-09-300001333986us-gaap:AccumulatedGainLossNetCashFlowHed</w:t>
      </w:r>
      <w:r>
        <w:rPr>
          <w:rFonts w:eastAsia="Times New Roman"/>
          <w:vanish/>
        </w:rPr>
        <w:t>geParentMember2021-09-300001333986eqh:Sp500Russell1000Nasdaq100AndEmergingMarketIndicesMember2022-09-300001333986eqh:Sp500Russell1000Nasdaq100AndEmergingMarketIndicesMember2021-12-310001333986eqh:UsTreasuryNotesUltraLongBondsAndEuroDollarMember2022-09-3000</w:t>
      </w:r>
      <w:r>
        <w:rPr>
          <w:rFonts w:eastAsia="Times New Roman"/>
          <w:vanish/>
        </w:rPr>
        <w:t>01333986eqh:UsTreasuryNotesUltraLongBondsAndEuroDollarMember2021-12-310001333986eqh:EuroStoxxFTSE100TopixASX200AndEAFEIndicesMember2022-09-300001333986eqh:EuroStoxxFTSE100TopixASX200AndEAFEIndicesMember2021-12-310001333986us-gaap:DerivativeMember2022-09-30</w:t>
      </w:r>
      <w:r>
        <w:rPr>
          <w:rFonts w:eastAsia="Times New Roman"/>
          <w:vanish/>
        </w:rPr>
        <w:t>0001333986eqh:OtherFinancialAssetsMember2022-09-300001333986eqh:OtherInvestedAssetsMember2022-09-300001333986eqh:OtherFinancialLiabilitiesMember2022-09-300001333986us-gaap:OtherLiabilitiesMember2022-09-300001333986us-gaap:DerivativeMember2021-12-3100013339</w:t>
      </w:r>
      <w:r>
        <w:rPr>
          <w:rFonts w:eastAsia="Times New Roman"/>
          <w:vanish/>
        </w:rPr>
        <w:t>86eqh:OtherFinancialAssetsMember2021-12-310001333986eqh:OtherInvestedAssetsMember2021-12-310001333986eqh:OtherFinancialLiabilitiesMember2021-12-310001333986us-gaap:OtherLiabilitiesMember2021-12-310001333986eqh:GMDBDirectMember2022-06-300001333986eqh:GMDBAs</w:t>
      </w:r>
      <w:r>
        <w:rPr>
          <w:rFonts w:eastAsia="Times New Roman"/>
          <w:vanish/>
        </w:rPr>
        <w:t>sumedMember2022-06-300001333986eqh:GMDBCededMember2022-06-300001333986eqh:GMIBDirectMember2022-06-300001333986eqh:GMIBAssumedMember2022-06-300001333986eqh:GMIBCededMember2022-06-300001333986eqh:GMDBDirectMember2022-07-012022-09-300001333986eqh:GMDBAssumedM</w:t>
      </w:r>
      <w:r>
        <w:rPr>
          <w:rFonts w:eastAsia="Times New Roman"/>
          <w:vanish/>
        </w:rPr>
        <w:t>ember2022-07-012022-09-300001333986eqh:GMDBCededMember2022-07-012022-09-300001333986eqh:GMIBDirectMember2022-07-012022-09-300001333986eqh:GMIBAssumedMember2022-07-012022-09-300001333986eqh:GMIBCededMember2022-07-012022-09-300001333986eqh:GMDBDirectMember20</w:t>
      </w:r>
      <w:r>
        <w:rPr>
          <w:rFonts w:eastAsia="Times New Roman"/>
          <w:vanish/>
        </w:rPr>
        <w:t>22-09-300001333986eqh:GMDBAssumedMember2022-09-300001333986eqh:GMDBCededMember2022-09-300001333986eqh:GMIBDirectMember2022-09-300001333986eqh:GMIBAssumedMember2022-09-300001333986eqh:GMIBCededMember2022-09-300001333986eqh:GMDBDirectMember2021-06-3000013339</w:t>
      </w:r>
      <w:r>
        <w:rPr>
          <w:rFonts w:eastAsia="Times New Roman"/>
          <w:vanish/>
        </w:rPr>
        <w:t>86eqh:GMDBAssumedMember2021-06-300001333986eqh:GMDBCededMember2021-06-300001333986eqh:GMIBDirectMember2021-06-300001333986eqh:GMIBAssumedMember2021-06-300001333986eqh:GMIBCededMember2021-06-300001333986eqh:GMDBDirectMember2021-07-012021-09-300001333986eqh:</w:t>
      </w:r>
      <w:r>
        <w:rPr>
          <w:rFonts w:eastAsia="Times New Roman"/>
          <w:vanish/>
        </w:rPr>
        <w:t>GMDBAssumedMember2021-07-012021-09-300001333986eqh:GMDBCededMember2021-07-012021-09-300001333986eqh:GMIBDirectMember2021-07-012021-09-300001333986eqh:GMIBAssumedMember2021-07-012021-09-300001333986eqh:GMIBCededMember2021-07-012021-09-300001333986eqh:GMDBDi</w:t>
      </w:r>
      <w:r>
        <w:rPr>
          <w:rFonts w:eastAsia="Times New Roman"/>
          <w:vanish/>
        </w:rPr>
        <w:t>rectMember2021-09-300001333986eqh:GMDBAssumedMember2021-09-300001333986eqh:GMDBCededMember2021-09-300001333986eqh:GMIBDirectMember2021-09-300001333986eqh:GMIBAssumedMember2021-09-300001333986eqh:GMIBCededMember2021-09-300001333986eqh:GMDBDirectMember2021-1</w:t>
      </w:r>
      <w:r>
        <w:rPr>
          <w:rFonts w:eastAsia="Times New Roman"/>
          <w:vanish/>
        </w:rPr>
        <w:t>2-310001333986eqh:GMDBAssumedMember2021-12-310001333986eqh:GMDBCededMember2021-12-310001333986eqh:GMIBDirectMember2021-12-310001333986eqh:GMIBAssumedMember2021-12-310001333986eqh:GMIBCededMember2021-12-310001333986eqh:GMDBDirectMember2022-01-012022-09-3000</w:t>
      </w:r>
      <w:r>
        <w:rPr>
          <w:rFonts w:eastAsia="Times New Roman"/>
          <w:vanish/>
        </w:rPr>
        <w:t>01333986eqh:GMDBAssumedMember2022-01-012022-09-300001333986eqh:GMDBCededMember2022-01-012022-09-300001333986eqh:GMIBDirectMember2022-01-012022-09-300001333986eqh:GMIBAssumedMember2022-01-012022-09-300001333986eqh:GMIBCededMember2022-01-012022-09-3000013339</w:t>
      </w:r>
      <w:r>
        <w:rPr>
          <w:rFonts w:eastAsia="Times New Roman"/>
          <w:vanish/>
        </w:rPr>
        <w:t>86eqh:GMDBDirectMember2020-12-310001333986eqh:GMDBAssumedMember2020-12-310001333986eqh:GMDBCededMember2020-12-310001333986eqh:GMIBDirectMember2020-12-310001333986eqh:GMIBAssumedMember2020-12-310001333986eqh:GMIBCededMember2020-12-310001333986eqh:GMDBDirect</w:t>
      </w:r>
      <w:r>
        <w:rPr>
          <w:rFonts w:eastAsia="Times New Roman"/>
          <w:vanish/>
        </w:rPr>
        <w:t>Member2021-01-012021-09-300001333986eqh:GMDBAssumedMember2021-01-012021-09-300001333986eqh:GMDBCededMember2021-01-012021-09-300001333986eqh:GMIBDirectMember2021-01-012021-09-300001333986eqh:GMIBAssumedMember2021-01-012021-09-300001333986eqh:GMIBCededMember</w:t>
      </w:r>
      <w:r>
        <w:rPr>
          <w:rFonts w:eastAsia="Times New Roman"/>
          <w:vanish/>
        </w:rPr>
        <w:t>2021-01-012021-09-300001333986eqh:ReturnOfPremiumMemberus-gaap:GuaranteedMinimumDeathBenefitMemberus-gaap:ImmediateVariableAnnuityMember2022-09-300001333986eqh:RatchetMemberus-gaap:GuaranteedMinimumDeathBenefitMemberus-gaap:ImmediateVariableAnnuityMember20</w:t>
      </w:r>
      <w:r>
        <w:rPr>
          <w:rFonts w:eastAsia="Times New Roman"/>
          <w:vanish/>
        </w:rPr>
        <w:t>22-09-300001333986eqh:RollUpMemberus-gaap:GuaranteedMinimumDeathBenefitMemberus-gaap:ImmediateVariableAnnuityMember2022-09-300001333986eqh:ComboMemberus-gaap:GuaranteedMinimumDeathBenefitMemberus-gaap:ImmediateVariableAnnuityMember2022-09-300001333986us-ga</w:t>
      </w:r>
      <w:r>
        <w:rPr>
          <w:rFonts w:eastAsia="Times New Roman"/>
          <w:vanish/>
        </w:rPr>
        <w:t>ap:GuaranteedMinimumDeathBenefitMemberus-gaap:ImmediateVariableAnnuityMember2022-09-300001333986eqh:ReturnOfPremiumMemberus-gaap:GuaranteedMinimumDeathBenefitMemberus-gaap:ImmediateVariableAnnuityMember2022-01-012022-09-300001333986eqh:RatchetMemberus-gaap</w:t>
      </w:r>
      <w:r>
        <w:rPr>
          <w:rFonts w:eastAsia="Times New Roman"/>
          <w:vanish/>
        </w:rPr>
        <w:t>:GuaranteedMinimumDeathBenefitMemberus-gaap:ImmediateVariableAnnuityMember2022-01-012022-09-300001333986eqh:RollUpMemberus-gaap:GuaranteedMinimumDeathBenefitMemberus-gaap:ImmediateVariableAnnuityMember2022-01-012022-09-300001333986eqh:ComboMemberus-gaap:Gu</w:t>
      </w:r>
      <w:r>
        <w:rPr>
          <w:rFonts w:eastAsia="Times New Roman"/>
          <w:vanish/>
        </w:rPr>
        <w:t>aranteedMinimumDeathBenefitMemberus-gaap:ImmediateVariableAnnuityMember2022-01-012022-09-300001333986us-gaap:GuaranteedMinimumDeathBenefitMemberus-gaap:ImmediateVariableAnnuityMember2022-01-012022-09-300001333986eqh:ReturnOfPremiumMemberus-gaap:GuaranteedM</w:t>
      </w:r>
      <w:r>
        <w:rPr>
          <w:rFonts w:eastAsia="Times New Roman"/>
          <w:vanish/>
        </w:rPr>
        <w:t>inimumIncomeBenefitMemberus-gaap:ImmediateVariableAnnuityMember2022-09-300001333986us-gaap:GuaranteedMinimumIncomeBenefitMembereqh:RatchetMemberus-gaap:ImmediateVariableAnnuityMember2022-09-300001333986us-gaap:GuaranteedMinimumIncomeBenefitMembereqh:RollUp</w:t>
      </w:r>
      <w:r>
        <w:rPr>
          <w:rFonts w:eastAsia="Times New Roman"/>
          <w:vanish/>
        </w:rPr>
        <w:t>Memberus-gaap:ImmediateVariableAnnuityMember2022-09-300001333986eqh:ComboMemberus-gaap:GuaranteedMinimumIncomeBenefitMemberus-gaap:ImmediateVariableAnnuityMember2022-09-300001333986us-gaap:GuaranteedMinimumIncomeBenefitMemberus-gaap:ImmediateVariableAnnuit</w:t>
      </w:r>
      <w:r>
        <w:rPr>
          <w:rFonts w:eastAsia="Times New Roman"/>
          <w:vanish/>
        </w:rPr>
        <w:t>yMember2022-09-300001333986us-gaap:CommonStockMemberus-gaap:GuaranteedMinimumDeathBenefitMember2022-09-300001333986us-gaap:GuaranteedMinimumIncomeBenefitMemberus-gaap:CommonStockMember2022-09-300001333986us-gaap:CommonStockMemberus-gaap:GuaranteedMinimumDe</w:t>
      </w:r>
      <w:r>
        <w:rPr>
          <w:rFonts w:eastAsia="Times New Roman"/>
          <w:vanish/>
        </w:rPr>
        <w:t>athBenefitMember2021-12-310001333986us-gaap:GuaranteedMinimumIncomeBenefitMemberus-gaap:CommonStockMember2021-12-310001333986us-gaap:GuaranteedMinimumDeathBenefitMemberus-gaap:FixedIncomeInvestmentsMember2022-09-300001333986us-gaap:GuaranteedMinimumIncomeB</w:t>
      </w:r>
      <w:r>
        <w:rPr>
          <w:rFonts w:eastAsia="Times New Roman"/>
          <w:vanish/>
        </w:rPr>
        <w:t>enefitMemberus-gaap:FixedIncomeInvestmentsMember2022-09-300001333986us-gaap:GuaranteedMinimumDeathBenefitMemberus-gaap:FixedIncomeInvestmentsMember2021-12-310001333986us-gaap:GuaranteedMinimumIncomeBenefitMemberus-gaap:FixedIncomeInvestmentsMember2021-12-3</w:t>
      </w:r>
      <w:r>
        <w:rPr>
          <w:rFonts w:eastAsia="Times New Roman"/>
          <w:vanish/>
        </w:rPr>
        <w:t>10001333986us-gaap:BalancedFundsMemberus-gaap:GuaranteedMinimumDeathBenefitMember2022-09-300001333986us-gaap:BalancedFundsMemberus-gaap:GuaranteedMinimumIncomeBenefitMember2022-09-300001333986us-gaap:BalancedFundsMemberus-gaap:GuaranteedMinimumDeathBenefit</w:t>
      </w:r>
      <w:r>
        <w:rPr>
          <w:rFonts w:eastAsia="Times New Roman"/>
          <w:vanish/>
        </w:rPr>
        <w:t>Member2021-12-310001333986us-gaap:BalancedFundsMemberus-gaap:GuaranteedMinimumIncomeBenefitMember2021-12-310001333986us-gaap:OtherInvestmentsMemberus-gaap:GuaranteedMinimumDeathBenefitMember2022-09-300001333986us-gaap:OtherInvestmentsMemberus-gaap:Guarante</w:t>
      </w:r>
      <w:r>
        <w:rPr>
          <w:rFonts w:eastAsia="Times New Roman"/>
          <w:vanish/>
        </w:rPr>
        <w:t>edMinimumIncomeBenefitMember2022-09-300001333986us-gaap:OtherInvestmentsMemberus-gaap:GuaranteedMinimumDeathBenefitMember2021-12-310001333986us-gaap:OtherInvestmentsMemberus-gaap:GuaranteedMinimumIncomeBenefitMember2021-12-310001333986us-gaap:GuaranteedMin</w:t>
      </w:r>
      <w:r>
        <w:rPr>
          <w:rFonts w:eastAsia="Times New Roman"/>
          <w:vanish/>
        </w:rPr>
        <w:t>imumDeathBenefitMember2022-09-300001333986us-gaap:GuaranteedMinimumIncomeBenefitMember2022-09-300001333986us-gaap:GuaranteedMinimumDeathBenefitMember2021-12-310001333986us-gaap:GuaranteedMinimumIncomeBenefitMember2021-12-310001333986eqh:DirectLiabilitiesFo</w:t>
      </w:r>
      <w:r>
        <w:rPr>
          <w:rFonts w:eastAsia="Times New Roman"/>
          <w:vanish/>
        </w:rPr>
        <w:t>rGuaranteesMember2022-06-300001333986eqh:DirectLiabilitiesForGuaranteesMember2021-06-300001333986eqh:DirectLiabilitiesForGuaranteesMember2021-12-310001333986eqh:DirectLiabilitiesForGuaranteesMember2020-12-310001333986eqh:DirectLiabilitiesForGuaranteesMembe</w:t>
      </w:r>
      <w:r>
        <w:rPr>
          <w:rFonts w:eastAsia="Times New Roman"/>
          <w:vanish/>
        </w:rPr>
        <w:t>r2022-07-012022-09-300001333986eqh:DirectLiabilitiesForGuaranteesMember2021-07-012021-09-300001333986eqh:DirectLiabilitiesForGuaranteesMember2022-01-012022-09-300001333986eqh:DirectLiabilitiesForGuaranteesMember2021-01-012021-09-300001333986eqh:DirectLiabi</w:t>
      </w:r>
      <w:r>
        <w:rPr>
          <w:rFonts w:eastAsia="Times New Roman"/>
          <w:vanish/>
        </w:rPr>
        <w:t>litiesForGuaranteesMember2022-09-300001333986eqh:DirectLiabilitiesForGuaranteesMember2021-09-300001333986eqh:RollUpMemberus-gaap:GuaranteedMinimumDeathBenefitMembersrt:MinimumMemberus-gaap:ImmediateVariableAnnuityMember2022-01-012022-09-300001333986eqh:Com</w:t>
      </w:r>
      <w:r>
        <w:rPr>
          <w:rFonts w:eastAsia="Times New Roman"/>
          <w:vanish/>
        </w:rPr>
        <w:t>boMemberus-gaap:GuaranteedMinimumDeathBenefitMembersrt:MinimumMemberus-gaap:ImmediateVariableAnnuityMember2022-01-012022-09-300001333986us-gaap:GuaranteedMinimumDeathBenefitMembersrt:MinimumMemberus-gaap:ImmediateVariableAnnuityMember2022-01-012022-09-3000</w:t>
      </w:r>
      <w:r>
        <w:rPr>
          <w:rFonts w:eastAsia="Times New Roman"/>
          <w:vanish/>
        </w:rPr>
        <w:t>01333986srt:MaximumMembereqh:RollUpMemberus-gaap:GuaranteedMinimumDeathBenefitMemberus-gaap:ImmediateVariableAnnuityMember2022-01-012022-09-300001333986srt:MaximumMembereqh:ComboMemberus-gaap:GuaranteedMinimumDeathBenefitMemberus-gaap:ImmediateVariableAnnu</w:t>
      </w:r>
      <w:r>
        <w:rPr>
          <w:rFonts w:eastAsia="Times New Roman"/>
          <w:vanish/>
        </w:rPr>
        <w:t>ityMember2022-01-012022-09-300001333986srt:MaximumMemberus-gaap:GuaranteedMinimumDeathBenefitMemberus-gaap:ImmediateVariableAnnuityMember2022-01-012022-09-300001333986us-gaap:GuaranteedMinimumIncomeBenefitMembereqh:RollUpMemberus-gaap:ImmediateVariableAnnu</w:t>
      </w:r>
      <w:r>
        <w:rPr>
          <w:rFonts w:eastAsia="Times New Roman"/>
          <w:vanish/>
        </w:rPr>
        <w:t>ityMember2022-01-012022-09-300001333986eqh:ComboMemberus-gaap:GuaranteedMinimumIncomeBenefitMemberus-gaap:ImmediateVariableAnnuityMember2022-01-012022-09-300001333986us-gaap:GuaranteedMinimumIncomeBenefitMemberus-gaap:ImmediateVariableAnnuityMember2022-01-</w:t>
      </w:r>
      <w:r>
        <w:rPr>
          <w:rFonts w:eastAsia="Times New Roman"/>
          <w:vanish/>
        </w:rPr>
        <w:t>012022-09-300001333986us-gaap:GuaranteedMinimumIncomeBenefitMembereqh:RollUpMembersrt:MinimumMemberus-gaap:ImmediateVariableAnnuityMember2022-01-012022-09-300001333986eqh:ComboMemberus-gaap:GuaranteedMinimumIncomeBenefitMembersrt:MinimumMemberus-gaap:Immed</w:t>
      </w:r>
      <w:r>
        <w:rPr>
          <w:rFonts w:eastAsia="Times New Roman"/>
          <w:vanish/>
        </w:rPr>
        <w:t>iateVariableAnnuityMember2022-01-012022-09-300001333986us-gaap:GuaranteedMinimumIncomeBenefitMembersrt:MinimumMemberus-gaap:ImmediateVariableAnnuityMember2022-01-012022-09-300001333986srt:MaximumMemberus-gaap:GuaranteedMinimumIncomeBenefitMembereqh:RollUpM</w:t>
      </w:r>
      <w:r>
        <w:rPr>
          <w:rFonts w:eastAsia="Times New Roman"/>
          <w:vanish/>
        </w:rPr>
        <w:t>emberus-gaap:ImmediateVariableAnnuityMember2022-01-012022-09-300001333986srt:MaximumMembereqh:ComboMemberus-gaap:GuaranteedMinimumIncomeBenefitMemberus-gaap:ImmediateVariableAnnuityMember2022-01-012022-09-300001333986srt:MaximumMemberus-gaap:GuaranteedMini</w:t>
      </w:r>
      <w:r>
        <w:rPr>
          <w:rFonts w:eastAsia="Times New Roman"/>
          <w:vanish/>
        </w:rPr>
        <w:t>mumIncomeBenefitMemberus-gaap:ImmediateVariableAnnuityMember2022-01-012022-09-300001333986eqh:PublicCorporateMemberus-gaap:FairValueMeasurementsRecurringMemberus-gaap:FairValueInputsLevel1Member2022-09-300001333986eqh:PublicCorporateMemberus-gaap:FairValue</w:t>
      </w:r>
      <w:r>
        <w:rPr>
          <w:rFonts w:eastAsia="Times New Roman"/>
          <w:vanish/>
        </w:rPr>
        <w:t>MeasurementsRecurringMemberus-gaap:FairValueInputsLevel2Member2022-09-300001333986eqh:PublicCorporateMemberus-gaap:FairValueMeasurementsRecurringMemberus-gaap:FairValueInputsLevel3Member2022-09-300001333986eqh:PublicCorporateMemberus-gaap:FairValueMeasurem</w:t>
      </w:r>
      <w:r>
        <w:rPr>
          <w:rFonts w:eastAsia="Times New Roman"/>
          <w:vanish/>
        </w:rPr>
        <w:t>entsRecurringMember2022-09-300001333986us-gaap:FairValueMeasurementsRecurringMemberus-gaap:USTreasuryAndGovernmentMemberus-gaap:FairValueInputsLevel1Member2022-09-300001333986us-gaap:FairValueMeasurementsRecurringMemberus-gaap:FairValueInputsLevel2Memberus</w:t>
      </w:r>
      <w:r>
        <w:rPr>
          <w:rFonts w:eastAsia="Times New Roman"/>
          <w:vanish/>
        </w:rPr>
        <w:t>-gaap:USTreasuryAndGovernmentMember2022-09-300001333986us-gaap:FairValueMeasurementsRecurringMemberus-gaap:USTreasuryAndGovernmentMemberus-gaap:FairValueInputsLevel3Member2022-09-300001333986us-gaap:FairValueMeasurementsRecurringMemberus-gaap:USTreasuryAnd</w:t>
      </w:r>
      <w:r>
        <w:rPr>
          <w:rFonts w:eastAsia="Times New Roman"/>
          <w:vanish/>
        </w:rPr>
        <w:t>GovernmentMember2022-09-300001333986us-gaap:FairValueMeasurementsRecurringMemberus-gaap:USStatesAndPoliticalSubdivisionsMemberus-gaap:FairValueInputsLevel1Member2022-09-300001333986us-gaap:FairValueMeasurementsRecurringMemberus-gaap:FairValueInputsLevel2Me</w:t>
      </w:r>
      <w:r>
        <w:rPr>
          <w:rFonts w:eastAsia="Times New Roman"/>
          <w:vanish/>
        </w:rPr>
        <w:t>mberus-gaap:USStatesAndPoliticalSubdivisionsMember2022-09-300001333986us-gaap:FairValueMeasurementsRecurringMemberus-gaap:USStatesAndPoliticalSubdivisionsMemberus-gaap:FairValueInputsLevel3Member2022-09-300001333986us-gaap:FairValueMeasurementsRecurringMem</w:t>
      </w:r>
      <w:r>
        <w:rPr>
          <w:rFonts w:eastAsia="Times New Roman"/>
          <w:vanish/>
        </w:rPr>
        <w:t>berus-gaap:USStatesAndPoliticalSubdivisionsMember2022-09-300001333986us-gaap:FairValueMeasurementsRecurringMemberus-gaap:ForeignGovernmentDebtSecuritiesMemberus-gaap:FairValueInputsLevel1Member2022-09-300001333986us-gaap:FairValueMeasurementsRecurringMembe</w:t>
      </w:r>
      <w:r>
        <w:rPr>
          <w:rFonts w:eastAsia="Times New Roman"/>
          <w:vanish/>
        </w:rPr>
        <w:t>rus-gaap:ForeignGovernmentDebtSecuritiesMemberus-gaap:FairValueInputsLevel2Member2022-09-300001333986us-gaap:FairValueMeasurementsRecurringMemberus-gaap:ForeignGovernmentDebtSecuritiesMemberus-gaap:FairValueInputsLevel3Member2022-09-300001333986us-gaap:Fai</w:t>
      </w:r>
      <w:r>
        <w:rPr>
          <w:rFonts w:eastAsia="Times New Roman"/>
          <w:vanish/>
        </w:rPr>
        <w:t>rValueMeasurementsRecurringMemberus-gaap:ForeignGovernmentDebtSecuritiesMember2022-09-300001333986us-gaap:FairValueMeasurementsRecurringMemberus-gaap:ResidentialMortgageBackedSecuritiesMemberus-gaap:FairValueInputsLevel1Member2022-09-300001333986us-gaap:Fa</w:t>
      </w:r>
      <w:r>
        <w:rPr>
          <w:rFonts w:eastAsia="Times New Roman"/>
          <w:vanish/>
        </w:rPr>
        <w:t>irValueMeasurementsRecurringMemberus-gaap:FairValueInputsLevel2Memberus-gaap:ResidentialMortgageBackedSecuritiesMember2022-09-300001333986us-gaap:FairValueMeasurementsRecurringMemberus-gaap:FairValueInputsLevel3Memberus-gaap:ResidentialMortgageBackedSecuri</w:t>
      </w:r>
      <w:r>
        <w:rPr>
          <w:rFonts w:eastAsia="Times New Roman"/>
          <w:vanish/>
        </w:rPr>
        <w:t>tiesMember2022-09-300001333986us-gaap:FairValueMeasurementsRecurringMemberus-gaap:ResidentialMortgageBackedSecuritiesMember2022-09-300001333986us-gaap:FairValueMeasurementsRecurringMemberus-gaap:FairValueInputsLevel1Memberus-gaap:AssetBackedSecuritiesMembe</w:t>
      </w:r>
      <w:r>
        <w:rPr>
          <w:rFonts w:eastAsia="Times New Roman"/>
          <w:vanish/>
        </w:rPr>
        <w:t>r2022-09-300001333986us-gaap:FairValueMeasurementsRecurringMemberus-gaap:FairValueInputsLevel2Memberus-gaap:AssetBackedSecuritiesMember2022-09-300001333986us-gaap:FairValueMeasurementsRecurringMemberus-gaap:FairValueInputsLevel3Memberus-gaap:AssetBackedSec</w:t>
      </w:r>
      <w:r>
        <w:rPr>
          <w:rFonts w:eastAsia="Times New Roman"/>
          <w:vanish/>
        </w:rPr>
        <w:t>uritiesMember2022-09-300001333986us-gaap:FairValueMeasurementsRecurringMemberus-gaap:AssetBackedSecuritiesMember2022-09-300001333986us-gaap:FairValueMeasurementsRecurringMemberus-gaap:CommercialMortgageBackedSecuritiesMemberus-gaap:FairValueInputsLevel1Mem</w:t>
      </w:r>
      <w:r>
        <w:rPr>
          <w:rFonts w:eastAsia="Times New Roman"/>
          <w:vanish/>
        </w:rPr>
        <w:t>ber2022-09-300001333986us-gaap:FairValueMeasurementsRecurringMemberus-gaap:FairValueInputsLevel2Memberus-gaap:CommercialMortgageBackedSecuritiesMember2022-09-300001333986us-gaap:FairValueMeasurementsRecurringMemberus-gaap:FairValueInputsLevel3Memberus-gaap</w:t>
      </w:r>
      <w:r>
        <w:rPr>
          <w:rFonts w:eastAsia="Times New Roman"/>
          <w:vanish/>
        </w:rPr>
        <w:t>:CommercialMortgageBackedSecuritiesMember2022-09-300001333986us-gaap:FairValueMeasurementsRecurringMemberus-gaap:CommercialMortgageBackedSecuritiesMember2022-09-300001333986us-gaap:FairValueMeasurementsRecurringMemberus-gaap:RedeemablePreferredStockMemberu</w:t>
      </w:r>
      <w:r>
        <w:rPr>
          <w:rFonts w:eastAsia="Times New Roman"/>
          <w:vanish/>
        </w:rPr>
        <w:t>s-gaap:FairValueInputsLevel1Member2022-09-300001333986us-gaap:FairValueMeasurementsRecurringMemberus-gaap:FairValueInputsLevel2Memberus-gaap:RedeemablePreferredStockMember2022-09-300001333986us-gaap:FairValueMeasurementsRecurringMemberus-gaap:FairValueInpu</w:t>
      </w:r>
      <w:r>
        <w:rPr>
          <w:rFonts w:eastAsia="Times New Roman"/>
          <w:vanish/>
        </w:rPr>
        <w:t>tsLevel3Memberus-gaap:RedeemablePreferredStockMember2022-09-300001333986us-gaap:FairValueMeasurementsRecurringMemberus-gaap:RedeemablePreferredStockMember2022-09-300001333986us-gaap:FairValueMeasurementsRecurringMemberus-gaap:FairValueInputsLevel1Member202</w:t>
      </w:r>
      <w:r>
        <w:rPr>
          <w:rFonts w:eastAsia="Times New Roman"/>
          <w:vanish/>
        </w:rPr>
        <w:t>2-09-300001333986us-gaap:FairValueMeasurementsRecurringMemberus-gaap:FairValueInputsLevel2Member2022-09-300001333986us-gaap:FairValueMeasurementsRecurringMemberus-gaap:FairValueInputsLevel3Member2022-09-300001333986us-gaap:FairValueMeasurementsRecurringMem</w:t>
      </w:r>
      <w:r>
        <w:rPr>
          <w:rFonts w:eastAsia="Times New Roman"/>
          <w:vanish/>
        </w:rPr>
        <w:t>berus-gaap:FairValueInputsLevel1Memberus-gaap:ShortTermInvestmentsMember2022-09-300001333986us-gaap:FairValueMeasurementsRecurringMemberus-gaap:FairValueInputsLevel2Memberus-gaap:ShortTermInvestmentsMember2022-09-300001333986us-gaap:FairValueMeasurementsRe</w:t>
      </w:r>
      <w:r>
        <w:rPr>
          <w:rFonts w:eastAsia="Times New Roman"/>
          <w:vanish/>
        </w:rPr>
        <w:t>curringMemberus-gaap:FairValueInputsLevel3Memberus-gaap:ShortTermInvestmentsMember2022-09-300001333986us-gaap:FairValueMeasurementsRecurringMemberus-gaap:ShortTermInvestmentsMember2022-09-300001333986us-gaap:FairValueMeasurementsRecurringMembereqh:Assetsof</w:t>
      </w:r>
      <w:r>
        <w:rPr>
          <w:rFonts w:eastAsia="Times New Roman"/>
          <w:vanish/>
        </w:rPr>
        <w:t>ConsolidatedVIEsVOEsMemberus-gaap:FairValueInputsLevel1Member2022-09-300001333986us-gaap:FairValueMeasurementsRecurringMemberus-gaap:FairValueInputsLevel2Membereqh:AssetsofConsolidatedVIEsVOEsMember2022-09-300001333986us-gaap:FairValueMeasurementsRecurring</w:t>
      </w:r>
      <w:r>
        <w:rPr>
          <w:rFonts w:eastAsia="Times New Roman"/>
          <w:vanish/>
        </w:rPr>
        <w:t>Membereqh:AssetsofConsolidatedVIEsVOEsMemberus-gaap:FairValueInputsLevel3Member2022-09-300001333986us-gaap:FairValueMeasurementsRecurringMembereqh:AssetsofConsolidatedVIEsVOEsMember2022-09-300001333986us-gaap:FairValueMeasurementsRecurringMemberus-gaap:Swa</w:t>
      </w:r>
      <w:r>
        <w:rPr>
          <w:rFonts w:eastAsia="Times New Roman"/>
          <w:vanish/>
        </w:rPr>
        <w:t>pMemberus-gaap:FairValueInputsLevel1Member2022-09-300001333986us-gaap:FairValueMeasurementsRecurringMemberus-gaap:FairValueInputsLevel2Memberus-gaap:SwapMember2022-09-300001333986us-gaap:FairValueMeasurementsRecurringMemberus-gaap:SwapMemberus-gaap:FairVal</w:t>
      </w:r>
      <w:r>
        <w:rPr>
          <w:rFonts w:eastAsia="Times New Roman"/>
          <w:vanish/>
        </w:rPr>
        <w:t>ueInputsLevel3Member2022-09-300001333986us-gaap:FairValueMeasurementsRecurringMemberus-gaap:SwapMember2022-09-300001333986us-gaap:FairValueMeasurementsRecurringMemberus-gaap:CreditDefaultSwapMemberus-gaap:FairValueInputsLevel1Member2022-09-300001333986us-g</w:t>
      </w:r>
      <w:r>
        <w:rPr>
          <w:rFonts w:eastAsia="Times New Roman"/>
          <w:vanish/>
        </w:rPr>
        <w:t>aap:FairValueMeasurementsRecurringMemberus-gaap:FairValueInputsLevel2Memberus-gaap:CreditDefaultSwapMember2022-09-300001333986us-gaap:FairValueMeasurementsRecurringMemberus-gaap:CreditDefaultSwapMemberus-gaap:FairValueInputsLevel3Member2022-09-300001333986</w:t>
      </w:r>
      <w:r>
        <w:rPr>
          <w:rFonts w:eastAsia="Times New Roman"/>
          <w:vanish/>
        </w:rPr>
        <w:t>us-gaap:FairValueMeasurementsRecurringMemberus-gaap:CreditDefaultSwapMember2022-09-300001333986us-gaap:FairValueMeasurementsRecurringMemberus-gaap:FutureMemberus-gaap:FairValueInputsLevel1Member2022-09-300001333986us-gaap:FairValueMeasurementsRecurringMemb</w:t>
      </w:r>
      <w:r>
        <w:rPr>
          <w:rFonts w:eastAsia="Times New Roman"/>
          <w:vanish/>
        </w:rPr>
        <w:t>erus-gaap:FairValueInputsLevel2Memberus-gaap:FutureMember2022-09-300001333986us-gaap:FairValueMeasurementsRecurringMemberus-gaap:FutureMemberus-gaap:FairValueInputsLevel3Member2022-09-300001333986us-gaap:FairValueMeasurementsRecurringMemberus-gaap:FutureMe</w:t>
      </w:r>
      <w:r>
        <w:rPr>
          <w:rFonts w:eastAsia="Times New Roman"/>
          <w:vanish/>
        </w:rPr>
        <w:t>mber2022-09-300001333986us-gaap:FairValueMeasurementsRecurringMemberus-gaap:OptionMemberus-gaap:FairValueInputsLevel1Member2022-09-300001333986us-gaap:FairValueMeasurementsRecurringMemberus-gaap:FairValueInputsLevel2Memberus-gaap:OptionMember2022-09-300001</w:t>
      </w:r>
      <w:r>
        <w:rPr>
          <w:rFonts w:eastAsia="Times New Roman"/>
          <w:vanish/>
        </w:rPr>
        <w:t>333986us-gaap:FairValueMeasurementsRecurringMemberus-gaap:OptionMemberus-gaap:FairValueInputsLevel3Member2022-09-300001333986us-gaap:FairValueMeasurementsRecurringMemberus-gaap:OptionMember2022-09-300001333986us-gaap:FairValueMeasurementsRecurringMemberus-</w:t>
      </w:r>
      <w:r>
        <w:rPr>
          <w:rFonts w:eastAsia="Times New Roman"/>
          <w:vanish/>
        </w:rPr>
        <w:t>gaap:GuaranteedMinimumWithdrawalBenefitMemberus-gaap:FairValueInputsLevel1Member2022-09-300001333986us-gaap:FairValueMeasurementsRecurringMemberus-gaap:FairValueInputsLevel2Memberus-gaap:GuaranteedMinimumWithdrawalBenefitMember2022-09-300001333986us-gaap:F</w:t>
      </w:r>
      <w:r>
        <w:rPr>
          <w:rFonts w:eastAsia="Times New Roman"/>
          <w:vanish/>
        </w:rPr>
        <w:t>airValueMeasurementsRecurringMemberus-gaap:GuaranteedMinimumWithdrawalBenefitMemberus-gaap:FairValueInputsLevel3Member2022-09-300001333986us-gaap:FairValueMeasurementsRecurringMemberus-gaap:GuaranteedMinimumWithdrawalBenefitMember2022-09-300001333986us-gaa</w:t>
      </w:r>
      <w:r>
        <w:rPr>
          <w:rFonts w:eastAsia="Times New Roman"/>
          <w:vanish/>
        </w:rPr>
        <w:t>p:FairValueMeasurementsRecurringMembereqh:EmbeddedDerivativeNonGMxBInsuranceProductsMemberus-gaap:FairValueInputsLevel1Member2022-09-300001333986us-gaap:FairValueMeasurementsRecurringMemberus-gaap:FairValueInputsLevel2Membereqh:EmbeddedDerivativeNonGMxBIns</w:t>
      </w:r>
      <w:r>
        <w:rPr>
          <w:rFonts w:eastAsia="Times New Roman"/>
          <w:vanish/>
        </w:rPr>
        <w:t>uranceProductsMember2022-09-300001333986us-gaap:FairValueMeasurementsRecurringMembereqh:EmbeddedDerivativeNonGMxBInsuranceProductsMemberus-gaap:FairValueInputsLevel3Member2022-09-300001333986us-gaap:FairValueMeasurementsRecurringMembereqh:EmbeddedDerivativ</w:t>
      </w:r>
      <w:r>
        <w:rPr>
          <w:rFonts w:eastAsia="Times New Roman"/>
          <w:vanish/>
        </w:rPr>
        <w:t>eNonGMxBInsuranceProductsMember2022-09-300001333986us-gaap:FairValueMeasurementsRecurringMemberus-gaap:VariableInterestEntityPrimaryBeneficiaryMemberus-gaap:FairValueInputsLevel1Member2022-09-300001333986us-gaap:FairValueMeasurementsRecurringMemberus-gaap:</w:t>
      </w:r>
      <w:r>
        <w:rPr>
          <w:rFonts w:eastAsia="Times New Roman"/>
          <w:vanish/>
        </w:rPr>
        <w:t>FairValueInputsLevel2Memberus-gaap:VariableInterestEntityPrimaryBeneficiaryMember2022-09-300001333986us-gaap:FairValueMeasurementsRecurringMemberus-gaap:VariableInterestEntityPrimaryBeneficiaryMemberus-gaap:FairValueInputsLevel3Member2022-09-300001333986us</w:t>
      </w:r>
      <w:r>
        <w:rPr>
          <w:rFonts w:eastAsia="Times New Roman"/>
          <w:vanish/>
        </w:rPr>
        <w:t>-gaap:FairValueMeasurementsRecurringMemberus-gaap:VariableInterestEntityPrimaryBeneficiaryMember2022-09-300001333986us-gaap:FairValueMeasurementsRecurringMemberus-gaap:FairValueMeasuredAtNetAssetValuePerShareMember2022-09-300001333986us-gaap:Collateralized</w:t>
      </w:r>
      <w:r>
        <w:rPr>
          <w:rFonts w:eastAsia="Times New Roman"/>
          <w:vanish/>
        </w:rPr>
        <w:t>LoanObligationsMemberus-gaap:CarryingReportedAmountFairValueDisclosureMember2022-09-300001333986us-gaap:CarryingReportedAmountFairValueDisclosureMemberus-gaap:OtherLiabilitiesMember2022-09-300001333986eqh:PublicCorporateMemberus-gaap:FairValueMeasurementsR</w:t>
      </w:r>
      <w:r>
        <w:rPr>
          <w:rFonts w:eastAsia="Times New Roman"/>
          <w:vanish/>
        </w:rPr>
        <w:t>ecurringMemberus-gaap:FairValueInputsLevel1Member2021-12-310001333986eqh:PublicCorporateMemberus-gaap:FairValueMeasurementsRecurringMemberus-gaap:FairValueInputsLevel2Member2021-12-310001333986eqh:PublicCorporateMemberus-gaap:FairValueMeasurementsRecurring</w:t>
      </w:r>
      <w:r>
        <w:rPr>
          <w:rFonts w:eastAsia="Times New Roman"/>
          <w:vanish/>
        </w:rPr>
        <w:t>Memberus-gaap:FairValueInputsLevel3Member2021-12-310001333986eqh:PublicCorporateMemberus-gaap:FairValueMeasurementsRecurringMember2021-12-310001333986us-gaap:FairValueMeasurementsRecurringMemberus-gaap:USTreasuryAndGovernmentMemberus-gaap:FairValueInputsLe</w:t>
      </w:r>
      <w:r>
        <w:rPr>
          <w:rFonts w:eastAsia="Times New Roman"/>
          <w:vanish/>
        </w:rPr>
        <w:t>vel1Member2021-12-310001333986us-gaap:FairValueMeasurementsRecurringMemberus-gaap:FairValueInputsLevel2Memberus-gaap:USTreasuryAndGovernmentMember2021-12-310001333986us-gaap:FairValueMeasurementsRecurringMemberus-gaap:USTreasuryAndGovernmentMemberus-gaap:F</w:t>
      </w:r>
      <w:r>
        <w:rPr>
          <w:rFonts w:eastAsia="Times New Roman"/>
          <w:vanish/>
        </w:rPr>
        <w:t>airValueInputsLevel3Member2021-12-310001333986us-gaap:FairValueMeasurementsRecurringMemberus-gaap:USTreasuryAndGovernmentMember2021-12-310001333986us-gaap:FairValueMeasurementsRecurringMemberus-gaap:USStatesAndPoliticalSubdivisionsMemberus-gaap:FairValueIn</w:t>
      </w:r>
      <w:r>
        <w:rPr>
          <w:rFonts w:eastAsia="Times New Roman"/>
          <w:vanish/>
        </w:rPr>
        <w:t>putsLevel1Member2021-12-310001333986us-gaap:FairValueMeasurementsRecurringMemberus-gaap:FairValueInputsLevel2Memberus-gaap:USStatesAndPoliticalSubdivisionsMember2021-12-310001333986us-gaap:FairValueMeasurementsRecurringMemberus-gaap:USStatesAndPoliticalSub</w:t>
      </w:r>
      <w:r>
        <w:rPr>
          <w:rFonts w:eastAsia="Times New Roman"/>
          <w:vanish/>
        </w:rPr>
        <w:t>divisionsMemberus-gaap:FairValueInputsLevel3Member2021-12-310001333986us-gaap:FairValueMeasurementsRecurringMemberus-gaap:USStatesAndPoliticalSubdivisionsMember2021-12-310001333986us-gaap:FairValueMeasurementsRecurringMemberus-gaap:ForeignGovernmentDebtSec</w:t>
      </w:r>
      <w:r>
        <w:rPr>
          <w:rFonts w:eastAsia="Times New Roman"/>
          <w:vanish/>
        </w:rPr>
        <w:t>uritiesMemberus-gaap:FairValueInputsLevel1Member2021-12-310001333986us-gaap:FairValueMeasurementsRecurringMemberus-gaap:ForeignGovernmentDebtSecuritiesMemberus-gaap:FairValueInputsLevel2Member2021-12-310001333986us-gaap:FairValueMeasurementsRecurringMember</w:t>
      </w:r>
      <w:r>
        <w:rPr>
          <w:rFonts w:eastAsia="Times New Roman"/>
          <w:vanish/>
        </w:rPr>
        <w:t>us-gaap:ForeignGovernmentDebtSecuritiesMemberus-gaap:FairValueInputsLevel3Member2021-12-310001333986us-gaap:FairValueMeasurementsRecurringMemberus-gaap:ForeignGovernmentDebtSecuritiesMember2021-12-310001333986us-gaap:FairValueMeasurementsRecurringMemberus-</w:t>
      </w:r>
      <w:r>
        <w:rPr>
          <w:rFonts w:eastAsia="Times New Roman"/>
          <w:vanish/>
        </w:rPr>
        <w:t>gaap:ResidentialMortgageBackedSecuritiesMemberus-gaap:FairValueInputsLevel1Member2021-12-310001333986us-gaap:FairValueMeasurementsRecurringMemberus-gaap:FairValueInputsLevel2Memberus-gaap:ResidentialMortgageBackedSecuritiesMember2021-12-310001333986us-gaap</w:t>
      </w:r>
      <w:r>
        <w:rPr>
          <w:rFonts w:eastAsia="Times New Roman"/>
          <w:vanish/>
        </w:rPr>
        <w:t>:FairValueMeasurementsRecurringMemberus-gaap:FairValueInputsLevel3Memberus-gaap:ResidentialMortgageBackedSecuritiesMember2021-12-310001333986us-gaap:FairValueMeasurementsRecurringMemberus-gaap:ResidentialMortgageBackedSecuritiesMember2021-12-310001333986us</w:t>
      </w:r>
      <w:r>
        <w:rPr>
          <w:rFonts w:eastAsia="Times New Roman"/>
          <w:vanish/>
        </w:rPr>
        <w:t>-gaap:FairValueMeasurementsRecurringMemberus-gaap:FairValueInputsLevel1Memberus-gaap:AssetBackedSecuritiesMember2021-12-310001333986us-gaap:FairValueMeasurementsRecurringMemberus-gaap:FairValueInputsLevel2Memberus-gaap:AssetBackedSecuritiesMember2021-12-31</w:t>
      </w:r>
      <w:r>
        <w:rPr>
          <w:rFonts w:eastAsia="Times New Roman"/>
          <w:vanish/>
        </w:rPr>
        <w:t>0001333986us-gaap:FairValueMeasurementsRecurringMemberus-gaap:FairValueInputsLevel3Memberus-gaap:AssetBackedSecuritiesMember2021-12-310001333986us-gaap:FairValueMeasurementsRecurringMemberus-gaap:AssetBackedSecuritiesMember2021-12-310001333986us-gaap:FairV</w:t>
      </w:r>
      <w:r>
        <w:rPr>
          <w:rFonts w:eastAsia="Times New Roman"/>
          <w:vanish/>
        </w:rPr>
        <w:t>alueMeasurementsRecurringMemberus-gaap:CommercialMortgageBackedSecuritiesMemberus-gaap:FairValueInputsLevel1Member2021-12-310001333986us-gaap:FairValueMeasurementsRecurringMemberus-gaap:FairValueInputsLevel2Memberus-gaap:CommercialMortgageBackedSecuritiesM</w:t>
      </w:r>
      <w:r>
        <w:rPr>
          <w:rFonts w:eastAsia="Times New Roman"/>
          <w:vanish/>
        </w:rPr>
        <w:t>ember2021-12-310001333986us-gaap:FairValueMeasurementsRecurringMemberus-gaap:FairValueInputsLevel3Memberus-gaap:CommercialMortgageBackedSecuritiesMember2021-12-310001333986us-gaap:FairValueMeasurementsRecurringMemberus-gaap:CommercialMortgageBackedSecuriti</w:t>
      </w:r>
      <w:r>
        <w:rPr>
          <w:rFonts w:eastAsia="Times New Roman"/>
          <w:vanish/>
        </w:rPr>
        <w:t>esMember2021-12-310001333986us-gaap:FairValueMeasurementsRecurringMemberus-gaap:RedeemablePreferredStockMemberus-gaap:FairValueInputsLevel1Member2021-12-310001333986us-gaap:FairValueMeasurementsRecurringMemberus-gaap:FairValueInputsLevel2Memberus-gaap:Rede</w:t>
      </w:r>
      <w:r>
        <w:rPr>
          <w:rFonts w:eastAsia="Times New Roman"/>
          <w:vanish/>
        </w:rPr>
        <w:t>emablePreferredStockMember2021-12-310001333986us-gaap:FairValueMeasurementsRecurringMemberus-gaap:FairValueInputsLevel3Memberus-gaap:RedeemablePreferredStockMember2021-12-310001333986us-gaap:FairValueMeasurementsRecurringMemberus-gaap:RedeemablePreferredSt</w:t>
      </w:r>
      <w:r>
        <w:rPr>
          <w:rFonts w:eastAsia="Times New Roman"/>
          <w:vanish/>
        </w:rPr>
        <w:t>ockMember2021-12-310001333986us-gaap:FairValueMeasurementsRecurringMemberus-gaap:FairValueInputsLevel1Member2021-12-310001333986us-gaap:FairValueMeasurementsRecurringMemberus-gaap:FairValueInputsLevel2Member2021-12-310001333986us-gaap:FairValueMeasurements</w:t>
      </w:r>
      <w:r>
        <w:rPr>
          <w:rFonts w:eastAsia="Times New Roman"/>
          <w:vanish/>
        </w:rPr>
        <w:t>RecurringMemberus-gaap:FairValueInputsLevel3Member2021-12-310001333986us-gaap:FairValueMeasurementsRecurringMemberus-gaap:FairValueInputsLevel1Memberus-gaap:ShortTermInvestmentsMember2021-12-310001333986us-gaap:FairValueMeasurementsRecurringMemberus-gaap:F</w:t>
      </w:r>
      <w:r>
        <w:rPr>
          <w:rFonts w:eastAsia="Times New Roman"/>
          <w:vanish/>
        </w:rPr>
        <w:t>airValueInputsLevel2Memberus-gaap:ShortTermInvestmentsMember2021-12-310001333986us-gaap:FairValueMeasurementsRecurringMemberus-gaap:FairValueInputsLevel3Memberus-gaap:ShortTermInvestmentsMember2021-12-310001333986us-gaap:FairValueMeasurementsRecurringMembe</w:t>
      </w:r>
      <w:r>
        <w:rPr>
          <w:rFonts w:eastAsia="Times New Roman"/>
          <w:vanish/>
        </w:rPr>
        <w:t>rus-gaap:ShortTermInvestmentsMember2021-12-310001333986us-gaap:FairValueMeasurementsRecurringMembereqh:AssetsofConsolidatedVIEsVOEsMemberus-gaap:FairValueInputsLevel1Member2021-12-310001333986us-gaap:FairValueMeasurementsRecurringMemberus-gaap:FairValueInp</w:t>
      </w:r>
      <w:r>
        <w:rPr>
          <w:rFonts w:eastAsia="Times New Roman"/>
          <w:vanish/>
        </w:rPr>
        <w:t>utsLevel2Membereqh:AssetsofConsolidatedVIEsVOEsMember2021-12-310001333986us-gaap:FairValueMeasurementsRecurringMembereqh:AssetsofConsolidatedVIEsVOEsMemberus-gaap:FairValueInputsLevel3Member2021-12-310001333986us-gaap:FairValueMeasurementsRecurringMembereq</w:t>
      </w:r>
      <w:r>
        <w:rPr>
          <w:rFonts w:eastAsia="Times New Roman"/>
          <w:vanish/>
        </w:rPr>
        <w:t>h:AssetsofConsolidatedVIEsVOEsMember2021-12-310001333986us-gaap:FairValueMeasurementsRecurringMemberus-gaap:SwapMemberus-gaap:FairValueInputsLevel1Member2021-12-310001333986us-gaap:FairValueMeasurementsRecurringMemberus-gaap:FairValueInputsLevel2Memberus-g</w:t>
      </w:r>
      <w:r>
        <w:rPr>
          <w:rFonts w:eastAsia="Times New Roman"/>
          <w:vanish/>
        </w:rPr>
        <w:t>aap:SwapMember2021-12-310001333986us-gaap:FairValueMeasurementsRecurringMemberus-gaap:SwapMemberus-gaap:FairValueInputsLevel3Member2021-12-310001333986us-gaap:FairValueMeasurementsRecurringMemberus-gaap:SwapMember2021-12-310001333986us-gaap:FairValueMeasur</w:t>
      </w:r>
      <w:r>
        <w:rPr>
          <w:rFonts w:eastAsia="Times New Roman"/>
          <w:vanish/>
        </w:rPr>
        <w:t>ementsRecurringMemberus-gaap:CreditDefaultSwapMemberus-gaap:FairValueInputsLevel1Member2021-12-310001333986us-gaap:FairValueMeasurementsRecurringMemberus-gaap:FairValueInputsLevel2Memberus-gaap:CreditDefaultSwapMember2021-12-310001333986us-gaap:FairValueMe</w:t>
      </w:r>
      <w:r>
        <w:rPr>
          <w:rFonts w:eastAsia="Times New Roman"/>
          <w:vanish/>
        </w:rPr>
        <w:t>asurementsRecurringMemberus-gaap:CreditDefaultSwapMemberus-gaap:FairValueInputsLevel3Member2021-12-310001333986us-gaap:FairValueMeasurementsRecurringMemberus-gaap:CreditDefaultSwapMember2021-12-310001333986us-gaap:FairValueMeasurementsRecurringMemberus-gaa</w:t>
      </w:r>
      <w:r>
        <w:rPr>
          <w:rFonts w:eastAsia="Times New Roman"/>
          <w:vanish/>
        </w:rPr>
        <w:t>p:FutureMemberus-gaap:FairValueInputsLevel1Member2021-12-310001333986us-gaap:FairValueMeasurementsRecurringMemberus-gaap:FairValueInputsLevel2Memberus-gaap:FutureMember2021-12-310001333986us-gaap:FairValueMeasurementsRecurringMemberus-gaap:FutureMemberus-g</w:t>
      </w:r>
      <w:r>
        <w:rPr>
          <w:rFonts w:eastAsia="Times New Roman"/>
          <w:vanish/>
        </w:rPr>
        <w:t>aap:FairValueInputsLevel3Member2021-12-310001333986us-gaap:FairValueMeasurementsRecurringMemberus-gaap:FutureMember2021-12-310001333986us-gaap:FairValueMeasurementsRecurringMemberus-gaap:OptionMemberus-gaap:FairValueInputsLevel1Member2021-12-310001333986us</w:t>
      </w:r>
      <w:r>
        <w:rPr>
          <w:rFonts w:eastAsia="Times New Roman"/>
          <w:vanish/>
        </w:rPr>
        <w:t>-gaap:FairValueMeasurementsRecurringMemberus-gaap:FairValueInputsLevel2Memberus-gaap:OptionMember2021-12-310001333986us-gaap:FairValueMeasurementsRecurringMemberus-gaap:OptionMemberus-gaap:FairValueInputsLevel3Member2021-12-310001333986us-gaap:FairValueMea</w:t>
      </w:r>
      <w:r>
        <w:rPr>
          <w:rFonts w:eastAsia="Times New Roman"/>
          <w:vanish/>
        </w:rPr>
        <w:t>surementsRecurringMemberus-gaap:OptionMember2021-12-310001333986us-gaap:FairValueMeasurementsRecurringMemberus-gaap:InterestRateSwaptionMemberus-gaap:FairValueInputsLevel1Member2021-12-310001333986us-gaap:FairValueMeasurementsRecurringMemberus-gaap:FairVal</w:t>
      </w:r>
      <w:r>
        <w:rPr>
          <w:rFonts w:eastAsia="Times New Roman"/>
          <w:vanish/>
        </w:rPr>
        <w:t>ueInputsLevel2Memberus-gaap:InterestRateSwaptionMember2021-12-310001333986us-gaap:FairValueMeasurementsRecurringMemberus-gaap:InterestRateSwaptionMemberus-gaap:FairValueInputsLevel3Member2021-12-310001333986us-gaap:FairValueMeasurementsRecurringMemberus-ga</w:t>
      </w:r>
      <w:r>
        <w:rPr>
          <w:rFonts w:eastAsia="Times New Roman"/>
          <w:vanish/>
        </w:rPr>
        <w:t>ap:InterestRateSwaptionMember2021-12-310001333986us-gaap:FairValueMeasurementsRecurringMemberus-gaap:GuaranteedMinimumWithdrawalBenefitMemberus-gaap:FairValueInputsLevel1Member2021-12-310001333986us-gaap:FairValueMeasurementsRecurringMemberus-gaap:FairValu</w:t>
      </w:r>
      <w:r>
        <w:rPr>
          <w:rFonts w:eastAsia="Times New Roman"/>
          <w:vanish/>
        </w:rPr>
        <w:t>eInputsLevel2Memberus-gaap:GuaranteedMinimumWithdrawalBenefitMember2021-12-310001333986us-gaap:FairValueMeasurementsRecurringMemberus-gaap:GuaranteedMinimumWithdrawalBenefitMemberus-gaap:FairValueInputsLevel3Member2021-12-310001333986us-gaap:FairValueMeasu</w:t>
      </w:r>
      <w:r>
        <w:rPr>
          <w:rFonts w:eastAsia="Times New Roman"/>
          <w:vanish/>
        </w:rPr>
        <w:t>rementsRecurringMemberus-gaap:GuaranteedMinimumWithdrawalBenefitMember2021-12-310001333986us-gaap:FairValueMeasurementsRecurringMembereqh:EmbeddedDerivativeNonGMxBInsuranceProductsMemberus-gaap:FairValueInputsLevel1Member2021-12-310001333986us-gaap:FairVal</w:t>
      </w:r>
      <w:r>
        <w:rPr>
          <w:rFonts w:eastAsia="Times New Roman"/>
          <w:vanish/>
        </w:rPr>
        <w:t>ueMeasurementsRecurringMemberus-gaap:FairValueInputsLevel2Membereqh:EmbeddedDerivativeNonGMxBInsuranceProductsMember2021-12-310001333986us-gaap:FairValueMeasurementsRecurringMembereqh:EmbeddedDerivativeNonGMxBInsuranceProductsMemberus-gaap:FairValueInputsL</w:t>
      </w:r>
      <w:r>
        <w:rPr>
          <w:rFonts w:eastAsia="Times New Roman"/>
          <w:vanish/>
        </w:rPr>
        <w:t>evel3Member2021-12-310001333986us-gaap:FairValueMeasurementsRecurringMembereqh:EmbeddedDerivativeNonGMxBInsuranceProductsMember2021-12-310001333986us-gaap:FairValueMeasurementsRecurringMemberus-gaap:VariableInterestEntityPrimaryBeneficiaryMemberus-gaap:Fai</w:t>
      </w:r>
      <w:r>
        <w:rPr>
          <w:rFonts w:eastAsia="Times New Roman"/>
          <w:vanish/>
        </w:rPr>
        <w:t>rValueInputsLevel1Member2021-12-310001333986us-gaap:FairValueMeasurementsRecurringMemberus-gaap:FairValueInputsLevel2Memberus-gaap:VariableInterestEntityPrimaryBeneficiaryMember2021-12-310001333986us-gaap:FairValueMeasurementsRecurringMemberus-gaap:Variabl</w:t>
      </w:r>
      <w:r>
        <w:rPr>
          <w:rFonts w:eastAsia="Times New Roman"/>
          <w:vanish/>
        </w:rPr>
        <w:t>eInterestEntityPrimaryBeneficiaryMemberus-gaap:FairValueInputsLevel3Member2021-12-310001333986us-gaap:FairValueMeasurementsRecurringMemberus-gaap:VariableInterestEntityPrimaryBeneficiaryMember2021-12-310001333986us-gaap:FairValueMeasurementsRecurringMember</w:t>
      </w:r>
      <w:r>
        <w:rPr>
          <w:rFonts w:eastAsia="Times New Roman"/>
          <w:vanish/>
        </w:rPr>
        <w:t>us-gaap:FairValueMeasuredAtNetAssetValuePerShareMember2021-12-310001333986us-gaap:CollateralizedLoanObligationsMemberus-gaap:CarryingReportedAmountFairValueDisclosureMember2021-12-310001333986us-gaap:FairValueInputsLevel3Memberus-gaap:CorporateDebtSecuriti</w:t>
      </w:r>
      <w:r>
        <w:rPr>
          <w:rFonts w:eastAsia="Times New Roman"/>
          <w:vanish/>
        </w:rPr>
        <w:t>esMember2022-06-300001333986us-gaap:USStatesAndPoliticalSubdivisionsMemberus-gaap:FairValueInputsLevel3Member2022-06-300001333986us-gaap:FairValueInputsLevel3Memberus-gaap:AssetBackedSecuritiesMember2022-06-300001333986us-gaap:CommercialMortgageBackedSecur</w:t>
      </w:r>
      <w:r>
        <w:rPr>
          <w:rFonts w:eastAsia="Times New Roman"/>
          <w:vanish/>
        </w:rPr>
        <w:t>itiesMemberus-gaap:FairValueInputsLevel3Member2022-06-300001333986eqh:TradingSecuritiesMemberus-gaap:FairValueInputsLevel3Member2022-06-300001333986eqh:FixedMaturitiesAtFairValueUsingTheFairValueOptionMemberus-gaap:FairValueInputsLevel3Member2022-06-300001</w:t>
      </w:r>
      <w:r>
        <w:rPr>
          <w:rFonts w:eastAsia="Times New Roman"/>
          <w:vanish/>
        </w:rPr>
        <w:t>333986us-gaap:FairValueInputsLevel3Memberus-gaap:CorporateDebtSecuritiesMember2022-07-012022-09-300001333986us-gaap:USStatesAndPoliticalSubdivisionsMemberus-gaap:FairValueInputsLevel3Member2022-07-012022-09-300001333986us-gaap:FairValueInputsLevel3Memberus</w:t>
      </w:r>
      <w:r>
        <w:rPr>
          <w:rFonts w:eastAsia="Times New Roman"/>
          <w:vanish/>
        </w:rPr>
        <w:t>-gaap:AssetBackedSecuritiesMember2022-07-012022-09-300001333986us-gaap:CommercialMortgageBackedSecuritiesMemberus-gaap:FairValueInputsLevel3Member2022-07-012022-09-300001333986eqh:TradingSecuritiesMemberus-gaap:FairValueInputsLevel3Member2022-07-012022-09-</w:t>
      </w:r>
      <w:r>
        <w:rPr>
          <w:rFonts w:eastAsia="Times New Roman"/>
          <w:vanish/>
        </w:rPr>
        <w:t>300001333986eqh:FixedMaturitiesAtFairValueUsingTheFairValueOptionMemberus-gaap:FairValueInputsLevel3Member2022-07-012022-09-300001333986us-gaap:FairValueInputsLevel3Memberus-gaap:CorporateDebtSecuritiesMember2022-09-300001333986us-gaap:USStatesAndPolitical</w:t>
      </w:r>
      <w:r>
        <w:rPr>
          <w:rFonts w:eastAsia="Times New Roman"/>
          <w:vanish/>
        </w:rPr>
        <w:t>SubdivisionsMemberus-gaap:FairValueInputsLevel3Member2022-09-300001333986us-gaap:FairValueInputsLevel3Memberus-gaap:AssetBackedSecuritiesMember2022-09-300001333986us-gaap:CommercialMortgageBackedSecuritiesMemberus-gaap:FairValueInputsLevel3Member2022-09-30</w:t>
      </w:r>
      <w:r>
        <w:rPr>
          <w:rFonts w:eastAsia="Times New Roman"/>
          <w:vanish/>
        </w:rPr>
        <w:t>0001333986eqh:TradingSecuritiesMemberus-gaap:FairValueInputsLevel3Member2022-09-300001333986eqh:FixedMaturitiesAtFairValueUsingTheFairValueOptionMemberus-gaap:FairValueInputsLevel3Member2022-09-300001333986us-gaap:FairValueInputsLevel3Memberus-gaap:Corpora</w:t>
      </w:r>
      <w:r>
        <w:rPr>
          <w:rFonts w:eastAsia="Times New Roman"/>
          <w:vanish/>
        </w:rPr>
        <w:t>teDebtSecuritiesMember2021-06-300001333986us-gaap:USStatesAndPoliticalSubdivisionsMemberus-gaap:FairValueInputsLevel3Member2021-06-300001333986us-gaap:FairValueInputsLevel3Memberus-gaap:AssetBackedSecuritiesMember2021-06-300001333986us-gaap:CommercialMortg</w:t>
      </w:r>
      <w:r>
        <w:rPr>
          <w:rFonts w:eastAsia="Times New Roman"/>
          <w:vanish/>
        </w:rPr>
        <w:t>ageBackedSecuritiesMemberus-gaap:FairValueInputsLevel3Member2021-06-300001333986eqh:TradingSecuritiesMemberus-gaap:FairValueInputsLevel3Member2021-06-300001333986eqh:FixedMaturitiesAtFairValueUsingTheFairValueOptionMemberus-gaap:FairValueInputsLevel3Member</w:t>
      </w:r>
      <w:r>
        <w:rPr>
          <w:rFonts w:eastAsia="Times New Roman"/>
          <w:vanish/>
        </w:rPr>
        <w:t>2021-06-300001333986us-gaap:FairValueInputsLevel3Memberus-gaap:CorporateDebtSecuritiesMember2021-07-012021-09-300001333986us-gaap:USStatesAndPoliticalSubdivisionsMemberus-gaap:FairValueInputsLevel3Member2021-07-012021-09-300001333986us-gaap:FairValueInputs</w:t>
      </w:r>
      <w:r>
        <w:rPr>
          <w:rFonts w:eastAsia="Times New Roman"/>
          <w:vanish/>
        </w:rPr>
        <w:t>Level3Memberus-gaap:AssetBackedSecuritiesMember2021-07-012021-09-300001333986us-gaap:CommercialMortgageBackedSecuritiesMemberus-gaap:FairValueInputsLevel3Member2021-07-012021-09-300001333986eqh:TradingSecuritiesMemberus-gaap:FairValueInputsLevel3Member2021</w:t>
      </w:r>
      <w:r>
        <w:rPr>
          <w:rFonts w:eastAsia="Times New Roman"/>
          <w:vanish/>
        </w:rPr>
        <w:t>-07-012021-09-300001333986eqh:FixedMaturitiesAtFairValueUsingTheFairValueOptionMemberus-gaap:FairValueInputsLevel3Member2021-07-012021-09-300001333986us-gaap:FairValueInputsLevel3Memberus-gaap:CorporateDebtSecuritiesMember2021-09-300001333986us-gaap:USStat</w:t>
      </w:r>
      <w:r>
        <w:rPr>
          <w:rFonts w:eastAsia="Times New Roman"/>
          <w:vanish/>
        </w:rPr>
        <w:t>esAndPoliticalSubdivisionsMemberus-gaap:FairValueInputsLevel3Member2021-09-300001333986us-gaap:FairValueInputsLevel3Memberus-gaap:AssetBackedSecuritiesMember2021-09-300001333986us-gaap:CommercialMortgageBackedSecuritiesMemberus-gaap:FairValueInputsLevel3Me</w:t>
      </w:r>
      <w:r>
        <w:rPr>
          <w:rFonts w:eastAsia="Times New Roman"/>
          <w:vanish/>
        </w:rPr>
        <w:t>mber2021-09-300001333986eqh:TradingSecuritiesMemberus-gaap:FairValueInputsLevel3Member2021-09-300001333986eqh:FixedMaturitiesAtFairValueUsingTheFairValueOptionMemberus-gaap:FairValueInputsLevel3Member2021-09-300001333986us-gaap:FairValueInputsLevel3Memberu</w:t>
      </w:r>
      <w:r>
        <w:rPr>
          <w:rFonts w:eastAsia="Times New Roman"/>
          <w:vanish/>
        </w:rPr>
        <w:t>s-gaap:CorporateDebtSecuritiesMember2021-12-310001333986us-gaap:USStatesAndPoliticalSubdivisionsMemberus-gaap:FairValueInputsLevel3Member2021-12-310001333986us-gaap:FairValueInputsLevel3Memberus-gaap:AssetBackedSecuritiesMember2021-12-310001333986us-gaap:C</w:t>
      </w:r>
      <w:r>
        <w:rPr>
          <w:rFonts w:eastAsia="Times New Roman"/>
          <w:vanish/>
        </w:rPr>
        <w:t>ommercialMortgageBackedSecuritiesMemberus-gaap:FairValueInputsLevel3Member2021-12-310001333986eqh:TradingSecuritiesMemberus-gaap:FairValueInputsLevel3Member2021-12-310001333986eqh:FixedMaturitiesAtFairValueUsingTheFairValueOptionMemberus-gaap:FairValueInpu</w:t>
      </w:r>
      <w:r>
        <w:rPr>
          <w:rFonts w:eastAsia="Times New Roman"/>
          <w:vanish/>
        </w:rPr>
        <w:t>tsLevel3Member2021-12-310001333986us-gaap:FairValueInputsLevel3Memberus-gaap:CorporateDebtSecuritiesMember2022-01-012022-09-300001333986us-gaap:USStatesAndPoliticalSubdivisionsMemberus-gaap:FairValueInputsLevel3Member2022-01-012022-09-300001333986us-gaap:F</w:t>
      </w:r>
      <w:r>
        <w:rPr>
          <w:rFonts w:eastAsia="Times New Roman"/>
          <w:vanish/>
        </w:rPr>
        <w:t>airValueInputsLevel3Memberus-gaap:AssetBackedSecuritiesMember2022-01-012022-09-300001333986us-gaap:CommercialMortgageBackedSecuritiesMemberus-gaap:FairValueInputsLevel3Member2022-01-012022-09-300001333986eqh:TradingSecuritiesMemberus-gaap:FairValueInputsLe</w:t>
      </w:r>
      <w:r>
        <w:rPr>
          <w:rFonts w:eastAsia="Times New Roman"/>
          <w:vanish/>
        </w:rPr>
        <w:t>vel3Member2022-01-012022-09-300001333986eqh:FixedMaturitiesAtFairValueUsingTheFairValueOptionMemberus-gaap:FairValueInputsLevel3Member2022-01-012022-09-300001333986us-gaap:FairValueInputsLevel3Memberus-gaap:CorporateDebtSecuritiesMember2020-12-310001333986</w:t>
      </w:r>
      <w:r>
        <w:rPr>
          <w:rFonts w:eastAsia="Times New Roman"/>
          <w:vanish/>
        </w:rPr>
        <w:t>us-gaap:USStatesAndPoliticalSubdivisionsMemberus-gaap:FairValueInputsLevel3Member2020-12-310001333986us-gaap:FairValueInputsLevel3Memberus-gaap:AssetBackedSecuritiesMember2020-12-310001333986us-gaap:CommercialMortgageBackedSecuritiesMemberus-gaap:FairValue</w:t>
      </w:r>
      <w:r>
        <w:rPr>
          <w:rFonts w:eastAsia="Times New Roman"/>
          <w:vanish/>
        </w:rPr>
        <w:t>InputsLevel3Member2020-12-310001333986eqh:TradingSecuritiesMemberus-gaap:FairValueInputsLevel3Member2020-12-310001333986eqh:FixedMaturitiesAtFairValueUsingTheFairValueOptionMemberus-gaap:FairValueInputsLevel3Member2020-12-310001333986us-gaap:FairValueInput</w:t>
      </w:r>
      <w:r>
        <w:rPr>
          <w:rFonts w:eastAsia="Times New Roman"/>
          <w:vanish/>
        </w:rPr>
        <w:t>sLevel3Memberus-gaap:CorporateDebtSecuritiesMember2021-01-012021-09-300001333986us-gaap:USStatesAndPoliticalSubdivisionsMemberus-gaap:FairValueInputsLevel3Member2021-01-012021-09-300001333986us-gaap:FairValueInputsLevel3Memberus-gaap:AssetBackedSecuritiesM</w:t>
      </w:r>
      <w:r>
        <w:rPr>
          <w:rFonts w:eastAsia="Times New Roman"/>
          <w:vanish/>
        </w:rPr>
        <w:t>ember2021-01-012021-09-300001333986us-gaap:CommercialMortgageBackedSecuritiesMemberus-gaap:FairValueInputsLevel3Member2021-01-012021-09-300001333986eqh:TradingSecuritiesMemberus-gaap:FairValueInputsLevel3Member2021-01-012021-09-300001333986eqh:FixedMaturit</w:t>
      </w:r>
      <w:r>
        <w:rPr>
          <w:rFonts w:eastAsia="Times New Roman"/>
          <w:vanish/>
        </w:rPr>
        <w:t>iesAtFairValueUsingTheFairValueOptionMemberus-gaap:FairValueInputsLevel3Member2021-01-012021-09-300001333986us-gaap:EquityMethodInvestmentsMemberus-gaap:FairValueInputsLevel3Member2022-06-300001333986us-gaap:FairValueInputsLevel3Membereqh:EmbeddedDerivativ</w:t>
      </w:r>
      <w:r>
        <w:rPr>
          <w:rFonts w:eastAsia="Times New Roman"/>
          <w:vanish/>
        </w:rPr>
        <w:t>eGMIBReinsuranceMember2022-06-300001333986eqh:EmbeddedDerivativeDueFromReinsuranceReinsurersMemberus-gaap:FairValueInputsLevel3Member2022-06-300001333986eqh:SeparateAccountsMemberus-gaap:FairValueInputsLevel3Member2022-06-300001333986eqh:GuaranteedIncomeBe</w:t>
      </w:r>
      <w:r>
        <w:rPr>
          <w:rFonts w:eastAsia="Times New Roman"/>
          <w:vanish/>
        </w:rPr>
        <w:t>nefitGuaranteedWithdrawalBenefitAndOtherFeaturesLiabilityMemberus-gaap:FairValueInputsLevel3Member2022-06-300001333986us-gaap:FairValueInputsLevel3Membereqh:ContingentPaymentArrangementsMember2022-06-300001333986us-gaap:EquityMethodInvestmentsMemberus-gaap</w:t>
      </w:r>
      <w:r>
        <w:rPr>
          <w:rFonts w:eastAsia="Times New Roman"/>
          <w:vanish/>
        </w:rPr>
        <w:t>:FairValueInputsLevel3Member2022-07-012022-09-300001333986us-gaap:FairValueInputsLevel3Membereqh:EmbeddedDerivativeGMIBReinsuranceMember2022-07-012022-09-300001333986eqh:EmbeddedDerivativeDueFromReinsuranceReinsurersMemberus-gaap:FairValueInputsLevel3Membe</w:t>
      </w:r>
      <w:r>
        <w:rPr>
          <w:rFonts w:eastAsia="Times New Roman"/>
          <w:vanish/>
        </w:rPr>
        <w:t>r2022-07-012022-09-300001333986eqh:SeparateAccountsMemberus-gaap:FairValueInputsLevel3Member2022-07-012022-09-300001333986eqh:GuaranteedIncomeBenefitGuaranteedWithdrawalBenefitAndOtherFeaturesLiabilityMemberus-gaap:FairValueInputsLevel3Member2022-07-012022</w:t>
      </w:r>
      <w:r>
        <w:rPr>
          <w:rFonts w:eastAsia="Times New Roman"/>
          <w:vanish/>
        </w:rPr>
        <w:t>-09-300001333986us-gaap:FairValueInputsLevel3Membereqh:ContingentPaymentArrangementsMember2022-07-012022-09-300001333986us-gaap:EquityMethodInvestmentsMemberus-gaap:FairValueInputsLevel3Member2022-09-300001333986us-gaap:FairValueInputsLevel3Membereqh:Embed</w:t>
      </w:r>
      <w:r>
        <w:rPr>
          <w:rFonts w:eastAsia="Times New Roman"/>
          <w:vanish/>
        </w:rPr>
        <w:t>dedDerivativeGMIBReinsuranceMember2022-09-300001333986eqh:EmbeddedDerivativeDueFromReinsuranceReinsurersMemberus-gaap:FairValueInputsLevel3Member2022-09-300001333986eqh:SeparateAccountsMemberus-gaap:FairValueInputsLevel3Member2022-09-300001333986eqh:Guaran</w:t>
      </w:r>
      <w:r>
        <w:rPr>
          <w:rFonts w:eastAsia="Times New Roman"/>
          <w:vanish/>
        </w:rPr>
        <w:t>teedIncomeBenefitGuaranteedWithdrawalBenefitAndOtherFeaturesLiabilityMemberus-gaap:FairValueInputsLevel3Member2022-09-300001333986us-gaap:FairValueInputsLevel3Membereqh:ContingentPaymentArrangementsMember2022-09-300001333986us-gaap:EquityMethodInvestmentsM</w:t>
      </w:r>
      <w:r>
        <w:rPr>
          <w:rFonts w:eastAsia="Times New Roman"/>
          <w:vanish/>
        </w:rPr>
        <w:t>emberus-gaap:FairValueInputsLevel3Member2021-06-300001333986us-gaap:FairValueInputsLevel3Membereqh:EmbeddedDerivativeGMIBReinsuranceMember2021-06-300001333986eqh:EmbeddedDerivativeDueFromReinsuranceReinsurersMemberus-gaap:FairValueInputsLevel3Member2021-06</w:t>
      </w:r>
      <w:r>
        <w:rPr>
          <w:rFonts w:eastAsia="Times New Roman"/>
          <w:vanish/>
        </w:rPr>
        <w:t>-300001333986eqh:SeparateAccountsMemberus-gaap:FairValueInputsLevel3Member2021-06-300001333986eqh:GuaranteedIncomeBenefitGuaranteedWithdrawalBenefitAndOtherFeaturesLiabilityMemberus-gaap:FairValueInputsLevel3Member2021-06-300001333986us-gaap:FairValueInput</w:t>
      </w:r>
      <w:r>
        <w:rPr>
          <w:rFonts w:eastAsia="Times New Roman"/>
          <w:vanish/>
        </w:rPr>
        <w:t>sLevel3Membereqh:ContingentPaymentArrangementsMember2021-06-300001333986us-gaap:EquityMethodInvestmentsMemberus-gaap:FairValueInputsLevel3Member2021-07-012021-09-300001333986us-gaap:FairValueInputsLevel3Membereqh:EmbeddedDerivativeGMIBReinsuranceMember2021</w:t>
      </w:r>
      <w:r>
        <w:rPr>
          <w:rFonts w:eastAsia="Times New Roman"/>
          <w:vanish/>
        </w:rPr>
        <w:t>-07-012021-09-300001333986eqh:EmbeddedDerivativeDueFromReinsuranceReinsurersMemberus-gaap:FairValueInputsLevel3Member2021-07-012021-09-300001333986eqh:SeparateAccountsMemberus-gaap:FairValueInputsLevel3Member2021-07-012021-09-300001333986eqh:GuaranteedInco</w:t>
      </w:r>
      <w:r>
        <w:rPr>
          <w:rFonts w:eastAsia="Times New Roman"/>
          <w:vanish/>
        </w:rPr>
        <w:t>meBenefitGuaranteedWithdrawalBenefitAndOtherFeaturesLiabilityMemberus-gaap:FairValueInputsLevel3Member2021-07-012021-09-300001333986us-gaap:FairValueInputsLevel3Membereqh:ContingentPaymentArrangementsMember2021-07-012021-09-300001333986us-gaap:EquityMethod</w:t>
      </w:r>
      <w:r>
        <w:rPr>
          <w:rFonts w:eastAsia="Times New Roman"/>
          <w:vanish/>
        </w:rPr>
        <w:t>InvestmentsMemberus-gaap:FairValueInputsLevel3Member2021-09-300001333986us-gaap:FairValueInputsLevel3Membereqh:EmbeddedDerivativeGMIBReinsuranceMember2021-09-300001333986eqh:EmbeddedDerivativeDueFromReinsuranceReinsurersMemberus-gaap:FairValueInputsLevel3M</w:t>
      </w:r>
      <w:r>
        <w:rPr>
          <w:rFonts w:eastAsia="Times New Roman"/>
          <w:vanish/>
        </w:rPr>
        <w:t>ember2021-09-300001333986eqh:SeparateAccountsMemberus-gaap:FairValueInputsLevel3Member2021-09-300001333986eqh:GuaranteedIncomeBenefitGuaranteedWithdrawalBenefitAndOtherFeaturesLiabilityMemberus-gaap:FairValueInputsLevel3Member2021-09-300001333986us-gaap:Fa</w:t>
      </w:r>
      <w:r>
        <w:rPr>
          <w:rFonts w:eastAsia="Times New Roman"/>
          <w:vanish/>
        </w:rPr>
        <w:t>irValueInputsLevel3Membereqh:ContingentPaymentArrangementsMember2021-09-300001333986us-gaap:EquityMethodInvestmentsMemberus-gaap:FairValueInputsLevel3Member2021-12-310001333986us-gaap:FairValueInputsLevel3Membereqh:EmbeddedDerivativeGMIBReinsuranceMember20</w:t>
      </w:r>
      <w:r>
        <w:rPr>
          <w:rFonts w:eastAsia="Times New Roman"/>
          <w:vanish/>
        </w:rPr>
        <w:t>21-12-310001333986eqh:EmbeddedDerivativeDueFromReinsuranceReinsurersMemberus-gaap:FairValueInputsLevel3Member2021-12-310001333986eqh:SeparateAccountsMemberus-gaap:FairValueInputsLevel3Member2021-12-310001333986eqh:GuaranteedIncomeBenefitGuaranteedWithdrawa</w:t>
      </w:r>
      <w:r>
        <w:rPr>
          <w:rFonts w:eastAsia="Times New Roman"/>
          <w:vanish/>
        </w:rPr>
        <w:t>lBenefitAndOtherFeaturesLiabilityMemberus-gaap:FairValueInputsLevel3Member2021-12-310001333986us-gaap:FairValueInputsLevel3Membereqh:ContingentPaymentArrangementsMember2021-12-310001333986us-gaap:EquityMethodInvestmentsMemberus-gaap:FairValueInputsLevel3Me</w:t>
      </w:r>
      <w:r>
        <w:rPr>
          <w:rFonts w:eastAsia="Times New Roman"/>
          <w:vanish/>
        </w:rPr>
        <w:t>mber2022-01-012022-09-300001333986us-gaap:FairValueInputsLevel3Membereqh:EmbeddedDerivativeGMIBReinsuranceMember2022-01-012022-09-300001333986eqh:EmbeddedDerivativeDueFromReinsuranceReinsurersMemberus-gaap:FairValueInputsLevel3Member2022-01-012022-09-30000</w:t>
      </w:r>
      <w:r>
        <w:rPr>
          <w:rFonts w:eastAsia="Times New Roman"/>
          <w:vanish/>
        </w:rPr>
        <w:t>1333986eqh:SeparateAccountsMemberus-gaap:FairValueInputsLevel3Member2022-01-012022-09-300001333986eqh:GuaranteedIncomeBenefitGuaranteedWithdrawalBenefitAndOtherFeaturesLiabilityMemberus-gaap:FairValueInputsLevel3Member2022-01-012022-09-300001333986us-gaap:</w:t>
      </w:r>
      <w:r>
        <w:rPr>
          <w:rFonts w:eastAsia="Times New Roman"/>
          <w:vanish/>
        </w:rPr>
        <w:t>FairValueInputsLevel3Membereqh:ContingentPaymentArrangementsMember2022-01-012022-09-300001333986us-gaap:EquityMethodInvestmentsMemberus-gaap:FairValueInputsLevel3Member2020-12-310001333986us-gaap:FairValueInputsLevel3Membereqh:EmbeddedDerivativeGMIBReinsur</w:t>
      </w:r>
      <w:r>
        <w:rPr>
          <w:rFonts w:eastAsia="Times New Roman"/>
          <w:vanish/>
        </w:rPr>
        <w:t>anceMember2020-12-310001333986eqh:EmbeddedDerivativeDueFromReinsuranceReinsurersMemberus-gaap:FairValueInputsLevel3Member2020-12-310001333986eqh:SeparateAccountsMemberus-gaap:FairValueInputsLevel3Member2020-12-310001333986eqh:GuaranteedIncomeBenefitGuarant</w:t>
      </w:r>
      <w:r>
        <w:rPr>
          <w:rFonts w:eastAsia="Times New Roman"/>
          <w:vanish/>
        </w:rPr>
        <w:t>eedWithdrawalBenefitAndOtherFeaturesLiabilityMemberus-gaap:FairValueInputsLevel3Member2020-12-310001333986us-gaap:FairValueInputsLevel3Membereqh:ContingentPaymentArrangementsMember2020-12-310001333986us-gaap:EquityMethodInvestmentsMemberus-gaap:FairValueIn</w:t>
      </w:r>
      <w:r>
        <w:rPr>
          <w:rFonts w:eastAsia="Times New Roman"/>
          <w:vanish/>
        </w:rPr>
        <w:t>putsLevel3Member2021-01-012021-09-300001333986us-gaap:FairValueInputsLevel3Membereqh:EmbeddedDerivativeGMIBReinsuranceMember2021-01-012021-09-300001333986eqh:EmbeddedDerivativeDueFromReinsuranceReinsurersMemberus-gaap:FairValueInputsLevel3Member2021-01-012</w:t>
      </w:r>
      <w:r>
        <w:rPr>
          <w:rFonts w:eastAsia="Times New Roman"/>
          <w:vanish/>
        </w:rPr>
        <w:t>021-09-300001333986eqh:SeparateAccountsMemberus-gaap:FairValueInputsLevel3Member2021-01-012021-09-300001333986eqh:GuaranteedIncomeBenefitGuaranteedWithdrawalBenefitAndOtherFeaturesLiabilityMemberus-gaap:FairValueInputsLevel3Member2021-01-012021-09-30000133</w:t>
      </w:r>
      <w:r>
        <w:rPr>
          <w:rFonts w:eastAsia="Times New Roman"/>
          <w:vanish/>
        </w:rPr>
        <w:t>3986us-gaap:FairValueInputsLevel3Membereqh:ContingentPaymentArrangementsMember2021-01-012021-09-300001333986eqh:GuaranteedIncomeBenefitGuaranteedWithdrawalBenefitAndOtherFeaturesLiabilityMember2022-07-012022-09-300001333986eqh:GuaranteedIncomeBenefitGuaran</w:t>
      </w:r>
      <w:r>
        <w:rPr>
          <w:rFonts w:eastAsia="Times New Roman"/>
          <w:vanish/>
        </w:rPr>
        <w:t>teedWithdrawalBenefitAndOtherFeaturesLiabilityMember2021-07-012021-09-300001333986eqh:GuaranteedIncomeBenefitGuaranteedWithdrawalBenefitAndOtherFeaturesLiabilityMember2022-01-012022-09-300001333986eqh:GuaranteedIncomeBenefitGuaranteedWithdrawalBenefitAndOt</w:t>
      </w:r>
      <w:r>
        <w:rPr>
          <w:rFonts w:eastAsia="Times New Roman"/>
          <w:vanish/>
        </w:rPr>
        <w:t>herFeaturesLiabilityMember2021-01-012021-09-300001333986eqh:EmbeddedDerivativeGMIBReinsuranceMember2022-07-012022-09-300001333986eqh:EmbeddedDerivativeGMIBReinsuranceMember2021-07-012021-09-300001333986eqh:EmbeddedDerivativeGMIBReinsuranceMember2022-01-012</w:t>
      </w:r>
      <w:r>
        <w:rPr>
          <w:rFonts w:eastAsia="Times New Roman"/>
          <w:vanish/>
        </w:rPr>
        <w:t>022-09-300001333986eqh:EmbeddedDerivativeGMIBReinsuranceMember2021-01-012021-09-300001333986eqh:EmbeddedDerivativeDueFromReinsuranceReinsurersMember2022-07-012022-09-300001333986eqh:EmbeddedDerivativeDueFromReinsuranceReinsurersMember2021-07-012021-09-3000</w:t>
      </w:r>
      <w:r>
        <w:rPr>
          <w:rFonts w:eastAsia="Times New Roman"/>
          <w:vanish/>
        </w:rPr>
        <w:t>01333986eqh:EmbeddedDerivativeDueFromReinsuranceReinsurersMember2022-01-012022-09-300001333986eqh:EmbeddedDerivativeDueFromReinsuranceReinsurersMember2021-01-012021-09-300001333986us-gaap:CorporateDebtSecuritiesMemberus-gaap:FairValueInputsLevel3Membereqh:</w:t>
      </w:r>
      <w:r>
        <w:rPr>
          <w:rFonts w:eastAsia="Times New Roman"/>
          <w:vanish/>
        </w:rPr>
        <w:t>MatrixPricingModelValuationTechniqueMember2022-09-300001333986eqh:MeasurementInputSpreadOverBenchmarkMemberus-gaap:CorporateDebtSecuritiesMembersrt:MinimumMemberus-gaap:FairValueInputsLevel3Membereqh:MatrixPricingModelValuationTechniqueMember2022-09-300001</w:t>
      </w:r>
      <w:r>
        <w:rPr>
          <w:rFonts w:eastAsia="Times New Roman"/>
          <w:vanish/>
        </w:rPr>
        <w:t>333986srt:MaximumMembereqh:MeasurementInputSpreadOverBenchmarkMemberus-gaap:CorporateDebtSecuritiesMemberus-gaap:FairValueInputsLevel3Membereqh:MatrixPricingModelValuationTechniqueMember2022-09-300001333986eqh:MeasurementInputSpreadOverBenchmarkMemberus-ga</w:t>
      </w:r>
      <w:r>
        <w:rPr>
          <w:rFonts w:eastAsia="Times New Roman"/>
          <w:vanish/>
        </w:rPr>
        <w:t>ap:CorporateDebtSecuritiesMembersrt:WeightedAverageMemberus-gaap:FairValueInputsLevel3Membereqh:MatrixPricingModelValuationTechniqueMember2022-09-300001333986eqh:MarketComparableCompaniesValuationTechniqueMemberus-gaap:CorporateDebtSecuritiesMemberus-gaap:</w:t>
      </w:r>
      <w:r>
        <w:rPr>
          <w:rFonts w:eastAsia="Times New Roman"/>
          <w:vanish/>
        </w:rPr>
        <w:t>FairValueInputsLevel3Member2022-09-300001333986us-gaap:MeasurementInputEbitdaMultipleMembereqh:MarketComparableCompaniesValuationTechniqueMemberus-gaap:CorporateDebtSecuritiesMembersrt:MinimumMemberus-gaap:FairValueInputsLevel3Member2022-09-300001333986srt</w:t>
      </w:r>
      <w:r>
        <w:rPr>
          <w:rFonts w:eastAsia="Times New Roman"/>
          <w:vanish/>
        </w:rPr>
        <w:t>:MaximumMemberus-gaap:MeasurementInputEbitdaMultipleMembereqh:MarketComparableCompaniesValuationTechniqueMemberus-gaap:CorporateDebtSecuritiesMemberus-gaap:FairValueInputsLevel3Member2022-09-300001333986eqh:MarketComparableCompaniesValuationTechniqueMember</w:t>
      </w:r>
      <w:r>
        <w:rPr>
          <w:rFonts w:eastAsia="Times New Roman"/>
          <w:vanish/>
        </w:rPr>
        <w:t>us-gaap:MeasurementInputDiscountRateMemberus-gaap:CorporateDebtSecuritiesMembersrt:MinimumMemberus-gaap:FairValueInputsLevel3Member2022-09-300001333986srt:MaximumMembereqh:MarketComparableCompaniesValuationTechniqueMemberus-gaap:MeasurementInputDiscountRat</w:t>
      </w:r>
      <w:r>
        <w:rPr>
          <w:rFonts w:eastAsia="Times New Roman"/>
          <w:vanish/>
        </w:rPr>
        <w:t>eMemberus-gaap:CorporateDebtSecuritiesMemberus-gaap:FairValueInputsLevel3Member2022-09-300001333986eqh:MarketComparableCompaniesValuationTechniqueMemberus-gaap:CorporateDebtSecuritiesMembersrt:MinimumMembereqh:MeasurementInputCashFlowMultiplesMemberus-gaap</w:t>
      </w:r>
      <w:r>
        <w:rPr>
          <w:rFonts w:eastAsia="Times New Roman"/>
          <w:vanish/>
        </w:rPr>
        <w:t>:FairValueInputsLevel3Member2022-09-300001333986srt:MaximumMembereqh:MarketComparableCompaniesValuationTechniqueMemberus-gaap:CorporateDebtSecuritiesMembereqh:MeasurementInputCashFlowMultiplesMemberus-gaap:FairValueInputsLevel3Member2022-09-300001333986eqh</w:t>
      </w:r>
      <w:r>
        <w:rPr>
          <w:rFonts w:eastAsia="Times New Roman"/>
          <w:vanish/>
        </w:rPr>
        <w:t>:MeasurementInputLoanToValueMembereqh:MarketComparableCompaniesValuationTechniqueMemberus-gaap:CorporateDebtSecuritiesMembersrt:MinimumMemberus-gaap:FairValueInputsLevel3Member2022-09-300001333986eqh:MeasurementInputLoanToValueMembersrt:MaximumMembereqh:Ma</w:t>
      </w:r>
      <w:r>
        <w:rPr>
          <w:rFonts w:eastAsia="Times New Roman"/>
          <w:vanish/>
        </w:rPr>
        <w:t>rketComparableCompaniesValuationTechniqueMemberus-gaap:CorporateDebtSecuritiesMemberus-gaap:FairValueInputsLevel3Member2022-09-300001333986us-gaap:MeasurementInputEbitdaMultipleMembereqh:MarketComparableCompaniesValuationTechniqueMemberus-gaap:CorporateDeb</w:t>
      </w:r>
      <w:r>
        <w:rPr>
          <w:rFonts w:eastAsia="Times New Roman"/>
          <w:vanish/>
        </w:rPr>
        <w:t>tSecuritiesMembersrt:WeightedAverageMemberus-gaap:FairValueInputsLevel3Member2022-09-300001333986eqh:MarketComparableCompaniesValuationTechniqueMemberus-gaap:MeasurementInputDiscountRateMemberus-gaap:CorporateDebtSecuritiesMembersrt:WeightedAverageMemberus</w:t>
      </w:r>
      <w:r>
        <w:rPr>
          <w:rFonts w:eastAsia="Times New Roman"/>
          <w:vanish/>
        </w:rPr>
        <w:t>-gaap:FairValueInputsLevel3Member2022-09-300001333986eqh:MarketComparableCompaniesValuationTechniqueMemberus-gaap:CorporateDebtSecuritiesMembersrt:WeightedAverageMembereqh:MeasurementInputCashFlowMultiplesMemberus-gaap:FairValueInputsLevel3Member2022-09-30</w:t>
      </w:r>
      <w:r>
        <w:rPr>
          <w:rFonts w:eastAsia="Times New Roman"/>
          <w:vanish/>
        </w:rPr>
        <w:t>0001333986eqh:MeasurementInputLoanToValueMembereqh:MarketComparableCompaniesValuationTechniqueMemberus-gaap:CorporateDebtSecuritiesMembersrt:WeightedAverageMemberus-gaap:FairValueInputsLevel3Member2022-09-300001333986eqh:TradingSecuritiesMemberus-gaap:Fair</w:t>
      </w:r>
      <w:r>
        <w:rPr>
          <w:rFonts w:eastAsia="Times New Roman"/>
          <w:vanish/>
        </w:rPr>
        <w:t>ValueInputsLevel3Membereqh:DiscountedCashFlowValuationTechniqueMember2022-09-300001333986eqh:TradingSecuritiesMemberus-gaap:MeasurementInputRevenueMultipleMemberus-gaap:FairValueInputsLevel3Membereqh:DiscountedCashFlowValuationTechniqueMember2022-09-300001</w:t>
      </w:r>
      <w:r>
        <w:rPr>
          <w:rFonts w:eastAsia="Times New Roman"/>
          <w:vanish/>
        </w:rPr>
        <w:t>333986eqh:TradingSecuritiesMemberus-gaap:FairValueInputsLevel3Membereqh:DiscountedCashFlowValuationTechniqueMembereqh:MeasurementInputsDiscountFactorMember2022-09-300001333986eqh:TradingSecuritiesMemberus-gaap:FairValueInputsLevel3Membereqh:DiscountedCashF</w:t>
      </w:r>
      <w:r>
        <w:rPr>
          <w:rFonts w:eastAsia="Times New Roman"/>
          <w:vanish/>
        </w:rPr>
        <w:t>lowValuationTechniqueMember2022-01-012022-09-300001333986us-gaap:EquityMethodInvestmentsMembereqh:MarketComparableCompaniesValuationTechniqueMemberus-gaap:FairValueInputsLevel3Member2022-09-300001333986us-gaap:EquityMethodInvestmentsMembereqh:MarketCompara</w:t>
      </w:r>
      <w:r>
        <w:rPr>
          <w:rFonts w:eastAsia="Times New Roman"/>
          <w:vanish/>
        </w:rPr>
        <w:t>bleCompaniesValuationTechniqueMembersrt:MinimumMemberus-gaap:MeasurementInputRevenueMultipleMemberus-gaap:FairValueInputsLevel3Member2022-09-300001333986us-gaap:EquityMethodInvestmentsMembersrt:MaximumMembereqh:MarketComparableCompaniesValuationTechniqueMe</w:t>
      </w:r>
      <w:r>
        <w:rPr>
          <w:rFonts w:eastAsia="Times New Roman"/>
          <w:vanish/>
        </w:rPr>
        <w:t>mberus-gaap:MeasurementInputRevenueMultipleMemberus-gaap:FairValueInputsLevel3Member2022-09-300001333986us-gaap:EquityMethodInvestmentsMembereqh:MarketComparableCompaniesValuationTechniqueMembersrt:WeightedAverageMemberus-gaap:MeasurementInputRevenueMultip</w:t>
      </w:r>
      <w:r>
        <w:rPr>
          <w:rFonts w:eastAsia="Times New Roman"/>
          <w:vanish/>
        </w:rPr>
        <w:t>leMemberus-gaap:FairValueInputsLevel3Member2022-09-300001333986eqh:EmbeddedDerivativeGMIBReinsuranceMemberus-gaap:FairValueInputsLevel3Membereqh:DiscountedCashFlowValuationTechniqueMember2022-09-300001333986eqh:EmbeddedDerivativeGMIBReinsuranceMemberus-gaa</w:t>
      </w:r>
      <w:r>
        <w:rPr>
          <w:rFonts w:eastAsia="Times New Roman"/>
          <w:vanish/>
        </w:rPr>
        <w:t>p:MeasurementInputLapseRateMembersrt:MinimumMemberus-gaap:FairValueInputsLevel3Membereqh:DiscountedCashFlowValuationTechniqueMember2022-09-300001333986eqh:EmbeddedDerivativeGMIBReinsuranceMembersrt:MaximumMemberus-gaap:MeasurementInputLapseRateMemberus-gaa</w:t>
      </w:r>
      <w:r>
        <w:rPr>
          <w:rFonts w:eastAsia="Times New Roman"/>
          <w:vanish/>
        </w:rPr>
        <w:t>p:FairValueInputsLevel3Membereqh:DiscountedCashFlowValuationTechniqueMember2022-09-300001333986eqh:EmbeddedDerivativeGMIBReinsuranceMembersrt:MinimumMemberus-gaap:FairValueInputsLevel3Membereqh:DiscountedCashFlowValuationTechniqueMemberus-gaap:MeasurementI</w:t>
      </w:r>
      <w:r>
        <w:rPr>
          <w:rFonts w:eastAsia="Times New Roman"/>
          <w:vanish/>
        </w:rPr>
        <w:t>nputWithdrawalRateMember2022-09-300001333986eqh:EmbeddedDerivativeGMIBReinsuranceMembersrt:MaximumMemberus-gaap:FairValueInputsLevel3Membereqh:DiscountedCashFlowValuationTechniqueMemberus-gaap:MeasurementInputWithdrawalRateMember2022-09-300001333986eqh:Emb</w:t>
      </w:r>
      <w:r>
        <w:rPr>
          <w:rFonts w:eastAsia="Times New Roman"/>
          <w:vanish/>
        </w:rPr>
        <w:t>eddedDerivativeGMIBReinsuranceMembersrt:MinimumMemberus-gaap:FairValueInputsLevel3Membereqh:DiscountedCashFlowValuationTechniqueMemberus-gaap:MeasurementInputUtilizationRateMember2022-09-300001333986eqh:EmbeddedDerivativeGMIBReinsuranceMembersrt:MaximumMem</w:t>
      </w:r>
      <w:r>
        <w:rPr>
          <w:rFonts w:eastAsia="Times New Roman"/>
          <w:vanish/>
        </w:rPr>
        <w:t>berus-gaap:FairValueInputsLevel3Membereqh:DiscountedCashFlowValuationTechniqueMemberus-gaap:MeasurementInputUtilizationRateMember2022-09-300001333986eqh:EmbeddedDerivativeGMIBReinsuranceMembereqh:MeasurementInputNonperformanceRiskMembersrt:MinimumMemberus-</w:t>
      </w:r>
      <w:r>
        <w:rPr>
          <w:rFonts w:eastAsia="Times New Roman"/>
          <w:vanish/>
        </w:rPr>
        <w:t>gaap:FairValueInputsLevel3Membereqh:DiscountedCashFlowValuationTechniqueMember2022-09-300001333986eqh:EmbeddedDerivativeGMIBReinsuranceMembersrt:MaximumMembereqh:MeasurementInputNonperformanceRiskMemberus-gaap:FairValueInputsLevel3Membereqh:DiscountedCashF</w:t>
      </w:r>
      <w:r>
        <w:rPr>
          <w:rFonts w:eastAsia="Times New Roman"/>
          <w:vanish/>
        </w:rPr>
        <w:t>lowValuationTechniqueMember2022-09-300001333986eqh:EmbeddedDerivativeGMIBReinsuranceMembersrt:MinimumMemberus-gaap:FairValueInputsLevel3Membereqh:DiscountedCashFlowValuationTechniqueMembereqh:MeasurementInputEquityVolatilityMember2022-09-300001333986eqh:Em</w:t>
      </w:r>
      <w:r>
        <w:rPr>
          <w:rFonts w:eastAsia="Times New Roman"/>
          <w:vanish/>
        </w:rPr>
        <w:t>beddedDerivativeGMIBReinsuranceMembersrt:MaximumMemberus-gaap:FairValueInputsLevel3Membereqh:DiscountedCashFlowValuationTechniqueMembereqh:MeasurementInputEquityVolatilityMember2022-09-300001333986eqh:EmbeddedDerivativeGMIBReinsuranceMemberus-gaap:Measurem</w:t>
      </w:r>
      <w:r>
        <w:rPr>
          <w:rFonts w:eastAsia="Times New Roman"/>
          <w:vanish/>
        </w:rPr>
        <w:t>entInputMortalityRateMembereqh:RangeOneMembersrt:MinimumMemberus-gaap:FairValueInputsLevel3Membereqh:DiscountedCashFlowValuationTechniqueMember2022-09-300001333986eqh:EmbeddedDerivativeGMIBReinsuranceMembersrt:MaximumMemberus-gaap:MeasurementInputMortality</w:t>
      </w:r>
      <w:r>
        <w:rPr>
          <w:rFonts w:eastAsia="Times New Roman"/>
          <w:vanish/>
        </w:rPr>
        <w:t>RateMembereqh:RangeOneMemberus-gaap:FairValueInputsLevel3Membereqh:DiscountedCashFlowValuationTechniqueMember2022-09-300001333986eqh:EmbeddedDerivativeGMIBReinsuranceMemberus-gaap:MeasurementInputMortalityRateMembersrt:MinimumMembereqh:RangeTwoMemberus-gaa</w:t>
      </w:r>
      <w:r>
        <w:rPr>
          <w:rFonts w:eastAsia="Times New Roman"/>
          <w:vanish/>
        </w:rPr>
        <w:t>p:FairValueInputsLevel3Membereqh:DiscountedCashFlowValuationTechniqueMember2022-09-300001333986eqh:EmbeddedDerivativeGMIBReinsuranceMembersrt:MaximumMemberus-gaap:MeasurementInputMortalityRateMembereqh:RangeTwoMemberus-gaap:FairValueInputsLevel3Membereqh:D</w:t>
      </w:r>
      <w:r>
        <w:rPr>
          <w:rFonts w:eastAsia="Times New Roman"/>
          <w:vanish/>
        </w:rPr>
        <w:t>iscountedCashFlowValuationTechniqueMember2022-09-300001333986eqh:EmbeddedDerivativeGMIBReinsuranceMemberus-gaap:MeasurementInputMortalityRateMembersrt:MinimumMemberus-gaap:FairValueInputsLevel3Membereqh:DiscountedCashFlowValuationTechniqueMembereqh:RangeTh</w:t>
      </w:r>
      <w:r>
        <w:rPr>
          <w:rFonts w:eastAsia="Times New Roman"/>
          <w:vanish/>
        </w:rPr>
        <w:t>reeMember2022-09-300001333986eqh:EmbeddedDerivativeGMIBReinsuranceMembersrt:MaximumMemberus-gaap:MeasurementInputMortalityRateMemberus-gaap:FairValueInputsLevel3Membereqh:DiscountedCashFlowValuationTechniqueMembereqh:RangeThreeMember2022-09-300001333986eqh</w:t>
      </w:r>
      <w:r>
        <w:rPr>
          <w:rFonts w:eastAsia="Times New Roman"/>
          <w:vanish/>
        </w:rPr>
        <w:t>:EmbeddedDerivativeGMIBReinsuranceMemberus-gaap:MeasurementInputLapseRateMembersrt:WeightedAverageMemberus-gaap:FairValueInputsLevel3Membereqh:DiscountedCashFlowValuationTechniqueMember2022-09-300001333986eqh:EmbeddedDerivativeGMIBReinsuranceMembersrt:Weig</w:t>
      </w:r>
      <w:r>
        <w:rPr>
          <w:rFonts w:eastAsia="Times New Roman"/>
          <w:vanish/>
        </w:rPr>
        <w:t>htedAverageMemberus-gaap:FairValueInputsLevel3Membereqh:DiscountedCashFlowValuationTechniqueMemberus-gaap:MeasurementInputWithdrawalRateMember2022-09-300001333986eqh:EmbeddedDerivativeGMIBReinsuranceMembersrt:WeightedAverageMemberus-gaap:FairValueInputsLev</w:t>
      </w:r>
      <w:r>
        <w:rPr>
          <w:rFonts w:eastAsia="Times New Roman"/>
          <w:vanish/>
        </w:rPr>
        <w:t>el3Membereqh:DiscountedCashFlowValuationTechniqueMemberus-gaap:MeasurementInputUtilizationRateMember2022-09-300001333986eqh:EmbeddedDerivativeGMIBReinsuranceMembereqh:MeasurementInputNonperformanceRiskMembersrt:WeightedAverageMemberus-gaap:FairValueInputsL</w:t>
      </w:r>
      <w:r>
        <w:rPr>
          <w:rFonts w:eastAsia="Times New Roman"/>
          <w:vanish/>
        </w:rPr>
        <w:t>evel3Membereqh:DiscountedCashFlowValuationTechniqueMember2022-09-300001333986eqh:EmbeddedDerivativeGMIBReinsuranceMembersrt:WeightedAverageMemberus-gaap:FairValueInputsLevel3Membereqh:DiscountedCashFlowValuationTechniqueMembereqh:MeasurementInputEquityVola</w:t>
      </w:r>
      <w:r>
        <w:rPr>
          <w:rFonts w:eastAsia="Times New Roman"/>
          <w:vanish/>
        </w:rPr>
        <w:t>tilityMember2022-09-300001333986eqh:EmbeddedDerivativeGMIBReinsuranceMemberus-gaap:MeasurementInputMortalityRateMembersrt:WeightedAverageMembereqh:RangeTwoMemberus-gaap:FairValueInputsLevel3Membereqh:DiscountedCashFlowValuationTechniqueMember2022-09-300001</w:t>
      </w:r>
      <w:r>
        <w:rPr>
          <w:rFonts w:eastAsia="Times New Roman"/>
          <w:vanish/>
        </w:rPr>
        <w:t>333986eqh:EmbeddedDerivativeGMIBReinsuranceMemberus-gaap:MeasurementInputMortalityRateMembereqh:RangeOneMembersrt:WeightedAverageMemberus-gaap:FairValueInputsLevel3Membereqh:DiscountedCashFlowValuationTechniqueMember2022-09-300001333986eqh:EmbeddedDerivati</w:t>
      </w:r>
      <w:r>
        <w:rPr>
          <w:rFonts w:eastAsia="Times New Roman"/>
          <w:vanish/>
        </w:rPr>
        <w:t>veGMIBReinsuranceMemberus-gaap:MeasurementInputMortalityRateMembersrt:WeightedAverageMemberus-gaap:FairValueInputsLevel3Membereqh:DiscountedCashFlowValuationTechniqueMembereqh:RangeThreeMember2022-09-300001333986eqh:EmbeddedDerivativeDueFromReinsuranceRein</w:t>
      </w:r>
      <w:r>
        <w:rPr>
          <w:rFonts w:eastAsia="Times New Roman"/>
          <w:vanish/>
        </w:rPr>
        <w:t>surersMemberus-gaap:MeasurementInputLapseRateMembersrt:MinimumMemberus-gaap:FairValueInputsLevel3Membereqh:DiscountedCashFlowValuationTechniqueMember2022-09-300001333986srt:MaximumMembereqh:EmbeddedDerivativeDueFromReinsuranceReinsurersMemberus-gaap:Measur</w:t>
      </w:r>
      <w:r>
        <w:rPr>
          <w:rFonts w:eastAsia="Times New Roman"/>
          <w:vanish/>
        </w:rPr>
        <w:t>ementInputLapseRateMemberus-gaap:FairValueInputsLevel3Membereqh:DiscountedCashFlowValuationTechniqueMember2022-09-300001333986eqh:EmbeddedDerivativeDueFromReinsuranceReinsurersMembersrt:MinimumMemberus-gaap:FairValueInputsLevel3Membereqh:DiscountedCashFlow</w:t>
      </w:r>
      <w:r>
        <w:rPr>
          <w:rFonts w:eastAsia="Times New Roman"/>
          <w:vanish/>
        </w:rPr>
        <w:t>ValuationTechniqueMemberus-gaap:MeasurementInputWithdrawalRateMember2022-09-300001333986srt:MaximumMembereqh:EmbeddedDerivativeDueFromReinsuranceReinsurersMemberus-gaap:FairValueInputsLevel3Membereqh:DiscountedCashFlowValuationTechniqueMemberus-gaap:Measur</w:t>
      </w:r>
      <w:r>
        <w:rPr>
          <w:rFonts w:eastAsia="Times New Roman"/>
          <w:vanish/>
        </w:rPr>
        <w:t>ementInputWithdrawalRateMember2022-09-300001333986eqh:EmbeddedDerivativeDueFromReinsuranceReinsurersMembersrt:MinimumMemberus-gaap:FairValueInputsLevel3Membereqh:DiscountedCashFlowValuationTechniqueMemberus-gaap:MeasurementInputUtilizationRateMember2022-09</w:t>
      </w:r>
      <w:r>
        <w:rPr>
          <w:rFonts w:eastAsia="Times New Roman"/>
          <w:vanish/>
        </w:rPr>
        <w:t>-300001333986srt:MaximumMembereqh:EmbeddedDerivativeDueFromReinsuranceReinsurersMemberus-gaap:FairValueInputsLevel3Membereqh:DiscountedCashFlowValuationTechniqueMemberus-gaap:MeasurementInputUtilizationRateMember2022-09-300001333986eqh:MeasurementInputNonp</w:t>
      </w:r>
      <w:r>
        <w:rPr>
          <w:rFonts w:eastAsia="Times New Roman"/>
          <w:vanish/>
        </w:rPr>
        <w:t>erformanceRiskMembereqh:EmbeddedDerivativeDueFromReinsuranceReinsurersMemberus-gaap:FairValueInputsLevel3Membereqh:DiscountedCashFlowValuationTechniqueMember2022-09-300001333986eqh:EmbeddedDerivativeDueFromReinsuranceReinsurersMembersrt:MinimumMemberus-gaa</w:t>
      </w:r>
      <w:r>
        <w:rPr>
          <w:rFonts w:eastAsia="Times New Roman"/>
          <w:vanish/>
        </w:rPr>
        <w:t>p:FairValueInputsLevel3Membereqh:DiscountedCashFlowValuationTechniqueMembereqh:MeasurementInputEquityVolatilityMember2022-09-300001333986srt:MaximumMembereqh:EmbeddedDerivativeDueFromReinsuranceReinsurersMemberus-gaap:FairValueInputsLevel3Membereqh:Discoun</w:t>
      </w:r>
      <w:r>
        <w:rPr>
          <w:rFonts w:eastAsia="Times New Roman"/>
          <w:vanish/>
        </w:rPr>
        <w:t>tedCashFlowValuationTechniqueMembereqh:MeasurementInputEquityVolatilityMember2022-09-300001333986us-gaap:MeasurementInputMortalityRateMembereqh:EmbeddedDerivativeDueFromReinsuranceReinsurersMembereqh:RangeOneMembersrt:MinimumMemberus-gaap:FairValueInputsLe</w:t>
      </w:r>
      <w:r>
        <w:rPr>
          <w:rFonts w:eastAsia="Times New Roman"/>
          <w:vanish/>
        </w:rPr>
        <w:t>vel3Membereqh:DiscountedCashFlowValuationTechniqueMember2022-09-300001333986srt:MaximumMemberus-gaap:MeasurementInputMortalityRateMembereqh:EmbeddedDerivativeDueFromReinsuranceReinsurersMembereqh:RangeOneMemberus-gaap:FairValueInputsLevel3Membereqh:Discoun</w:t>
      </w:r>
      <w:r>
        <w:rPr>
          <w:rFonts w:eastAsia="Times New Roman"/>
          <w:vanish/>
        </w:rPr>
        <w:t>tedCashFlowValuationTechniqueMember2022-09-300001333986us-gaap:MeasurementInputMortalityRateMembereqh:EmbeddedDerivativeDueFromReinsuranceReinsurersMembersrt:MinimumMembereqh:RangeTwoMemberus-gaap:FairValueInputsLevel3Membereqh:DiscountedCashFlowValuationT</w:t>
      </w:r>
      <w:r>
        <w:rPr>
          <w:rFonts w:eastAsia="Times New Roman"/>
          <w:vanish/>
        </w:rPr>
        <w:t>echniqueMember2022-09-300001333986srt:MaximumMemberus-gaap:MeasurementInputMortalityRateMembereqh:EmbeddedDerivativeDueFromReinsuranceReinsurersMembereqh:RangeTwoMemberus-gaap:FairValueInputsLevel3Membereqh:DiscountedCashFlowValuationTechniqueMember2022-09</w:t>
      </w:r>
      <w:r>
        <w:rPr>
          <w:rFonts w:eastAsia="Times New Roman"/>
          <w:vanish/>
        </w:rPr>
        <w:t>-300001333986us-gaap:MeasurementInputMortalityRateMembereqh:EmbeddedDerivativeDueFromReinsuranceReinsurersMembersrt:MinimumMemberus-gaap:FairValueInputsLevel3Membereqh:DiscountedCashFlowValuationTechniqueMembereqh:RangeThreeMember2022-09-300001333986srt:Ma</w:t>
      </w:r>
      <w:r>
        <w:rPr>
          <w:rFonts w:eastAsia="Times New Roman"/>
          <w:vanish/>
        </w:rPr>
        <w:t>ximumMemberus-gaap:MeasurementInputMortalityRateMembereqh:EmbeddedDerivativeDueFromReinsuranceReinsurersMemberus-gaap:FairValueInputsLevel3Membereqh:DiscountedCashFlowValuationTechniqueMembereqh:RangeThreeMember2022-09-300001333986eqh:EmbeddedDerivativeDue</w:t>
      </w:r>
      <w:r>
        <w:rPr>
          <w:rFonts w:eastAsia="Times New Roman"/>
          <w:vanish/>
        </w:rPr>
        <w:t>FromReinsuranceReinsurersMemberus-gaap:MeasurementInputLapseRateMembersrt:WeightedAverageMemberus-gaap:FairValueInputsLevel3Membereqh:DiscountedCashFlowValuationTechniqueMember2022-09-300001333986eqh:EmbeddedDerivativeDueFromReinsuranceReinsurersMembersrt:</w:t>
      </w:r>
      <w:r>
        <w:rPr>
          <w:rFonts w:eastAsia="Times New Roman"/>
          <w:vanish/>
        </w:rPr>
        <w:t>WeightedAverageMemberus-gaap:FairValueInputsLevel3Membereqh:DiscountedCashFlowValuationTechniqueMemberus-gaap:MeasurementInputWithdrawalRateMember2022-09-300001333986eqh:EmbeddedDerivativeDueFromReinsuranceReinsurersMembersrt:WeightedAverageMemberus-gaap:F</w:t>
      </w:r>
      <w:r>
        <w:rPr>
          <w:rFonts w:eastAsia="Times New Roman"/>
          <w:vanish/>
        </w:rPr>
        <w:t>airValueInputsLevel3Membereqh:DiscountedCashFlowValuationTechniqueMemberus-gaap:MeasurementInputUtilizationRateMember2022-09-300001333986eqh:MeasurementInputNonperformanceRiskMembereqh:EmbeddedDerivativeDueFromReinsuranceReinsurersMembersrt:WeightedAverage</w:t>
      </w:r>
      <w:r>
        <w:rPr>
          <w:rFonts w:eastAsia="Times New Roman"/>
          <w:vanish/>
        </w:rPr>
        <w:t>Memberus-gaap:FairValueInputsLevel3Membereqh:DiscountedCashFlowValuationTechniqueMember2022-09-300001333986eqh:EmbeddedDerivativeDueFromReinsuranceReinsurersMembersrt:WeightedAverageMemberus-gaap:FairValueInputsLevel3Membereqh:DiscountedCashFlowValuationTe</w:t>
      </w:r>
      <w:r>
        <w:rPr>
          <w:rFonts w:eastAsia="Times New Roman"/>
          <w:vanish/>
        </w:rPr>
        <w:t>chniqueMembereqh:MeasurementInputEquityVolatilityMember2022-09-300001333986us-gaap:MeasurementInputMortalityRateMembereqh:EmbeddedDerivativeDueFromReinsuranceReinsurersMembereqh:RangeOneMembersrt:WeightedAverageMemberus-gaap:FairValueInputsLevel3Membereqh:</w:t>
      </w:r>
      <w:r>
        <w:rPr>
          <w:rFonts w:eastAsia="Times New Roman"/>
          <w:vanish/>
        </w:rPr>
        <w:t>DiscountedCashFlowValuationTechniqueMember2022-09-300001333986us-gaap:MeasurementInputMortalityRateMembereqh:EmbeddedDerivativeDueFromReinsuranceReinsurersMembersrt:WeightedAverageMembereqh:RangeTwoMemberus-gaap:FairValueInputsLevel3Membereqh:DiscountedCas</w:t>
      </w:r>
      <w:r>
        <w:rPr>
          <w:rFonts w:eastAsia="Times New Roman"/>
          <w:vanish/>
        </w:rPr>
        <w:t>hFlowValuationTechniqueMember2022-09-300001333986us-gaap:MeasurementInputMortalityRateMembereqh:EmbeddedDerivativeDueFromReinsuranceReinsurersMembersrt:WeightedAverageMemberus-gaap:FairValueInputsLevel3Membereqh:DiscountedCashFlowValuationTechniqueMembereq</w:t>
      </w:r>
      <w:r>
        <w:rPr>
          <w:rFonts w:eastAsia="Times New Roman"/>
          <w:vanish/>
        </w:rPr>
        <w:t>h:RangeThreeMember2022-09-300001333986us-gaap:FairValueInputsLevel3Membereqh:AllianceBernsteinMembereqh:DiscountedCashFlowValuationTechniqueMember2022-09-300001333986srt:MinimumMemberus-gaap:FairValueInputsLevel3Memberus-gaap:MeasurementInputLongTermRevenu</w:t>
      </w:r>
      <w:r>
        <w:rPr>
          <w:rFonts w:eastAsia="Times New Roman"/>
          <w:vanish/>
        </w:rPr>
        <w:t>eGrowthRateMembereqh:AllianceBernsteinMembereqh:DiscountedCashFlowValuationTechniqueMember2022-09-300001333986srt:MaximumMemberus-gaap:FairValueInputsLevel3Memberus-gaap:MeasurementInputLongTermRevenueGrowthRateMembereqh:AllianceBernsteinMembereqh:Discount</w:t>
      </w:r>
      <w:r>
        <w:rPr>
          <w:rFonts w:eastAsia="Times New Roman"/>
          <w:vanish/>
        </w:rPr>
        <w:t>edCashFlowValuationTechniqueMember2022-09-300001333986us-gaap:MeasurementInputDiscountRateMembersrt:MinimumMemberus-gaap:FairValueInputsLevel3Membereqh:AllianceBernsteinMembereqh:DiscountedCashFlowValuationTechniqueMember2022-09-300001333986srt:MaximumMemb</w:t>
      </w:r>
      <w:r>
        <w:rPr>
          <w:rFonts w:eastAsia="Times New Roman"/>
          <w:vanish/>
        </w:rPr>
        <w:t>erus-gaap:MeasurementInputDiscountRateMemberus-gaap:FairValueInputsLevel3Membereqh:AllianceBernsteinMembereqh:DiscountedCashFlowValuationTechniqueMember2022-09-300001333986srt:WeightedAverageMemberus-gaap:FairValueInputsLevel3Memberus-gaap:MeasurementInput</w:t>
      </w:r>
      <w:r>
        <w:rPr>
          <w:rFonts w:eastAsia="Times New Roman"/>
          <w:vanish/>
        </w:rPr>
        <w:t>LongTermRevenueGrowthRateMembereqh:AllianceBernsteinMembereqh:DiscountedCashFlowValuationTechniqueMember2022-09-300001333986us-gaap:MeasurementInputDiscountRateMembersrt:WeightedAverageMemberus-gaap:FairValueInputsLevel3Membereqh:AllianceBernsteinMembereqh</w:t>
      </w:r>
      <w:r>
        <w:rPr>
          <w:rFonts w:eastAsia="Times New Roman"/>
          <w:vanish/>
        </w:rPr>
        <w:t>:DiscountedCashFlowValuationTechniqueMember2022-09-300001333986eqh:GuaranteedMinimumInsuranceBenefitsnoLapseGuaranteeMemberus-gaap:FairValueInputsLevel3Membereqh:DiscountedCashFlowValuationTechniqueMember2022-09-300001333986eqh:MeasurementInputNonperforman</w:t>
      </w:r>
      <w:r>
        <w:rPr>
          <w:rFonts w:eastAsia="Times New Roman"/>
          <w:vanish/>
        </w:rPr>
        <w:t>ceRiskMembereqh:GuaranteedMinimumInsuranceBenefitsnoLapseGuaranteeMemberus-gaap:FairValueInputsLevel3Membereqh:DiscountedCashFlowValuationTechniqueMember2022-09-300001333986eqh:GuaranteedMinimumInsuranceBenefitsnoLapseGuaranteeMemberus-gaap:MeasurementInpu</w:t>
      </w:r>
      <w:r>
        <w:rPr>
          <w:rFonts w:eastAsia="Times New Roman"/>
          <w:vanish/>
        </w:rPr>
        <w:t>tLapseRateMembersrt:MinimumMemberus-gaap:FairValueInputsLevel3Membereqh:DiscountedCashFlowValuationTechniqueMember2022-09-300001333986srt:MaximumMembereqh:GuaranteedMinimumInsuranceBenefitsnoLapseGuaranteeMemberus-gaap:MeasurementInputLapseRateMemberus-gaa</w:t>
      </w:r>
      <w:r>
        <w:rPr>
          <w:rFonts w:eastAsia="Times New Roman"/>
          <w:vanish/>
        </w:rPr>
        <w:t>p:FairValueInputsLevel3Membereqh:DiscountedCashFlowValuationTechniqueMember2022-09-300001333986eqh:GuaranteedMinimumInsuranceBenefitsnoLapseGuaranteeMembersrt:MinimumMemberus-gaap:FairValueInputsLevel3Membereqh:DiscountedCashFlowValuationTechniqueMemberus-</w:t>
      </w:r>
      <w:r>
        <w:rPr>
          <w:rFonts w:eastAsia="Times New Roman"/>
          <w:vanish/>
        </w:rPr>
        <w:t>gaap:MeasurementInputWithdrawalRateMember2022-09-300001333986srt:MaximumMembereqh:GuaranteedMinimumInsuranceBenefitsnoLapseGuaranteeMemberus-gaap:FairValueInputsLevel3Membereqh:DiscountedCashFlowValuationTechniqueMemberus-gaap:MeasurementInputWithdrawalRat</w:t>
      </w:r>
      <w:r>
        <w:rPr>
          <w:rFonts w:eastAsia="Times New Roman"/>
          <w:vanish/>
        </w:rPr>
        <w:t>eMember2022-09-300001333986eqh:GuaranteedMinimumInsuranceBenefitsnoLapseGuaranteeMembereqh:MeasurementInputAnnuitizationRateMembersrt:MinimumMemberus-gaap:FairValueInputsLevel3Membereqh:DiscountedCashFlowValuationTechniqueMember2022-09-300001333986srt:Maxi</w:t>
      </w:r>
      <w:r>
        <w:rPr>
          <w:rFonts w:eastAsia="Times New Roman"/>
          <w:vanish/>
        </w:rPr>
        <w:t>mumMembereqh:GuaranteedMinimumInsuranceBenefitsnoLapseGuaranteeMembereqh:MeasurementInputAnnuitizationRateMemberus-gaap:FairValueInputsLevel3Membereqh:DiscountedCashFlowValuationTechniqueMember2022-09-300001333986us-gaap:MeasurementInputMortalityRateMember</w:t>
      </w:r>
      <w:r>
        <w:rPr>
          <w:rFonts w:eastAsia="Times New Roman"/>
          <w:vanish/>
        </w:rPr>
        <w:t>eqh:GuaranteedMinimumInsuranceBenefitsnoLapseGuaranteeMembereqh:RangeOneMembersrt:MinimumMemberus-gaap:FairValueInputsLevel3Membereqh:DiscountedCashFlowValuationTechniqueMember2022-09-300001333986srt:MaximumMemberus-gaap:MeasurementInputMortalityRateMember</w:t>
      </w:r>
      <w:r>
        <w:rPr>
          <w:rFonts w:eastAsia="Times New Roman"/>
          <w:vanish/>
        </w:rPr>
        <w:t>eqh:GuaranteedMinimumInsuranceBenefitsnoLapseGuaranteeMembereqh:RangeOneMemberus-gaap:FairValueInputsLevel3Membereqh:DiscountedCashFlowValuationTechniqueMember2022-09-300001333986us-gaap:MeasurementInputMortalityRateMembereqh:GuaranteedMinimumInsuranceBene</w:t>
      </w:r>
      <w:r>
        <w:rPr>
          <w:rFonts w:eastAsia="Times New Roman"/>
          <w:vanish/>
        </w:rPr>
        <w:t>fitsnoLapseGuaranteeMembersrt:MinimumMembereqh:RangeTwoMemberus-gaap:FairValueInputsLevel3Membereqh:DiscountedCashFlowValuationTechniqueMember2022-09-300001333986srt:MaximumMemberus-gaap:MeasurementInputMortalityRateMembereqh:GuaranteedMinimumInsuranceBene</w:t>
      </w:r>
      <w:r>
        <w:rPr>
          <w:rFonts w:eastAsia="Times New Roman"/>
          <w:vanish/>
        </w:rPr>
        <w:t>fitsnoLapseGuaranteeMembereqh:RangeTwoMemberus-gaap:FairValueInputsLevel3Membereqh:DiscountedCashFlowValuationTechniqueMember2022-09-300001333986us-gaap:MeasurementInputMortalityRateMembereqh:GuaranteedMinimumInsuranceBenefitsnoLapseGuaranteeMembersrt:Mini</w:t>
      </w:r>
      <w:r>
        <w:rPr>
          <w:rFonts w:eastAsia="Times New Roman"/>
          <w:vanish/>
        </w:rPr>
        <w:t>mumMemberus-gaap:FairValueInputsLevel3Membereqh:DiscountedCashFlowValuationTechniqueMembereqh:RangeThreeMember2022-09-300001333986srt:MaximumMemberus-gaap:MeasurementInputMortalityRateMembereqh:GuaranteedMinimumInsuranceBenefitsnoLapseGuaranteeMemberus-gaa</w:t>
      </w:r>
      <w:r>
        <w:rPr>
          <w:rFonts w:eastAsia="Times New Roman"/>
          <w:vanish/>
        </w:rPr>
        <w:t>p:FairValueInputsLevel3Membereqh:DiscountedCashFlowValuationTechniqueMembereqh:RangeThreeMember2022-09-300001333986eqh:MeasurementInputNonperformanceRiskMembereqh:GuaranteedMinimumInsuranceBenefitsnoLapseGuaranteeMembersrt:WeightedAverageMemberus-gaap:Fair</w:t>
      </w:r>
      <w:r>
        <w:rPr>
          <w:rFonts w:eastAsia="Times New Roman"/>
          <w:vanish/>
        </w:rPr>
        <w:t>ValueInputsLevel3Membereqh:DiscountedCashFlowValuationTechniqueMember2022-09-300001333986eqh:GuaranteedMinimumInsuranceBenefitsnoLapseGuaranteeMemberus-gaap:MeasurementInputLapseRateMembersrt:WeightedAverageMemberus-gaap:FairValueInputsLevel3Membereqh:Disc</w:t>
      </w:r>
      <w:r>
        <w:rPr>
          <w:rFonts w:eastAsia="Times New Roman"/>
          <w:vanish/>
        </w:rPr>
        <w:t>ountedCashFlowValuationTechniqueMember2022-09-300001333986eqh:GuaranteedMinimumInsuranceBenefitsnoLapseGuaranteeMembersrt:WeightedAverageMemberus-gaap:FairValueInputsLevel3Membereqh:DiscountedCashFlowValuationTechniqueMemberus-gaap:MeasurementInputWithdraw</w:t>
      </w:r>
      <w:r>
        <w:rPr>
          <w:rFonts w:eastAsia="Times New Roman"/>
          <w:vanish/>
        </w:rPr>
        <w:t>alRateMember2022-09-300001333986eqh:GuaranteedMinimumInsuranceBenefitsnoLapseGuaranteeMembereqh:MeasurementInputAnnuitizationRateMembersrt:WeightedAverageMemberus-gaap:FairValueInputsLevel3Membereqh:DiscountedCashFlowValuationTechniqueMember2022-09-3000013</w:t>
      </w:r>
      <w:r>
        <w:rPr>
          <w:rFonts w:eastAsia="Times New Roman"/>
          <w:vanish/>
        </w:rPr>
        <w:t>33986us-gaap:MeasurementInputMortalityRateMembereqh:GuaranteedMinimumInsuranceBenefitsnoLapseGuaranteeMembereqh:RangeOneMembersrt:WeightedAverageMemberus-gaap:FairValueInputsLevel3Membereqh:DiscountedCashFlowValuationTechniqueMember2022-09-300001333986us-g</w:t>
      </w:r>
      <w:r>
        <w:rPr>
          <w:rFonts w:eastAsia="Times New Roman"/>
          <w:vanish/>
        </w:rPr>
        <w:t>aap:MeasurementInputMortalityRateMembereqh:GuaranteedMinimumInsuranceBenefitsnoLapseGuaranteeMembersrt:WeightedAverageMembereqh:RangeTwoMemberus-gaap:FairValueInputsLevel3Membereqh:DiscountedCashFlowValuationTechniqueMember2022-09-300001333986us-gaap:Measu</w:t>
      </w:r>
      <w:r>
        <w:rPr>
          <w:rFonts w:eastAsia="Times New Roman"/>
          <w:vanish/>
        </w:rPr>
        <w:t>rementInputMortalityRateMembereqh:GuaranteedMinimumInsuranceBenefitsnoLapseGuaranteeMembersrt:WeightedAverageMemberus-gaap:FairValueInputsLevel3Membereqh:DiscountedCashFlowValuationTechniqueMembereqh:RangeThreeMember2022-09-300001333986eqh:GmwbGwblMemberus</w:t>
      </w:r>
      <w:r>
        <w:rPr>
          <w:rFonts w:eastAsia="Times New Roman"/>
          <w:vanish/>
        </w:rPr>
        <w:t>-gaap:FairValueInputsLevel3Membereqh:DiscountedCashFlowValuationTechniqueMember2022-09-300001333986eqh:GmwbGwblMemberus-gaap:MeasurementInputLapseRateMembersrt:MinimumMemberus-gaap:FairValueInputsLevel3Membereqh:DiscountedCashFlowValuationTechniqueMember20</w:t>
      </w:r>
      <w:r>
        <w:rPr>
          <w:rFonts w:eastAsia="Times New Roman"/>
          <w:vanish/>
        </w:rPr>
        <w:t>22-09-300001333986eqh:GmwbGwblMembersrt:MaximumMemberus-gaap:MeasurementInputLapseRateMemberus-gaap:FairValueInputsLevel3Membereqh:DiscountedCashFlowValuationTechniqueMember2022-09-300001333986eqh:GmwbGwblMembersrt:MinimumMemberus-gaap:FairValueInputsLevel</w:t>
      </w:r>
      <w:r>
        <w:rPr>
          <w:rFonts w:eastAsia="Times New Roman"/>
          <w:vanish/>
        </w:rPr>
        <w:t>3Membereqh:DiscountedCashFlowValuationTechniqueMemberus-gaap:MeasurementInputWithdrawalRateMember2022-09-300001333986eqh:GmwbGwblMembersrt:MaximumMemberus-gaap:FairValueInputsLevel3Membereqh:DiscountedCashFlowValuationTechniqueMemberus-gaap:MeasurementInpu</w:t>
      </w:r>
      <w:r>
        <w:rPr>
          <w:rFonts w:eastAsia="Times New Roman"/>
          <w:vanish/>
        </w:rPr>
        <w:t>tWithdrawalRateMember2022-09-300001333986eqh:GmwbGwblMemberus-gaap:FairValueInputsLevel3Membereqh:DiscountedCashFlowValuationTechniqueMemberus-gaap:MeasurementInputUtilizationRateMember2022-09-300001333986eqh:GmwbGwblMembersrt:MinimumMemberus-gaap:FairValu</w:t>
      </w:r>
      <w:r>
        <w:rPr>
          <w:rFonts w:eastAsia="Times New Roman"/>
          <w:vanish/>
        </w:rPr>
        <w:t>eInputsLevel3Membereqh:DiscountedCashFlowValuationTechniqueMembereqh:MeasurementInputEquityVolatilityMember2022-09-300001333986eqh:GmwbGwblMembersrt:MaximumMemberus-gaap:FairValueInputsLevel3Membereqh:DiscountedCashFlowValuationTechniqueMembereqh:Measureme</w:t>
      </w:r>
      <w:r>
        <w:rPr>
          <w:rFonts w:eastAsia="Times New Roman"/>
          <w:vanish/>
        </w:rPr>
        <w:t>ntInputEquityVolatilityMember2022-09-300001333986eqh:GmwbGwblMembereqh:MeasurementInputNonperformanceRiskMemberus-gaap:FairValueInputsLevel3Membereqh:DiscountedCashFlowValuationTechniqueMember2022-09-300001333986eqh:GmwbGwblMemberus-gaap:MeasurementInputLa</w:t>
      </w:r>
      <w:r>
        <w:rPr>
          <w:rFonts w:eastAsia="Times New Roman"/>
          <w:vanish/>
        </w:rPr>
        <w:t>pseRateMembersrt:WeightedAverageMemberus-gaap:FairValueInputsLevel3Membereqh:DiscountedCashFlowValuationTechniqueMember2022-09-300001333986eqh:GmwbGwblMembersrt:WeightedAverageMemberus-gaap:FairValueInputsLevel3Membereqh:DiscountedCashFlowValuationTechniqu</w:t>
      </w:r>
      <w:r>
        <w:rPr>
          <w:rFonts w:eastAsia="Times New Roman"/>
          <w:vanish/>
        </w:rPr>
        <w:t>eMemberus-gaap:MeasurementInputWithdrawalRateMember2022-09-300001333986eqh:GmwbGwblMembersrt:WeightedAverageMemberus-gaap:FairValueInputsLevel3Membereqh:DiscountedCashFlowValuationTechniqueMembereqh:MeasurementInputEquityVolatilityMember2022-09-30000133398</w:t>
      </w:r>
      <w:r>
        <w:rPr>
          <w:rFonts w:eastAsia="Times New Roman"/>
          <w:vanish/>
        </w:rPr>
        <w:t>6us-gaap:FairValueInputsLevel3Membereqh:DiscountedCashFlowValuationTechniqueMembereqh:GuaranteedInsuranceBenefitsMember2022-09-300001333986us-gaap:MeasurementInputLapseRateMembersrt:MinimumMemberus-gaap:FairValueInputsLevel3Membereqh:DiscountedCashFlowValu</w:t>
      </w:r>
      <w:r>
        <w:rPr>
          <w:rFonts w:eastAsia="Times New Roman"/>
          <w:vanish/>
        </w:rPr>
        <w:t>ationTechniqueMembereqh:GuaranteedInsuranceBenefitsMember2022-09-300001333986srt:MaximumMemberus-gaap:MeasurementInputLapseRateMemberus-gaap:FairValueInputsLevel3Membereqh:DiscountedCashFlowValuationTechniqueMembereqh:GuaranteedInsuranceBenefitsMember2022-</w:t>
      </w:r>
      <w:r>
        <w:rPr>
          <w:rFonts w:eastAsia="Times New Roman"/>
          <w:vanish/>
        </w:rPr>
        <w:t>09-300001333986srt:MinimumMemberus-gaap:FairValueInputsLevel3Membereqh:DiscountedCashFlowValuationTechniqueMemberus-gaap:MeasurementInputWithdrawalRateMembereqh:GuaranteedInsuranceBenefitsMember2022-09-300001333986srt:MaximumMemberus-gaap:FairValueInputsLe</w:t>
      </w:r>
      <w:r>
        <w:rPr>
          <w:rFonts w:eastAsia="Times New Roman"/>
          <w:vanish/>
        </w:rPr>
        <w:t>vel3Membereqh:DiscountedCashFlowValuationTechniqueMemberus-gaap:MeasurementInputWithdrawalRateMembereqh:GuaranteedInsuranceBenefitsMember2022-09-300001333986srt:MinimumMemberus-gaap:FairValueInputsLevel3Membereqh:DiscountedCashFlowValuationTechniqueMembere</w:t>
      </w:r>
      <w:r>
        <w:rPr>
          <w:rFonts w:eastAsia="Times New Roman"/>
          <w:vanish/>
        </w:rPr>
        <w:t>qh:GuaranteedInsuranceBenefitsMemberus-gaap:MeasurementInputUtilizationRateMember2022-09-300001333986srt:MaximumMemberus-gaap:FairValueInputsLevel3Membereqh:DiscountedCashFlowValuationTechniqueMembereqh:GuaranteedInsuranceBenefitsMemberus-gaap:MeasurementI</w:t>
      </w:r>
      <w:r>
        <w:rPr>
          <w:rFonts w:eastAsia="Times New Roman"/>
          <w:vanish/>
        </w:rPr>
        <w:t>nputUtilizationRateMember2022-09-300001333986srt:MinimumMemberus-gaap:FairValueInputsLevel3Membereqh:DiscountedCashFlowValuationTechniqueMembereqh:MeasurementInputEquityVolatilityMembereqh:GuaranteedInsuranceBenefitsMember2022-09-300001333986srt:MaximumMem</w:t>
      </w:r>
      <w:r>
        <w:rPr>
          <w:rFonts w:eastAsia="Times New Roman"/>
          <w:vanish/>
        </w:rPr>
        <w:t>berus-gaap:FairValueInputsLevel3Membereqh:DiscountedCashFlowValuationTechniqueMembereqh:MeasurementInputEquityVolatilityMembereqh:GuaranteedInsuranceBenefitsMember2022-09-300001333986eqh:MeasurementInputNonperformanceRiskMemberus-gaap:FairValueInputsLevel3</w:t>
      </w:r>
      <w:r>
        <w:rPr>
          <w:rFonts w:eastAsia="Times New Roman"/>
          <w:vanish/>
        </w:rPr>
        <w:t>Membereqh:DiscountedCashFlowValuationTechniqueMembereqh:GuaranteedInsuranceBenefitsMember2022-09-300001333986us-gaap:MeasurementInputLapseRateMembersrt:WeightedAverageMemberus-gaap:FairValueInputsLevel3Membereqh:DiscountedCashFlowValuationTechniqueMembereq</w:t>
      </w:r>
      <w:r>
        <w:rPr>
          <w:rFonts w:eastAsia="Times New Roman"/>
          <w:vanish/>
        </w:rPr>
        <w:t>h:GuaranteedInsuranceBenefitsMember2022-09-300001333986srt:WeightedAverageMemberus-gaap:FairValueInputsLevel3Membereqh:DiscountedCashFlowValuationTechniqueMemberus-gaap:MeasurementInputWithdrawalRateMembereqh:GuaranteedInsuranceBenefitsMember2022-09-300001</w:t>
      </w:r>
      <w:r>
        <w:rPr>
          <w:rFonts w:eastAsia="Times New Roman"/>
          <w:vanish/>
        </w:rPr>
        <w:t>333986srt:WeightedAverageMemberus-gaap:FairValueInputsLevel3Membereqh:DiscountedCashFlowValuationTechniqueMembereqh:GuaranteedInsuranceBenefitsMemberus-gaap:MeasurementInputUtilizationRateMember2022-09-300001333986srt:WeightedAverageMemberus-gaap:FairValue</w:t>
      </w:r>
      <w:r>
        <w:rPr>
          <w:rFonts w:eastAsia="Times New Roman"/>
          <w:vanish/>
        </w:rPr>
        <w:t>InputsLevel3Membereqh:DiscountedCashFlowValuationTechniqueMembereqh:MeasurementInputEquityVolatilityMembereqh:GuaranteedInsuranceBenefitsMember2022-09-300001333986eqh:GuaranteedMinimumAnnuityBenefitsMemberus-gaap:FairValueInputsLevel3Membereqh:DiscountedCa</w:t>
      </w:r>
      <w:r>
        <w:rPr>
          <w:rFonts w:eastAsia="Times New Roman"/>
          <w:vanish/>
        </w:rPr>
        <w:t>shFlowValuationTechniqueMember2022-09-300001333986us-gaap:MeasurementInputLapseRateMembereqh:GuaranteedMinimumAnnuityBenefitsMembersrt:MinimumMemberus-gaap:FairValueInputsLevel3Membereqh:DiscountedCashFlowValuationTechniqueMember2022-09-300001333986srt:Max</w:t>
      </w:r>
      <w:r>
        <w:rPr>
          <w:rFonts w:eastAsia="Times New Roman"/>
          <w:vanish/>
        </w:rPr>
        <w:t>imumMemberus-gaap:MeasurementInputLapseRateMembereqh:GuaranteedMinimumAnnuityBenefitsMemberus-gaap:FairValueInputsLevel3Membereqh:DiscountedCashFlowValuationTechniqueMember2022-09-300001333986eqh:GuaranteedMinimumAnnuityBenefitsMembersrt:MinimumMemberus-ga</w:t>
      </w:r>
      <w:r>
        <w:rPr>
          <w:rFonts w:eastAsia="Times New Roman"/>
          <w:vanish/>
        </w:rPr>
        <w:t>ap:FairValueInputsLevel3Membereqh:DiscountedCashFlowValuationTechniqueMembereqh:MeasurementInputEquityVolatilityMember2022-09-300001333986srt:MaximumMembereqh:GuaranteedMinimumAnnuityBenefitsMemberus-gaap:FairValueInputsLevel3Membereqh:DiscountedCashFlowVa</w:t>
      </w:r>
      <w:r>
        <w:rPr>
          <w:rFonts w:eastAsia="Times New Roman"/>
          <w:vanish/>
        </w:rPr>
        <w:t>luationTechniqueMembereqh:MeasurementInputEquityVolatilityMember2022-09-300001333986eqh:MeasurementInputNonperformanceRiskMembereqh:GuaranteedMinimumAnnuityBenefitsMemberus-gaap:FairValueInputsLevel3Membereqh:DiscountedCashFlowValuationTechniqueMember2022-</w:t>
      </w:r>
      <w:r>
        <w:rPr>
          <w:rFonts w:eastAsia="Times New Roman"/>
          <w:vanish/>
        </w:rPr>
        <w:t>09-300001333986us-gaap:MeasurementInputLapseRateMembereqh:GuaranteedMinimumAnnuityBenefitsMembersrt:WeightedAverageMemberus-gaap:FairValueInputsLevel3Membereqh:DiscountedCashFlowValuationTechniqueMember2022-09-300001333986eqh:GuaranteedMinimumAnnuityBenefi</w:t>
      </w:r>
      <w:r>
        <w:rPr>
          <w:rFonts w:eastAsia="Times New Roman"/>
          <w:vanish/>
        </w:rPr>
        <w:t>tsMembersrt:WeightedAverageMemberus-gaap:FairValueInputsLevel3Membereqh:DiscountedCashFlowValuationTechniqueMembereqh:MeasurementInputEquityVolatilityMember2022-09-300001333986us-gaap:CorporateDebtSecuritiesMemberus-gaap:FairValueInputsLevel3Membereqh:Matr</w:t>
      </w:r>
      <w:r>
        <w:rPr>
          <w:rFonts w:eastAsia="Times New Roman"/>
          <w:vanish/>
        </w:rPr>
        <w:t>ixPricingModelValuationTechniqueMember2021-12-310001333986eqh:MeasurementInputSpreadOverBenchmarkMemberus-gaap:CorporateDebtSecuritiesMembersrt:MinimumMemberus-gaap:FairValueInputsLevel3Membereqh:MatrixPricingModelValuationTechniqueMember2021-12-3100013339</w:t>
      </w:r>
      <w:r>
        <w:rPr>
          <w:rFonts w:eastAsia="Times New Roman"/>
          <w:vanish/>
        </w:rPr>
        <w:t>86srt:MaximumMembereqh:MeasurementInputSpreadOverBenchmarkMemberus-gaap:CorporateDebtSecuritiesMemberus-gaap:FairValueInputsLevel3Membereqh:MatrixPricingModelValuationTechniqueMember2021-12-310001333986eqh:MeasurementInputSpreadOverBenchmarkMemberus-gaap:C</w:t>
      </w:r>
      <w:r>
        <w:rPr>
          <w:rFonts w:eastAsia="Times New Roman"/>
          <w:vanish/>
        </w:rPr>
        <w:t>orporateDebtSecuritiesMembersrt:WeightedAverageMemberus-gaap:FairValueInputsLevel3Membereqh:MatrixPricingModelValuationTechniqueMember2021-12-310001333986eqh:MarketComparableCompaniesValuationTechniqueMemberus-gaap:CorporateDebtSecuritiesMemberus-gaap:Fair</w:t>
      </w:r>
      <w:r>
        <w:rPr>
          <w:rFonts w:eastAsia="Times New Roman"/>
          <w:vanish/>
        </w:rPr>
        <w:t>ValueInputsLevel3Member2021-12-310001333986us-gaap:MeasurementInputEbitdaMultipleMembereqh:MarketComparableCompaniesValuationTechniqueMemberus-gaap:CorporateDebtSecuritiesMembersrt:MinimumMemberus-gaap:FairValueInputsLevel3Member2021-12-310001333986srt:Max</w:t>
      </w:r>
      <w:r>
        <w:rPr>
          <w:rFonts w:eastAsia="Times New Roman"/>
          <w:vanish/>
        </w:rPr>
        <w:t>imumMemberus-gaap:MeasurementInputEbitdaMultipleMembereqh:MarketComparableCompaniesValuationTechniqueMemberus-gaap:CorporateDebtSecuritiesMemberus-gaap:FairValueInputsLevel3Member2021-12-310001333986eqh:MarketComparableCompaniesValuationTechniqueMemberus-g</w:t>
      </w:r>
      <w:r>
        <w:rPr>
          <w:rFonts w:eastAsia="Times New Roman"/>
          <w:vanish/>
        </w:rPr>
        <w:t>aap:MeasurementInputDiscountRateMemberus-gaap:CorporateDebtSecuritiesMembersrt:MinimumMemberus-gaap:FairValueInputsLevel3Member2021-12-310001333986srt:MaximumMembereqh:MarketComparableCompaniesValuationTechniqueMemberus-gaap:MeasurementInputDiscountRateMem</w:t>
      </w:r>
      <w:r>
        <w:rPr>
          <w:rFonts w:eastAsia="Times New Roman"/>
          <w:vanish/>
        </w:rPr>
        <w:t>berus-gaap:CorporateDebtSecuritiesMemberus-gaap:FairValueInputsLevel3Member2021-12-310001333986eqh:MarketComparableCompaniesValuationTechniqueMemberus-gaap:CorporateDebtSecuritiesMembersrt:MinimumMembereqh:MeasurementInputCashFlowMultiplesMemberus-gaap:Fai</w:t>
      </w:r>
      <w:r>
        <w:rPr>
          <w:rFonts w:eastAsia="Times New Roman"/>
          <w:vanish/>
        </w:rPr>
        <w:t>rValueInputsLevel3Member2021-12-310001333986srt:MaximumMembereqh:MarketComparableCompaniesValuationTechniqueMemberus-gaap:CorporateDebtSecuritiesMembereqh:MeasurementInputCashFlowMultiplesMemberus-gaap:FairValueInputsLevel3Member2021-12-310001333986eqh:Mea</w:t>
      </w:r>
      <w:r>
        <w:rPr>
          <w:rFonts w:eastAsia="Times New Roman"/>
          <w:vanish/>
        </w:rPr>
        <w:t>surementInputLoanToValueMembereqh:MarketComparableCompaniesValuationTechniqueMemberus-gaap:CorporateDebtSecuritiesMembersrt:MinimumMemberus-gaap:FairValueInputsLevel3Member2021-12-310001333986eqh:MeasurementInputLoanToValueMembersrt:MaximumMembereqh:Market</w:t>
      </w:r>
      <w:r>
        <w:rPr>
          <w:rFonts w:eastAsia="Times New Roman"/>
          <w:vanish/>
        </w:rPr>
        <w:t>ComparableCompaniesValuationTechniqueMemberus-gaap:CorporateDebtSecuritiesMemberus-gaap:FairValueInputsLevel3Member2021-12-310001333986us-gaap:MeasurementInputEbitdaMultipleMembereqh:MarketComparableCompaniesValuationTechniqueMemberus-gaap:CorporateDebtSec</w:t>
      </w:r>
      <w:r>
        <w:rPr>
          <w:rFonts w:eastAsia="Times New Roman"/>
          <w:vanish/>
        </w:rPr>
        <w:t>uritiesMembersrt:WeightedAverageMemberus-gaap:FairValueInputsLevel3Member2021-12-310001333986eqh:MarketComparableCompaniesValuationTechniqueMemberus-gaap:MeasurementInputDiscountRateMemberus-gaap:CorporateDebtSecuritiesMembersrt:WeightedAverageMemberus-gaa</w:t>
      </w:r>
      <w:r>
        <w:rPr>
          <w:rFonts w:eastAsia="Times New Roman"/>
          <w:vanish/>
        </w:rPr>
        <w:t>p:FairValueInputsLevel3Member2021-12-310001333986eqh:MarketComparableCompaniesValuationTechniqueMemberus-gaap:CorporateDebtSecuritiesMembersrt:WeightedAverageMembereqh:MeasurementInputCashFlowMultiplesMemberus-gaap:FairValueInputsLevel3Member2021-12-310001</w:t>
      </w:r>
      <w:r>
        <w:rPr>
          <w:rFonts w:eastAsia="Times New Roman"/>
          <w:vanish/>
        </w:rPr>
        <w:t>333986eqh:MeasurementInputLoanToValueMembereqh:MarketComparableCompaniesValuationTechniqueMemberus-gaap:CorporateDebtSecuritiesMembersrt:WeightedAverageMemberus-gaap:FairValueInputsLevel3Member2021-12-310001333986eqh:TradingSecuritiesMemberus-gaap:FairValu</w:t>
      </w:r>
      <w:r>
        <w:rPr>
          <w:rFonts w:eastAsia="Times New Roman"/>
          <w:vanish/>
        </w:rPr>
        <w:t>eInputsLevel3Membereqh:DiscountedCashFlowValuationTechniqueMember2021-12-310001333986eqh:TradingSecuritiesMemberus-gaap:MeasurementInputRevenueMultipleMemberus-gaap:FairValueInputsLevel3Membereqh:DiscountedCashFlowValuationTechniqueMember2021-12-3100013339</w:t>
      </w:r>
      <w:r>
        <w:rPr>
          <w:rFonts w:eastAsia="Times New Roman"/>
          <w:vanish/>
        </w:rPr>
        <w:t>86eqh:TradingSecuritiesMemberus-gaap:FairValueInputsLevel3Membereqh:DiscountedCashFlowValuationTechniqueMembereqh:MeasurementInputsDiscountFactorMember2021-12-310001333986eqh:TradingSecuritiesMemberus-gaap:FairValueInputsLevel3Membereqh:DiscountedCashFlowV</w:t>
      </w:r>
      <w:r>
        <w:rPr>
          <w:rFonts w:eastAsia="Times New Roman"/>
          <w:vanish/>
        </w:rPr>
        <w:t>aluationTechniqueMember2022-01-012022-03-310001333986us-gaap:EquityMethodInvestmentsMembereqh:MarketComparableCompaniesValuationTechniqueMemberus-gaap:FairValueInputsLevel3Member2021-12-310001333986us-gaap:EquityMethodInvestmentsMembereqh:MarketComparableC</w:t>
      </w:r>
      <w:r>
        <w:rPr>
          <w:rFonts w:eastAsia="Times New Roman"/>
          <w:vanish/>
        </w:rPr>
        <w:t>ompaniesValuationTechniqueMembersrt:MinimumMemberus-gaap:MeasurementInputRevenueMultipleMemberus-gaap:FairValueInputsLevel3Member2021-12-310001333986us-gaap:EquityMethodInvestmentsMembersrt:MaximumMembereqh:MarketComparableCompaniesValuationTechniqueMember</w:t>
      </w:r>
      <w:r>
        <w:rPr>
          <w:rFonts w:eastAsia="Times New Roman"/>
          <w:vanish/>
        </w:rPr>
        <w:t>us-gaap:MeasurementInputRevenueMultipleMemberus-gaap:FairValueInputsLevel3Member2021-12-310001333986us-gaap:EquityMethodInvestmentsMembereqh:MarketComparableCompaniesValuationTechniqueMembersrt:WeightedAverageMemberus-gaap:MeasurementInputRevenueMultipleMe</w:t>
      </w:r>
      <w:r>
        <w:rPr>
          <w:rFonts w:eastAsia="Times New Roman"/>
          <w:vanish/>
        </w:rPr>
        <w:t>mberus-gaap:FairValueInputsLevel3Member2021-12-310001333986eqh:EmbeddedDerivativeGMIBReinsuranceMemberus-gaap:FairValueInputsLevel3Membereqh:DiscountedCashFlowValuationTechniqueMember2021-12-310001333986eqh:EmbeddedDerivativeGMIBReinsuranceMembereqh:Measur</w:t>
      </w:r>
      <w:r>
        <w:rPr>
          <w:rFonts w:eastAsia="Times New Roman"/>
          <w:vanish/>
        </w:rPr>
        <w:t>ementInputNonperformanceRiskMembersrt:MinimumMemberus-gaap:FairValueInputsLevel3Membereqh:DiscountedCashFlowValuationTechniqueMember2021-12-310001333986eqh:EmbeddedDerivativeGMIBReinsuranceMembersrt:MaximumMembereqh:MeasurementInputNonperformanceRiskMember</w:t>
      </w:r>
      <w:r>
        <w:rPr>
          <w:rFonts w:eastAsia="Times New Roman"/>
          <w:vanish/>
        </w:rPr>
        <w:t>us-gaap:FairValueInputsLevel3Membereqh:DiscountedCashFlowValuationTechniqueMember2021-12-310001333986eqh:EmbeddedDerivativeGMIBReinsuranceMemberus-gaap:MeasurementInputLapseRateMembersrt:MinimumMemberus-gaap:FairValueInputsLevel3Membereqh:DiscountedCashFlo</w:t>
      </w:r>
      <w:r>
        <w:rPr>
          <w:rFonts w:eastAsia="Times New Roman"/>
          <w:vanish/>
        </w:rPr>
        <w:t>wValuationTechniqueMember2021-12-310001333986eqh:EmbeddedDerivativeGMIBReinsuranceMembersrt:MaximumMemberus-gaap:MeasurementInputLapseRateMemberus-gaap:FairValueInputsLevel3Membereqh:DiscountedCashFlowValuationTechniqueMember2021-12-310001333986eqh:Embedde</w:t>
      </w:r>
      <w:r>
        <w:rPr>
          <w:rFonts w:eastAsia="Times New Roman"/>
          <w:vanish/>
        </w:rPr>
        <w:t>dDerivativeGMIBReinsuranceMembersrt:MinimumMemberus-gaap:FairValueInputsLevel3Membereqh:DiscountedCashFlowValuationTechniqueMemberus-gaap:MeasurementInputWithdrawalRateMember2021-12-310001333986eqh:EmbeddedDerivativeGMIBReinsuranceMembersrt:MaximumMemberus</w:t>
      </w:r>
      <w:r>
        <w:rPr>
          <w:rFonts w:eastAsia="Times New Roman"/>
          <w:vanish/>
        </w:rPr>
        <w:t>-gaap:FairValueInputsLevel3Membereqh:DiscountedCashFlowValuationTechniqueMemberus-gaap:MeasurementInputWithdrawalRateMember2021-12-310001333986eqh:EmbeddedDerivativeGMIBReinsuranceMembersrt:MinimumMemberus-gaap:FairValueInputsLevel3Membereqh:DiscountedCash</w:t>
      </w:r>
      <w:r>
        <w:rPr>
          <w:rFonts w:eastAsia="Times New Roman"/>
          <w:vanish/>
        </w:rPr>
        <w:t>FlowValuationTechniqueMemberus-gaap:MeasurementInputUtilizationRateMember2021-12-310001333986eqh:EmbeddedDerivativeGMIBReinsuranceMembersrt:MaximumMemberus-gaap:FairValueInputsLevel3Membereqh:DiscountedCashFlowValuationTechniqueMemberus-gaap:MeasurementInp</w:t>
      </w:r>
      <w:r>
        <w:rPr>
          <w:rFonts w:eastAsia="Times New Roman"/>
          <w:vanish/>
        </w:rPr>
        <w:t>utUtilizationRateMember2021-12-310001333986eqh:EmbeddedDerivativeGMIBReinsuranceMembersrt:MinimumMemberus-gaap:FairValueInputsLevel3Membereqh:DiscountedCashFlowValuationTechniqueMembereqh:MeasurementInputEquityVolatilityMember2021-12-310001333986eqh:Embedd</w:t>
      </w:r>
      <w:r>
        <w:rPr>
          <w:rFonts w:eastAsia="Times New Roman"/>
          <w:vanish/>
        </w:rPr>
        <w:t>edDerivativeGMIBReinsuranceMembersrt:MaximumMemberus-gaap:FairValueInputsLevel3Membereqh:DiscountedCashFlowValuationTechniqueMembereqh:MeasurementInputEquityVolatilityMember2021-12-310001333986eqh:EmbeddedDerivativeGMIBReinsuranceMemberus-gaap:MeasurementI</w:t>
      </w:r>
      <w:r>
        <w:rPr>
          <w:rFonts w:eastAsia="Times New Roman"/>
          <w:vanish/>
        </w:rPr>
        <w:t>nputMortalityRateMembereqh:RangeOneMembersrt:MinimumMemberus-gaap:FairValueInputsLevel3Membereqh:DiscountedCashFlowValuationTechniqueMember2021-12-310001333986eqh:EmbeddedDerivativeGMIBReinsuranceMembersrt:MaximumMemberus-gaap:MeasurementInputMortalityRate</w:t>
      </w:r>
      <w:r>
        <w:rPr>
          <w:rFonts w:eastAsia="Times New Roman"/>
          <w:vanish/>
        </w:rPr>
        <w:t>Membereqh:RangeOneMemberus-gaap:FairValueInputsLevel3Membereqh:DiscountedCashFlowValuationTechniqueMember2021-12-310001333986eqh:EmbeddedDerivativeGMIBReinsuranceMemberus-gaap:MeasurementInputMortalityRateMembersrt:MinimumMembereqh:RangeTwoMemberus-gaap:Fa</w:t>
      </w:r>
      <w:r>
        <w:rPr>
          <w:rFonts w:eastAsia="Times New Roman"/>
          <w:vanish/>
        </w:rPr>
        <w:t>irValueInputsLevel3Membereqh:DiscountedCashFlowValuationTechniqueMember2021-12-310001333986eqh:EmbeddedDerivativeGMIBReinsuranceMembersrt:MaximumMemberus-gaap:MeasurementInputMortalityRateMembereqh:RangeTwoMemberus-gaap:FairValueInputsLevel3Membereqh:Disco</w:t>
      </w:r>
      <w:r>
        <w:rPr>
          <w:rFonts w:eastAsia="Times New Roman"/>
          <w:vanish/>
        </w:rPr>
        <w:t>untedCashFlowValuationTechniqueMember2021-12-310001333986eqh:EmbeddedDerivativeGMIBReinsuranceMemberus-gaap:MeasurementInputMortalityRateMembersrt:MinimumMemberus-gaap:FairValueInputsLevel3Membereqh:DiscountedCashFlowValuationTechniqueMembereqh:RangeThreeM</w:t>
      </w:r>
      <w:r>
        <w:rPr>
          <w:rFonts w:eastAsia="Times New Roman"/>
          <w:vanish/>
        </w:rPr>
        <w:t>ember2021-12-310001333986eqh:EmbeddedDerivativeGMIBReinsuranceMembersrt:MaximumMemberus-gaap:MeasurementInputMortalityRateMemberus-gaap:FairValueInputsLevel3Membereqh:DiscountedCashFlowValuationTechniqueMembereqh:RangeThreeMember2021-12-310001333986eqh:Emb</w:t>
      </w:r>
      <w:r>
        <w:rPr>
          <w:rFonts w:eastAsia="Times New Roman"/>
          <w:vanish/>
        </w:rPr>
        <w:t>eddedDerivativeGMIBReinsuranceMembereqh:MeasurementInputNonperformanceRiskMembersrt:WeightedAverageMemberus-gaap:FairValueInputsLevel3Membereqh:DiscountedCashFlowValuationTechniqueMember2021-12-310001333986eqh:EmbeddedDerivativeGMIBReinsuranceMemberus-gaap</w:t>
      </w:r>
      <w:r>
        <w:rPr>
          <w:rFonts w:eastAsia="Times New Roman"/>
          <w:vanish/>
        </w:rPr>
        <w:t>:MeasurementInputLapseRateMembersrt:WeightedAverageMemberus-gaap:FairValueInputsLevel3Membereqh:DiscountedCashFlowValuationTechniqueMember2021-12-310001333986eqh:EmbeddedDerivativeGMIBReinsuranceMembersrt:WeightedAverageMemberus-gaap:FairValueInputsLevel3M</w:t>
      </w:r>
      <w:r>
        <w:rPr>
          <w:rFonts w:eastAsia="Times New Roman"/>
          <w:vanish/>
        </w:rPr>
        <w:t>embereqh:DiscountedCashFlowValuationTechniqueMemberus-gaap:MeasurementInputWithdrawalRateMember2021-12-310001333986eqh:EmbeddedDerivativeGMIBReinsuranceMembersrt:WeightedAverageMemberus-gaap:FairValueInputsLevel3Membereqh:DiscountedCashFlowValuationTechniq</w:t>
      </w:r>
      <w:r>
        <w:rPr>
          <w:rFonts w:eastAsia="Times New Roman"/>
          <w:vanish/>
        </w:rPr>
        <w:t>ueMemberus-gaap:MeasurementInputUtilizationRateMember2021-12-310001333986eqh:EmbeddedDerivativeGMIBReinsuranceMembersrt:WeightedAverageMemberus-gaap:FairValueInputsLevel3Membereqh:DiscountedCashFlowValuationTechniqueMembereqh:MeasurementInputEquityVolatili</w:t>
      </w:r>
      <w:r>
        <w:rPr>
          <w:rFonts w:eastAsia="Times New Roman"/>
          <w:vanish/>
        </w:rPr>
        <w:t>tyMember2021-12-310001333986eqh:EmbeddedDerivativeGMIBReinsuranceMemberus-gaap:MeasurementInputMortalityRateMembersrt:WeightedAverageMemberus-gaap:FairValueInputsLevel3Membereqh:DiscountedCashFlowValuationTechniqueMembereqh:RangeThreeMember2021-12-31000133</w:t>
      </w:r>
      <w:r>
        <w:rPr>
          <w:rFonts w:eastAsia="Times New Roman"/>
          <w:vanish/>
        </w:rPr>
        <w:t>3986eqh:EmbeddedDerivativeGMIBReinsuranceMemberus-gaap:MeasurementInputMortalityRateMembereqh:RangeOneMembersrt:WeightedAverageMemberus-gaap:FairValueInputsLevel3Membereqh:DiscountedCashFlowValuationTechniqueMember2021-12-310001333986eqh:EmbeddedDerivative</w:t>
      </w:r>
      <w:r>
        <w:rPr>
          <w:rFonts w:eastAsia="Times New Roman"/>
          <w:vanish/>
        </w:rPr>
        <w:t>GMIBReinsuranceMemberus-gaap:MeasurementInputMortalityRateMembersrt:WeightedAverageMembereqh:RangeTwoMemberus-gaap:FairValueInputsLevel3Membereqh:DiscountedCashFlowValuationTechniqueMember2021-12-310001333986eqh:EmbeddedDerivativeDueFromReinsuranceReinsure</w:t>
      </w:r>
      <w:r>
        <w:rPr>
          <w:rFonts w:eastAsia="Times New Roman"/>
          <w:vanish/>
        </w:rPr>
        <w:t>rsMemberus-gaap:MeasurementInputLapseRateMembersrt:MinimumMemberus-gaap:FairValueInputsLevel3Membereqh:DiscountedCashFlowValuationTechniqueMember2021-12-310001333986srt:MaximumMembereqh:EmbeddedDerivativeDueFromReinsuranceReinsurersMemberus-gaap:Measuremen</w:t>
      </w:r>
      <w:r>
        <w:rPr>
          <w:rFonts w:eastAsia="Times New Roman"/>
          <w:vanish/>
        </w:rPr>
        <w:t>tInputLapseRateMemberus-gaap:FairValueInputsLevel3Membereqh:DiscountedCashFlowValuationTechniqueMember2021-12-310001333986eqh:EmbeddedDerivativeDueFromReinsuranceReinsurersMembersrt:MinimumMemberus-gaap:FairValueInputsLevel3Membereqh:DiscountedCashFlowValu</w:t>
      </w:r>
      <w:r>
        <w:rPr>
          <w:rFonts w:eastAsia="Times New Roman"/>
          <w:vanish/>
        </w:rPr>
        <w:t>ationTechniqueMemberus-gaap:MeasurementInputWithdrawalRateMember2021-12-310001333986srt:MaximumMembereqh:EmbeddedDerivativeDueFromReinsuranceReinsurersMemberus-gaap:FairValueInputsLevel3Membereqh:DiscountedCashFlowValuationTechniqueMemberus-gaap:Measuremen</w:t>
      </w:r>
      <w:r>
        <w:rPr>
          <w:rFonts w:eastAsia="Times New Roman"/>
          <w:vanish/>
        </w:rPr>
        <w:t>tInputWithdrawalRateMember2021-12-310001333986eqh:EmbeddedDerivativeDueFromReinsuranceReinsurersMembersrt:MinimumMemberus-gaap:FairValueInputsLevel3Membereqh:DiscountedCashFlowValuationTechniqueMemberus-gaap:MeasurementInputUtilizationRateMember2021-12-310</w:t>
      </w:r>
      <w:r>
        <w:rPr>
          <w:rFonts w:eastAsia="Times New Roman"/>
          <w:vanish/>
        </w:rPr>
        <w:t>001333986srt:MaximumMembereqh:EmbeddedDerivativeDueFromReinsuranceReinsurersMemberus-gaap:FairValueInputsLevel3Membereqh:DiscountedCashFlowValuationTechniqueMemberus-gaap:MeasurementInputUtilizationRateMember2021-12-310001333986eqh:MeasurementInputNonperfo</w:t>
      </w:r>
      <w:r>
        <w:rPr>
          <w:rFonts w:eastAsia="Times New Roman"/>
          <w:vanish/>
        </w:rPr>
        <w:t>rmanceRiskMembereqh:EmbeddedDerivativeDueFromReinsuranceReinsurersMemberus-gaap:FairValueInputsLevel3Membereqh:DiscountedCashFlowValuationTechniqueMember2021-12-310001333986eqh:EmbeddedDerivativeDueFromReinsuranceReinsurersMembersrt:MinimumMemberus-gaap:Fa</w:t>
      </w:r>
      <w:r>
        <w:rPr>
          <w:rFonts w:eastAsia="Times New Roman"/>
          <w:vanish/>
        </w:rPr>
        <w:t>irValueInputsLevel3Membereqh:DiscountedCashFlowValuationTechniqueMembereqh:MeasurementInputEquityVolatilityMember2021-12-310001333986srt:MaximumMembereqh:EmbeddedDerivativeDueFromReinsuranceReinsurersMemberus-gaap:FairValueInputsLevel3Membereqh:DiscountedC</w:t>
      </w:r>
      <w:r>
        <w:rPr>
          <w:rFonts w:eastAsia="Times New Roman"/>
          <w:vanish/>
        </w:rPr>
        <w:t>ashFlowValuationTechniqueMembereqh:MeasurementInputEquityVolatilityMember2021-12-310001333986us-gaap:MeasurementInputMortalityRateMembereqh:EmbeddedDerivativeDueFromReinsuranceReinsurersMembereqh:RangeOneMembersrt:MinimumMemberus-gaap:FairValueInputsLevel3</w:t>
      </w:r>
      <w:r>
        <w:rPr>
          <w:rFonts w:eastAsia="Times New Roman"/>
          <w:vanish/>
        </w:rPr>
        <w:t>Membereqh:DiscountedCashFlowValuationTechniqueMember2021-12-310001333986srt:MaximumMemberus-gaap:MeasurementInputMortalityRateMembereqh:EmbeddedDerivativeDueFromReinsuranceReinsurersMembereqh:RangeOneMemberus-gaap:FairValueInputsLevel3Membereqh:DiscountedC</w:t>
      </w:r>
      <w:r>
        <w:rPr>
          <w:rFonts w:eastAsia="Times New Roman"/>
          <w:vanish/>
        </w:rPr>
        <w:t>ashFlowValuationTechniqueMember2021-12-310001333986us-gaap:MeasurementInputMortalityRateMembereqh:EmbeddedDerivativeDueFromReinsuranceReinsurersMembersrt:MinimumMembereqh:RangeTwoMemberus-gaap:FairValueInputsLevel3Membereqh:DiscountedCashFlowValuationTechn</w:t>
      </w:r>
      <w:r>
        <w:rPr>
          <w:rFonts w:eastAsia="Times New Roman"/>
          <w:vanish/>
        </w:rPr>
        <w:t>iqueMember2021-12-310001333986srt:MaximumMemberus-gaap:MeasurementInputMortalityRateMembereqh:EmbeddedDerivativeDueFromReinsuranceReinsurersMembereqh:RangeTwoMemberus-gaap:FairValueInputsLevel3Membereqh:DiscountedCashFlowValuationTechniqueMember2021-12-310</w:t>
      </w:r>
      <w:r>
        <w:rPr>
          <w:rFonts w:eastAsia="Times New Roman"/>
          <w:vanish/>
        </w:rPr>
        <w:t>001333986us-gaap:MeasurementInputMortalityRateMembereqh:EmbeddedDerivativeDueFromReinsuranceReinsurersMembersrt:MinimumMemberus-gaap:FairValueInputsLevel3Membereqh:DiscountedCashFlowValuationTechniqueMembereqh:RangeThreeMember2021-12-310001333986srt:Maximu</w:t>
      </w:r>
      <w:r>
        <w:rPr>
          <w:rFonts w:eastAsia="Times New Roman"/>
          <w:vanish/>
        </w:rPr>
        <w:t>mMemberus-gaap:MeasurementInputMortalityRateMembereqh:EmbeddedDerivativeDueFromReinsuranceReinsurersMemberus-gaap:FairValueInputsLevel3Membereqh:DiscountedCashFlowValuationTechniqueMembereqh:RangeThreeMember2021-12-310001333986eqh:EmbeddedDerivativeDueFrom</w:t>
      </w:r>
      <w:r>
        <w:rPr>
          <w:rFonts w:eastAsia="Times New Roman"/>
          <w:vanish/>
        </w:rPr>
        <w:t>ReinsuranceReinsurersMemberus-gaap:MeasurementInputLapseRateMembersrt:WeightedAverageMemberus-gaap:FairValueInputsLevel3Membereqh:DiscountedCashFlowValuationTechniqueMember2021-12-310001333986eqh:EmbeddedDerivativeDueFromReinsuranceReinsurersMembersrt:Weig</w:t>
      </w:r>
      <w:r>
        <w:rPr>
          <w:rFonts w:eastAsia="Times New Roman"/>
          <w:vanish/>
        </w:rPr>
        <w:t>htedAverageMemberus-gaap:FairValueInputsLevel3Membereqh:DiscountedCashFlowValuationTechniqueMemberus-gaap:MeasurementInputWithdrawalRateMember2021-12-310001333986eqh:EmbeddedDerivativeDueFromReinsuranceReinsurersMembersrt:WeightedAverageMemberus-gaap:FairV</w:t>
      </w:r>
      <w:r>
        <w:rPr>
          <w:rFonts w:eastAsia="Times New Roman"/>
          <w:vanish/>
        </w:rPr>
        <w:t>alueInputsLevel3Membereqh:DiscountedCashFlowValuationTechniqueMemberus-gaap:MeasurementInputUtilizationRateMember2021-12-310001333986eqh:MeasurementInputNonperformanceRiskMembereqh:EmbeddedDerivativeDueFromReinsuranceReinsurersMembersrt:WeightedAverageMemb</w:t>
      </w:r>
      <w:r>
        <w:rPr>
          <w:rFonts w:eastAsia="Times New Roman"/>
          <w:vanish/>
        </w:rPr>
        <w:t>erus-gaap:FairValueInputsLevel3Membereqh:DiscountedCashFlowValuationTechniqueMember2021-12-310001333986eqh:EmbeddedDerivativeDueFromReinsuranceReinsurersMembersrt:WeightedAverageMemberus-gaap:FairValueInputsLevel3Membereqh:DiscountedCashFlowValuationTechni</w:t>
      </w:r>
      <w:r>
        <w:rPr>
          <w:rFonts w:eastAsia="Times New Roman"/>
          <w:vanish/>
        </w:rPr>
        <w:t>queMembereqh:MeasurementInputEquityVolatilityMember2021-12-310001333986us-gaap:MeasurementInputMortalityRateMembereqh:EmbeddedDerivativeDueFromReinsuranceReinsurersMembersrt:WeightedAverageMemberus-gaap:FairValueInputsLevel3Membereqh:DiscountedCashFlowValu</w:t>
      </w:r>
      <w:r>
        <w:rPr>
          <w:rFonts w:eastAsia="Times New Roman"/>
          <w:vanish/>
        </w:rPr>
        <w:t>ationTechniqueMembereqh:RangeThreeMember2021-12-310001333986us-gaap:MeasurementInputMortalityRateMembereqh:EmbeddedDerivativeDueFromReinsuranceReinsurersMembersrt:WeightedAverageMembereqh:RangeTwoMemberus-gaap:FairValueInputsLevel3Membereqh:DiscountedCashF</w:t>
      </w:r>
      <w:r>
        <w:rPr>
          <w:rFonts w:eastAsia="Times New Roman"/>
          <w:vanish/>
        </w:rPr>
        <w:t>lowValuationTechniqueMember2021-12-310001333986us-gaap:MeasurementInputMortalityRateMembereqh:EmbeddedDerivativeDueFromReinsuranceReinsurersMembereqh:RangeOneMembersrt:WeightedAverageMemberus-gaap:FairValueInputsLevel3Membereqh:DiscountedCashFlowValuationT</w:t>
      </w:r>
      <w:r>
        <w:rPr>
          <w:rFonts w:eastAsia="Times New Roman"/>
          <w:vanish/>
        </w:rPr>
        <w:t>echniqueMember2021-12-310001333986us-gaap:FairValueInputsLevel3Membereqh:AllianceBernsteinMembereqh:DiscountedCashFlowValuationTechniqueMember2021-12-310001333986srt:MinimumMemberus-gaap:FairValueInputsLevel3Memberus-gaap:MeasurementInputLongTermRevenueGro</w:t>
      </w:r>
      <w:r>
        <w:rPr>
          <w:rFonts w:eastAsia="Times New Roman"/>
          <w:vanish/>
        </w:rPr>
        <w:t>wthRateMembereqh:AllianceBernsteinMembereqh:DiscountedCashFlowValuationTechniqueMember2021-12-310001333986srt:MaximumMemberus-gaap:FairValueInputsLevel3Memberus-gaap:MeasurementInputLongTermRevenueGrowthRateMembereqh:AllianceBernsteinMembereqh:DiscountedCa</w:t>
      </w:r>
      <w:r>
        <w:rPr>
          <w:rFonts w:eastAsia="Times New Roman"/>
          <w:vanish/>
        </w:rPr>
        <w:t>shFlowValuationTechniqueMember2021-12-310001333986us-gaap:MeasurementInputDiscountRateMembersrt:MinimumMemberus-gaap:FairValueInputsLevel3Membereqh:AllianceBernsteinMembereqh:DiscountedCashFlowValuationTechniqueMember2021-12-310001333986srt:MaximumMemberus</w:t>
      </w:r>
      <w:r>
        <w:rPr>
          <w:rFonts w:eastAsia="Times New Roman"/>
          <w:vanish/>
        </w:rPr>
        <w:t>-gaap:MeasurementInputDiscountRateMemberus-gaap:FairValueInputsLevel3Membereqh:AllianceBernsteinMembereqh:DiscountedCashFlowValuationTechniqueMember2021-12-310001333986srt:WeightedAverageMemberus-gaap:FairValueInputsLevel3Memberus-gaap:MeasurementInputLong</w:t>
      </w:r>
      <w:r>
        <w:rPr>
          <w:rFonts w:eastAsia="Times New Roman"/>
          <w:vanish/>
        </w:rPr>
        <w:t>TermRevenueGrowthRateMembereqh:AllianceBernsteinMembereqh:DiscountedCashFlowValuationTechniqueMember2021-12-310001333986us-gaap:MeasurementInputDiscountRateMembersrt:WeightedAverageMemberus-gaap:FairValueInputsLevel3Membereqh:AllianceBernsteinMembereqh:Dis</w:t>
      </w:r>
      <w:r>
        <w:rPr>
          <w:rFonts w:eastAsia="Times New Roman"/>
          <w:vanish/>
        </w:rPr>
        <w:t>countedCashFlowValuationTechniqueMember2021-12-310001333986eqh:GuaranteedMinimumInsuranceBenefitsnoLapseGuaranteeMemberus-gaap:FairValueInputsLevel3Membereqh:DiscountedCashFlowValuationTechniqueMember2021-12-310001333986eqh:MeasurementInputNonperformanceRi</w:t>
      </w:r>
      <w:r>
        <w:rPr>
          <w:rFonts w:eastAsia="Times New Roman"/>
          <w:vanish/>
        </w:rPr>
        <w:t>skMembereqh:GuaranteedMinimumInsuranceBenefitsnoLapseGuaranteeMemberus-gaap:FairValueInputsLevel3Membereqh:DiscountedCashFlowValuationTechniqueMember2021-12-310001333986eqh:GuaranteedMinimumInsuranceBenefitsnoLapseGuaranteeMemberus-gaap:MeasurementInputLap</w:t>
      </w:r>
      <w:r>
        <w:rPr>
          <w:rFonts w:eastAsia="Times New Roman"/>
          <w:vanish/>
        </w:rPr>
        <w:t>seRateMembersrt:MinimumMemberus-gaap:FairValueInputsLevel3Membereqh:DiscountedCashFlowValuationTechniqueMember2021-12-310001333986srt:MaximumMembereqh:GuaranteedMinimumInsuranceBenefitsnoLapseGuaranteeMemberus-gaap:MeasurementInputLapseRateMemberus-gaap:Fa</w:t>
      </w:r>
      <w:r>
        <w:rPr>
          <w:rFonts w:eastAsia="Times New Roman"/>
          <w:vanish/>
        </w:rPr>
        <w:t>irValueInputsLevel3Membereqh:DiscountedCashFlowValuationTechniqueMember2021-12-310001333986eqh:GuaranteedMinimumInsuranceBenefitsnoLapseGuaranteeMembersrt:MinimumMemberus-gaap:FairValueInputsLevel3Membereqh:DiscountedCashFlowValuationTechniqueMemberus-gaap</w:t>
      </w:r>
      <w:r>
        <w:rPr>
          <w:rFonts w:eastAsia="Times New Roman"/>
          <w:vanish/>
        </w:rPr>
        <w:t>:MeasurementInputWithdrawalRateMember2021-12-310001333986srt:MaximumMembereqh:GuaranteedMinimumInsuranceBenefitsnoLapseGuaranteeMemberus-gaap:FairValueInputsLevel3Membereqh:DiscountedCashFlowValuationTechniqueMemberus-gaap:MeasurementInputWithdrawalRateMem</w:t>
      </w:r>
      <w:r>
        <w:rPr>
          <w:rFonts w:eastAsia="Times New Roman"/>
          <w:vanish/>
        </w:rPr>
        <w:t>ber2021-12-310001333986eqh:GuaranteedMinimumInsuranceBenefitsnoLapseGuaranteeMembereqh:MeasurementInputAnnuitizationRateMembersrt:MinimumMemberus-gaap:FairValueInputsLevel3Membereqh:DiscountedCashFlowValuationTechniqueMember2021-12-310001333986srt:MaximumM</w:t>
      </w:r>
      <w:r>
        <w:rPr>
          <w:rFonts w:eastAsia="Times New Roman"/>
          <w:vanish/>
        </w:rPr>
        <w:t>embereqh:GuaranteedMinimumInsuranceBenefitsnoLapseGuaranteeMembereqh:MeasurementInputAnnuitizationRateMemberus-gaap:FairValueInputsLevel3Membereqh:DiscountedCashFlowValuationTechniqueMember2021-12-310001333986us-gaap:MeasurementInputMortalityRateMembereqh:</w:t>
      </w:r>
      <w:r>
        <w:rPr>
          <w:rFonts w:eastAsia="Times New Roman"/>
          <w:vanish/>
        </w:rPr>
        <w:t>GuaranteedMinimumInsuranceBenefitsnoLapseGuaranteeMembereqh:RangeOneMembersrt:MinimumMemberus-gaap:FairValueInputsLevel3Membereqh:DiscountedCashFlowValuationTechniqueMember2021-12-310001333986srt:MaximumMemberus-gaap:MeasurementInputMortalityRateMembereqh:</w:t>
      </w:r>
      <w:r>
        <w:rPr>
          <w:rFonts w:eastAsia="Times New Roman"/>
          <w:vanish/>
        </w:rPr>
        <w:t>GuaranteedMinimumInsuranceBenefitsnoLapseGuaranteeMembereqh:RangeOneMemberus-gaap:FairValueInputsLevel3Membereqh:DiscountedCashFlowValuationTechniqueMember2021-12-310001333986us-gaap:MeasurementInputMortalityRateMembereqh:GuaranteedMinimumInsuranceBenefits</w:t>
      </w:r>
      <w:r>
        <w:rPr>
          <w:rFonts w:eastAsia="Times New Roman"/>
          <w:vanish/>
        </w:rPr>
        <w:t>noLapseGuaranteeMembersrt:MinimumMembereqh:RangeTwoMemberus-gaap:FairValueInputsLevel3Membereqh:DiscountedCashFlowValuationTechniqueMember2021-12-310001333986srt:MaximumMemberus-gaap:MeasurementInputMortalityRateMembereqh:GuaranteedMinimumInsuranceBenefits</w:t>
      </w:r>
      <w:r>
        <w:rPr>
          <w:rFonts w:eastAsia="Times New Roman"/>
          <w:vanish/>
        </w:rPr>
        <w:t>noLapseGuaranteeMembereqh:RangeTwoMemberus-gaap:FairValueInputsLevel3Membereqh:DiscountedCashFlowValuationTechniqueMember2021-12-310001333986us-gaap:MeasurementInputMortalityRateMembereqh:GuaranteedMinimumInsuranceBenefitsnoLapseGuaranteeMembersrt:MinimumM</w:t>
      </w:r>
      <w:r>
        <w:rPr>
          <w:rFonts w:eastAsia="Times New Roman"/>
          <w:vanish/>
        </w:rPr>
        <w:t>emberus-gaap:FairValueInputsLevel3Membereqh:DiscountedCashFlowValuationTechniqueMembereqh:RangeThreeMember2021-12-310001333986srt:MaximumMemberus-gaap:MeasurementInputMortalityRateMembereqh:GuaranteedMinimumInsuranceBenefitsnoLapseGuaranteeMemberus-gaap:Fa</w:t>
      </w:r>
      <w:r>
        <w:rPr>
          <w:rFonts w:eastAsia="Times New Roman"/>
          <w:vanish/>
        </w:rPr>
        <w:t>irValueInputsLevel3Membereqh:DiscountedCashFlowValuationTechniqueMembereqh:RangeThreeMember2021-12-310001333986eqh:MeasurementInputNonperformanceRiskMembereqh:GuaranteedMinimumInsuranceBenefitsnoLapseGuaranteeMembersrt:WeightedAverageMemberus-gaap:FairValu</w:t>
      </w:r>
      <w:r>
        <w:rPr>
          <w:rFonts w:eastAsia="Times New Roman"/>
          <w:vanish/>
        </w:rPr>
        <w:t>eInputsLevel3Membereqh:DiscountedCashFlowValuationTechniqueMember2021-12-310001333986eqh:GuaranteedMinimumInsuranceBenefitsnoLapseGuaranteeMemberus-gaap:MeasurementInputLapseRateMembersrt:WeightedAverageMemberus-gaap:FairValueInputsLevel3Membereqh:Discount</w:t>
      </w:r>
      <w:r>
        <w:rPr>
          <w:rFonts w:eastAsia="Times New Roman"/>
          <w:vanish/>
        </w:rPr>
        <w:t>edCashFlowValuationTechniqueMember2021-12-310001333986eqh:GuaranteedMinimumInsuranceBenefitsnoLapseGuaranteeMembersrt:WeightedAverageMemberus-gaap:FairValueInputsLevel3Membereqh:DiscountedCashFlowValuationTechniqueMemberus-gaap:MeasurementInputWithdrawalRa</w:t>
      </w:r>
      <w:r>
        <w:rPr>
          <w:rFonts w:eastAsia="Times New Roman"/>
          <w:vanish/>
        </w:rPr>
        <w:t>teMember2021-12-310001333986eqh:GuaranteedMinimumInsuranceBenefitsnoLapseGuaranteeMembereqh:MeasurementInputAnnuitizationRateMembersrt:WeightedAverageMemberus-gaap:FairValueInputsLevel3Membereqh:DiscountedCashFlowValuationTechniqueMember2021-12-31000133398</w:t>
      </w:r>
      <w:r>
        <w:rPr>
          <w:rFonts w:eastAsia="Times New Roman"/>
          <w:vanish/>
        </w:rPr>
        <w:t>6us-gaap:MeasurementInputMortalityRateMembereqh:GuaranteedMinimumInsuranceBenefitsnoLapseGuaranteeMembereqh:RangeOneMembersrt:WeightedAverageMemberus-gaap:FairValueInputsLevel3Membereqh:DiscountedCashFlowValuationTechniqueMember2021-12-310001333986us-gaap:</w:t>
      </w:r>
      <w:r>
        <w:rPr>
          <w:rFonts w:eastAsia="Times New Roman"/>
          <w:vanish/>
        </w:rPr>
        <w:t>MeasurementInputMortalityRateMembereqh:GuaranteedMinimumInsuranceBenefitsnoLapseGuaranteeMembersrt:WeightedAverageMemberus-gaap:FairValueInputsLevel3Membereqh:DiscountedCashFlowValuationTechniqueMembereqh:RangeThreeMember2021-12-310001333986us-gaap:Measure</w:t>
      </w:r>
      <w:r>
        <w:rPr>
          <w:rFonts w:eastAsia="Times New Roman"/>
          <w:vanish/>
        </w:rPr>
        <w:t>mentInputMortalityRateMembereqh:GuaranteedMinimumInsuranceBenefitsnoLapseGuaranteeMembersrt:WeightedAverageMembereqh:RangeTwoMemberus-gaap:FairValueInputsLevel3Membereqh:DiscountedCashFlowValuationTechniqueMember2021-12-310001333986eqh:GmwbGwblMemberus-gaa</w:t>
      </w:r>
      <w:r>
        <w:rPr>
          <w:rFonts w:eastAsia="Times New Roman"/>
          <w:vanish/>
        </w:rPr>
        <w:t>p:FairValueInputsLevel3Membereqh:DiscountedCashFlowValuationTechniqueMember2021-12-310001333986eqh:GmwbGwblMembereqh:MeasurementInputNonperformanceRiskMemberus-gaap:FairValueInputsLevel3Membereqh:DiscountedCashFlowValuationTechniqueMember2021-12-3100013339</w:t>
      </w:r>
      <w:r>
        <w:rPr>
          <w:rFonts w:eastAsia="Times New Roman"/>
          <w:vanish/>
        </w:rPr>
        <w:t>86eqh:GmwbGwblMemberus-gaap:MeasurementInputLapseRateMembersrt:MinimumMemberus-gaap:FairValueInputsLevel3Membereqh:DiscountedCashFlowValuationTechniqueMember2021-12-310001333986eqh:GmwbGwblMembersrt:MaximumMemberus-gaap:MeasurementInputLapseRateMemberus-ga</w:t>
      </w:r>
      <w:r>
        <w:rPr>
          <w:rFonts w:eastAsia="Times New Roman"/>
          <w:vanish/>
        </w:rPr>
        <w:t>ap:FairValueInputsLevel3Membereqh:DiscountedCashFlowValuationTechniqueMember2021-12-310001333986eqh:GmwbGwblMembersrt:MinimumMemberus-gaap:FairValueInputsLevel3Membereqh:DiscountedCashFlowValuationTechniqueMemberus-gaap:MeasurementInputWithdrawalRateMember</w:t>
      </w:r>
      <w:r>
        <w:rPr>
          <w:rFonts w:eastAsia="Times New Roman"/>
          <w:vanish/>
        </w:rPr>
        <w:t>2021-12-310001333986eqh:GmwbGwblMembersrt:MaximumMemberus-gaap:FairValueInputsLevel3Membereqh:DiscountedCashFlowValuationTechniqueMemberus-gaap:MeasurementInputWithdrawalRateMember2021-12-310001333986eqh:GmwbGwblMemberus-gaap:FairValueInputsLevel3Membereqh</w:t>
      </w:r>
      <w:r>
        <w:rPr>
          <w:rFonts w:eastAsia="Times New Roman"/>
          <w:vanish/>
        </w:rPr>
        <w:t>:DiscountedCashFlowValuationTechniqueMemberus-gaap:MeasurementInputUtilizationRateMember2021-12-310001333986eqh:GmwbGwblMembersrt:MinimumMemberus-gaap:FairValueInputsLevel3Membereqh:DiscountedCashFlowValuationTechniqueMembereqh:MeasurementInputEquityVolati</w:t>
      </w:r>
      <w:r>
        <w:rPr>
          <w:rFonts w:eastAsia="Times New Roman"/>
          <w:vanish/>
        </w:rPr>
        <w:t>lityMember2021-12-310001333986eqh:GmwbGwblMembersrt:MaximumMemberus-gaap:FairValueInputsLevel3Membereqh:DiscountedCashFlowValuationTechniqueMembereqh:MeasurementInputEquityVolatilityMember2021-12-310001333986eqh:GmwbGwblMemberus-gaap:MeasurementInputLapseR</w:t>
      </w:r>
      <w:r>
        <w:rPr>
          <w:rFonts w:eastAsia="Times New Roman"/>
          <w:vanish/>
        </w:rPr>
        <w:t>ateMembersrt:WeightedAverageMemberus-gaap:FairValueInputsLevel3Membereqh:DiscountedCashFlowValuationTechniqueMember2021-12-310001333986eqh:GmwbGwblMembersrt:WeightedAverageMemberus-gaap:FairValueInputsLevel3Membereqh:DiscountedCashFlowValuationTechniqueMem</w:t>
      </w:r>
      <w:r>
        <w:rPr>
          <w:rFonts w:eastAsia="Times New Roman"/>
          <w:vanish/>
        </w:rPr>
        <w:t>berus-gaap:MeasurementInputWithdrawalRateMember2021-12-310001333986eqh:GmwbGwblMembersrt:WeightedAverageMemberus-gaap:FairValueInputsLevel3Membereqh:DiscountedCashFlowValuationTechniqueMembereqh:MeasurementInputEquityVolatilityMember2021-12-310001333986us-</w:t>
      </w:r>
      <w:r>
        <w:rPr>
          <w:rFonts w:eastAsia="Times New Roman"/>
          <w:vanish/>
        </w:rPr>
        <w:t>gaap:FairValueInputsLevel3Membereqh:DiscountedCashFlowValuationTechniqueMembereqh:GuaranteedInsuranceBenefitsMember2021-12-310001333986eqh:MeasurementInputNonperformanceRiskMemberus-gaap:FairValueInputsLevel3Membereqh:DiscountedCashFlowValuationTechniqueMe</w:t>
      </w:r>
      <w:r>
        <w:rPr>
          <w:rFonts w:eastAsia="Times New Roman"/>
          <w:vanish/>
        </w:rPr>
        <w:t>mbereqh:GuaranteedInsuranceBenefitsMember2021-12-310001333986us-gaap:MeasurementInputLapseRateMembersrt:MinimumMemberus-gaap:FairValueInputsLevel3Membereqh:DiscountedCashFlowValuationTechniqueMembereqh:GuaranteedInsuranceBenefitsMember2021-12-310001333986s</w:t>
      </w:r>
      <w:r>
        <w:rPr>
          <w:rFonts w:eastAsia="Times New Roman"/>
          <w:vanish/>
        </w:rPr>
        <w:t>rt:MaximumMemberus-gaap:MeasurementInputLapseRateMemberus-gaap:FairValueInputsLevel3Membereqh:DiscountedCashFlowValuationTechniqueMembereqh:GuaranteedInsuranceBenefitsMember2021-12-310001333986srt:MinimumMemberus-gaap:FairValueInputsLevel3Membereqh:Discoun</w:t>
      </w:r>
      <w:r>
        <w:rPr>
          <w:rFonts w:eastAsia="Times New Roman"/>
          <w:vanish/>
        </w:rPr>
        <w:t>tedCashFlowValuationTechniqueMemberus-gaap:MeasurementInputWithdrawalRateMembereqh:GuaranteedInsuranceBenefitsMember2021-12-310001333986srt:MaximumMemberus-gaap:FairValueInputsLevel3Membereqh:DiscountedCashFlowValuationTechniqueMemberus-gaap:MeasurementInp</w:t>
      </w:r>
      <w:r>
        <w:rPr>
          <w:rFonts w:eastAsia="Times New Roman"/>
          <w:vanish/>
        </w:rPr>
        <w:t>utWithdrawalRateMembereqh:GuaranteedInsuranceBenefitsMember2021-12-310001333986srt:MinimumMemberus-gaap:FairValueInputsLevel3Membereqh:DiscountedCashFlowValuationTechniqueMembereqh:GuaranteedInsuranceBenefitsMemberus-gaap:MeasurementInputUtilizationRateMem</w:t>
      </w:r>
      <w:r>
        <w:rPr>
          <w:rFonts w:eastAsia="Times New Roman"/>
          <w:vanish/>
        </w:rPr>
        <w:t>ber2021-12-310001333986srt:MaximumMemberus-gaap:FairValueInputsLevel3Membereqh:DiscountedCashFlowValuationTechniqueMembereqh:GuaranteedInsuranceBenefitsMemberus-gaap:MeasurementInputUtilizationRateMember2021-12-310001333986srt:MinimumMemberus-gaap:FairValu</w:t>
      </w:r>
      <w:r>
        <w:rPr>
          <w:rFonts w:eastAsia="Times New Roman"/>
          <w:vanish/>
        </w:rPr>
        <w:t>eInputsLevel3Membereqh:DiscountedCashFlowValuationTechniqueMembereqh:MeasurementInputEquityVolatilityMembereqh:GuaranteedInsuranceBenefitsMember2021-12-310001333986srt:MaximumMemberus-gaap:FairValueInputsLevel3Membereqh:DiscountedCashFlowValuationTechnique</w:t>
      </w:r>
      <w:r>
        <w:rPr>
          <w:rFonts w:eastAsia="Times New Roman"/>
          <w:vanish/>
        </w:rPr>
        <w:t>Membereqh:MeasurementInputEquityVolatilityMembereqh:GuaranteedInsuranceBenefitsMember2021-12-310001333986us-gaap:MeasurementInputLapseRateMembersrt:WeightedAverageMemberus-gaap:FairValueInputsLevel3Membereqh:DiscountedCashFlowValuationTechniqueMembereqh:Gu</w:t>
      </w:r>
      <w:r>
        <w:rPr>
          <w:rFonts w:eastAsia="Times New Roman"/>
          <w:vanish/>
        </w:rPr>
        <w:t>aranteedInsuranceBenefitsMember2021-12-310001333986srt:WeightedAverageMemberus-gaap:FairValueInputsLevel3Membereqh:DiscountedCashFlowValuationTechniqueMemberus-gaap:MeasurementInputWithdrawalRateMembereqh:GuaranteedInsuranceBenefitsMember2021-12-3100013339</w:t>
      </w:r>
      <w:r>
        <w:rPr>
          <w:rFonts w:eastAsia="Times New Roman"/>
          <w:vanish/>
        </w:rPr>
        <w:t>86srt:WeightedAverageMemberus-gaap:FairValueInputsLevel3Membereqh:DiscountedCashFlowValuationTechniqueMembereqh:GuaranteedInsuranceBenefitsMemberus-gaap:MeasurementInputUtilizationRateMember2021-12-310001333986srt:WeightedAverageMemberus-gaap:FairValueInpu</w:t>
      </w:r>
      <w:r>
        <w:rPr>
          <w:rFonts w:eastAsia="Times New Roman"/>
          <w:vanish/>
        </w:rPr>
        <w:t>tsLevel3Membereqh:DiscountedCashFlowValuationTechniqueMembereqh:MeasurementInputEquityVolatilityMembereqh:GuaranteedInsuranceBenefitsMember2021-12-310001333986eqh:GuaranteedMinimumAnnuityBenefitsMemberus-gaap:FairValueInputsLevel3Membereqh:DiscountedCashFl</w:t>
      </w:r>
      <w:r>
        <w:rPr>
          <w:rFonts w:eastAsia="Times New Roman"/>
          <w:vanish/>
        </w:rPr>
        <w:t>owValuationTechniqueMember2021-12-310001333986eqh:MeasurementInputNonperformanceRiskMembereqh:GuaranteedMinimumAnnuityBenefitsMemberus-gaap:FairValueInputsLevel3Membereqh:DiscountedCashFlowValuationTechniqueMember2021-12-310001333986us-gaap:MeasurementInpu</w:t>
      </w:r>
      <w:r>
        <w:rPr>
          <w:rFonts w:eastAsia="Times New Roman"/>
          <w:vanish/>
        </w:rPr>
        <w:t>tLapseRateMembereqh:GuaranteedMinimumAnnuityBenefitsMembersrt:MinimumMemberus-gaap:FairValueInputsLevel3Membereqh:DiscountedCashFlowValuationTechniqueMember2021-12-310001333986srt:MaximumMemberus-gaap:MeasurementInputLapseRateMembereqh:GuaranteedMinimumAnn</w:t>
      </w:r>
      <w:r>
        <w:rPr>
          <w:rFonts w:eastAsia="Times New Roman"/>
          <w:vanish/>
        </w:rPr>
        <w:t>uityBenefitsMemberus-gaap:FairValueInputsLevel3Membereqh:DiscountedCashFlowValuationTechniqueMember2021-12-310001333986eqh:GuaranteedMinimumAnnuityBenefitsMembersrt:MinimumMemberus-gaap:FairValueInputsLevel3Membereqh:DiscountedCashFlowValuationTechniqueMem</w:t>
      </w:r>
      <w:r>
        <w:rPr>
          <w:rFonts w:eastAsia="Times New Roman"/>
          <w:vanish/>
        </w:rPr>
        <w:t>bereqh:MeasurementInputEquityVolatilityMember2021-12-310001333986srt:MaximumMembereqh:GuaranteedMinimumAnnuityBenefitsMemberus-gaap:FairValueInputsLevel3Membereqh:DiscountedCashFlowValuationTechniqueMembereqh:MeasurementInputEquityVolatilityMember2021-12-3</w:t>
      </w:r>
      <w:r>
        <w:rPr>
          <w:rFonts w:eastAsia="Times New Roman"/>
          <w:vanish/>
        </w:rPr>
        <w:t>10001333986us-gaap:MeasurementInputLapseRateMembereqh:GuaranteedMinimumAnnuityBenefitsMembersrt:WeightedAverageMemberus-gaap:FairValueInputsLevel3Membereqh:DiscountedCashFlowValuationTechniqueMember2021-12-310001333986eqh:GuaranteedMinimumAnnuityBenefitsMe</w:t>
      </w:r>
      <w:r>
        <w:rPr>
          <w:rFonts w:eastAsia="Times New Roman"/>
          <w:vanish/>
        </w:rPr>
        <w:t>mbersrt:WeightedAverageMemberus-gaap:FairValueInputsLevel3Membereqh:DiscountedCashFlowValuationTechniqueMembereqh:MeasurementInputEquityVolatilityMember2021-12-310001333986us-gaap:FairValueInputsLevel3Memberus-gaap:FairValueMeasurementsNonrecurringMember20</w:t>
      </w:r>
      <w:r>
        <w:rPr>
          <w:rFonts w:eastAsia="Times New Roman"/>
          <w:vanish/>
        </w:rPr>
        <w:t>22-09-300001333986us-gaap:FairValueInputsLevel3Memberus-gaap:FairValueMeasurementsNonrecurringMember2021-12-310001333986us-gaap:CarryingReportedAmountFairValueDisclosureMember2022-09-300001333986us-gaap:EstimateOfFairValueFairValueDisclosureMemberus-gaap:F</w:t>
      </w:r>
      <w:r>
        <w:rPr>
          <w:rFonts w:eastAsia="Times New Roman"/>
          <w:vanish/>
        </w:rPr>
        <w:t>airValueInputsLevel1Member2022-09-300001333986us-gaap:FairValueInputsLevel2Memberus-gaap:EstimateOfFairValueFairValueDisclosureMember2022-09-300001333986us-gaap:EstimateOfFairValueFairValueDisclosureMemberus-gaap:FairValueInputsLevel3Member2022-09-30000133</w:t>
      </w:r>
      <w:r>
        <w:rPr>
          <w:rFonts w:eastAsia="Times New Roman"/>
          <w:vanish/>
        </w:rPr>
        <w:t>3986us-gaap:EstimateOfFairValueFairValueDisclosureMember2022-09-300001333986us-gaap:CarryingReportedAmountFairValueDisclosureMember2021-12-310001333986us-gaap:EstimateOfFairValueFairValueDisclosureMemberus-gaap:FairValueInputsLevel1Member2021-12-3100013339</w:t>
      </w:r>
      <w:r>
        <w:rPr>
          <w:rFonts w:eastAsia="Times New Roman"/>
          <w:vanish/>
        </w:rPr>
        <w:t>86us-gaap:FairValueInputsLevel2Memberus-gaap:EstimateOfFairValueFairValueDisclosureMember2021-12-310001333986us-gaap:EstimateOfFairValueFairValueDisclosureMemberus-gaap:FairValueInputsLevel3Member2021-12-310001333986us-gaap:EstimateOfFairValueFairValueDisc</w:t>
      </w:r>
      <w:r>
        <w:rPr>
          <w:rFonts w:eastAsia="Times New Roman"/>
          <w:vanish/>
        </w:rPr>
        <w:t>losureMember2021-12-310001333986us-gaap:SeriesAPreferredStockMember2022-09-300001333986us-gaap:SeriesAPreferredStockMember2021-12-310001333986us-gaap:SeriesBPreferredStockMember2022-09-300001333986us-gaap:SeriesBPreferredStockMember2021-12-310001333986us-g</w:t>
      </w:r>
      <w:r>
        <w:rPr>
          <w:rFonts w:eastAsia="Times New Roman"/>
          <w:vanish/>
        </w:rPr>
        <w:t>aap:SeriesCPreferredStockMember2022-09-300001333986us-gaap:SeriesCPreferredStockMember2021-12-310001333986us-gaap:SeriesAPreferredStockMember2022-07-012022-09-300001333986us-gaap:SeriesAPreferredStockMember2021-07-012021-09-300001333986us-gaap:SeriesAPrefe</w:t>
      </w:r>
      <w:r>
        <w:rPr>
          <w:rFonts w:eastAsia="Times New Roman"/>
          <w:vanish/>
        </w:rPr>
        <w:t>rredStockMember2021-01-012021-09-300001333986us-gaap:SeriesBPreferredStockMember2022-07-012022-09-300001333986us-gaap:SeriesBPreferredStockMember2021-07-012021-09-300001333986us-gaap:SeriesBPreferredStockMember2022-01-012022-09-300001333986us-gaap:SeriesBP</w:t>
      </w:r>
      <w:r>
        <w:rPr>
          <w:rFonts w:eastAsia="Times New Roman"/>
          <w:vanish/>
        </w:rPr>
        <w:t>referredStockMember2021-01-012021-09-300001333986us-gaap:SeriesCPreferredStockMember2022-07-012022-09-300001333986us-gaap:SeriesCPreferredStockMember2021-07-012021-09-300001333986us-gaap:SeriesCPreferredStockMember2021-01-012021-09-3000013339862022-02-0900</w:t>
      </w:r>
      <w:r>
        <w:rPr>
          <w:rFonts w:eastAsia="Times New Roman"/>
          <w:vanish/>
        </w:rPr>
        <w:t>01333986eqh:AcceleratedShareRepurchaseAgreementMember2022-07-012022-09-300001333986eqh:AcceleratedShareRepurchaseAgreementMember2021-07-012021-09-300001333986eqh:AcceleratedShareRepurchaseAgreementMember2022-01-012022-09-300001333986eqh:AcceleratedShareRep</w:t>
      </w:r>
      <w:r>
        <w:rPr>
          <w:rFonts w:eastAsia="Times New Roman"/>
          <w:vanish/>
        </w:rPr>
        <w:t>urchaseAgreementMember2021-01-012021-09-300001333986eqh:AcceleratedShareRepurchaseAgreementApril2022Member2022-04-300001333986eqh:AcceleratedShareRepurchaseAgreementApril2022Member2022-04-012022-04-300001333986eqh:AcceleratedShareRepurchaseAgreementMay2022</w:t>
      </w:r>
      <w:r>
        <w:rPr>
          <w:rFonts w:eastAsia="Times New Roman"/>
          <w:vanish/>
        </w:rPr>
        <w:t>Member2022-05-310001333986eqh:AcceleratedShareRepurchaseAgreementMay2022Member2022-05-012022-05-310001333986eqh:AcceleratedShareRepurchaseAgreementApril2022Member2022-05-310001333986eqh:AcceleratedShareRepurchaseAgreementApril2022Member2022-09-300001333986</w:t>
      </w:r>
      <w:r>
        <w:rPr>
          <w:rFonts w:eastAsia="Times New Roman"/>
          <w:vanish/>
        </w:rPr>
        <w:t>eqh:AcceleratedShareRepurchaseAgreementApril2022Member2022-09-012022-09-300001333986eqh:BrachFamilyFoundationLitigationMember2016-02-290001333986eqh:EquitableFinancialMember2016-02-29eqh:federalAction0001333986eqh:EquitableFinancialMemberstpr:NY2016-02-29e</w:t>
      </w:r>
      <w:r>
        <w:rPr>
          <w:rFonts w:eastAsia="Times New Roman"/>
          <w:vanish/>
        </w:rPr>
        <w:t>qh:legalAction00013339862022-07-012022-07-310001333986eqh:PreCapitalizedTrustSecuritiesTrancheOneMember2019-04-012019-04-300001333986eqh:PreCapitalizedTrustSecuritiesTrancheTwoMember2019-04-012019-04-300001333986eqh:ShortTermFundingAgreementsMaturingInLess</w:t>
      </w:r>
      <w:r>
        <w:rPr>
          <w:rFonts w:eastAsia="Times New Roman"/>
          <w:vanish/>
        </w:rPr>
        <w:t>ThanOneYearMemberus-gaap:FederalHomeLoanBankCertificatesAndObligationsFHLBMember2021-12-310001333986eqh:ShortTermFundingAgreementsMaturingInLessThanOneYearMemberus-gaap:FederalHomeLoanBankCertificatesAndObligationsFHLBMember2022-01-012022-09-300001333986eq</w:t>
      </w:r>
      <w:r>
        <w:rPr>
          <w:rFonts w:eastAsia="Times New Roman"/>
          <w:vanish/>
        </w:rPr>
        <w:t>h:ShortTermFundingAgreementsMaturingInLessThanOneYearMemberus-gaap:FederalHomeLoanBankCertificatesAndObligationsFHLBMember2022-09-300001333986eqh:LongTermFundingAgreementsMaturingBetweenTwoAndFiveYearsMemberus-gaap:FederalHomeLoanBankCertificatesAndObligat</w:t>
      </w:r>
      <w:r>
        <w:rPr>
          <w:rFonts w:eastAsia="Times New Roman"/>
          <w:vanish/>
        </w:rPr>
        <w:t>ionsFHLBMember2021-12-310001333986eqh:LongTermFundingAgreementsMaturingBetweenTwoAndFiveYearsMemberus-gaap:FederalHomeLoanBankCertificatesAndObligationsFHLBMember2022-01-012022-09-300001333986eqh:LongTermFundingAgreementsMaturingBetweenTwoAndFiveYearsMembe</w:t>
      </w:r>
      <w:r>
        <w:rPr>
          <w:rFonts w:eastAsia="Times New Roman"/>
          <w:vanish/>
        </w:rPr>
        <w:t>rus-gaap:FederalHomeLoanBankCertificatesAndObligationsFHLBMember2022-09-300001333986eqh:LongTermFundingAgreementsMaturingInGreaterThanFiveYearsMemberus-gaap:FederalHomeLoanBankCertificatesAndObligationsFHLBMember2021-12-310001333986eqh:LongTermFundingAgree</w:t>
      </w:r>
      <w:r>
        <w:rPr>
          <w:rFonts w:eastAsia="Times New Roman"/>
          <w:vanish/>
        </w:rPr>
        <w:t>mentsMaturingInGreaterThanFiveYearsMemberus-gaap:FederalHomeLoanBankCertificatesAndObligationsFHLBMember2022-01-012022-09-300001333986eqh:LongTermFundingAgreementsMaturingInGreaterThanFiveYearsMemberus-gaap:FederalHomeLoanBankCertificatesAndObligationsFHLB</w:t>
      </w:r>
      <w:r>
        <w:rPr>
          <w:rFonts w:eastAsia="Times New Roman"/>
          <w:vanish/>
        </w:rPr>
        <w:t>Member2022-09-300001333986eqh:LongTermFundingAgreementsMemberus-gaap:FederalHomeLoanBankCertificatesAndObligationsFHLBMember2021-12-310001333986eqh:LongTermFundingAgreementsMemberus-gaap:FederalHomeLoanBankCertificatesAndObligationsFHLBMember2022-01-012022</w:t>
      </w:r>
      <w:r>
        <w:rPr>
          <w:rFonts w:eastAsia="Times New Roman"/>
          <w:vanish/>
        </w:rPr>
        <w:t>-09-300001333986eqh:LongTermFundingAgreementsMemberus-gaap:FederalHomeLoanBankCertificatesAndObligationsFHLBMember2022-09-300001333986us-gaap:FederalHomeLoanBankCertificatesAndObligationsFHLBMember2021-12-310001333986us-gaap:FederalHomeLoanBankCertificates</w:t>
      </w:r>
      <w:r>
        <w:rPr>
          <w:rFonts w:eastAsia="Times New Roman"/>
          <w:vanish/>
        </w:rPr>
        <w:t>AndObligationsFHLBMember2022-01-012022-09-300001333986us-gaap:FederalHomeLoanBankCertificatesAndObligationsFHLBMember2022-09-300001333986eqh:TrustNotesMember2022-09-300001333986eqh:ShortTermFundingAgreementsMaturingInLessThanOneYearMembereqh:FundingAgreeme</w:t>
      </w:r>
      <w:r>
        <w:rPr>
          <w:rFonts w:eastAsia="Times New Roman"/>
          <w:vanish/>
        </w:rPr>
        <w:t>ntBackedNotesProgramFABNMember2021-12-310001333986eqh:ShortTermFundingAgreementsMaturingInLessThanOneYearMembereqh:FundingAgreementBackedNotesProgramFABNMember2022-01-012022-09-300001333986eqh:ShortTermFundingAgreementsMaturingInLessThanOneYearMembereqh:Fu</w:t>
      </w:r>
      <w:r>
        <w:rPr>
          <w:rFonts w:eastAsia="Times New Roman"/>
          <w:vanish/>
        </w:rPr>
        <w:t>ndingAgreementBackedNotesProgramFABNMember2022-09-300001333986eqh:FundingAgreementBackedNotesProgramFABNMembereqh:LongTermFundingAgreementsMaturingBetweenTwoAndFiveYearsMember2021-12-310001333986eqh:FundingAgreementBackedNotesProgramFABNMembereqh:LongTermF</w:t>
      </w:r>
      <w:r>
        <w:rPr>
          <w:rFonts w:eastAsia="Times New Roman"/>
          <w:vanish/>
        </w:rPr>
        <w:t>undingAgreementsMaturingBetweenTwoAndFiveYearsMember2022-01-012022-09-300001333986eqh:FundingAgreementBackedNotesProgramFABNMembereqh:LongTermFundingAgreementsMaturingBetweenTwoAndFiveYearsMember2022-09-300001333986eqh:FundingAgreementBackedNotesProgramFAB</w:t>
      </w:r>
      <w:r>
        <w:rPr>
          <w:rFonts w:eastAsia="Times New Roman"/>
          <w:vanish/>
        </w:rPr>
        <w:t>NMembereqh:LongTermFundingAgreementsMaturingInGreaterThanFiveYearsMember2021-12-310001333986eqh:FundingAgreementBackedNotesProgramFABNMembereqh:LongTermFundingAgreementsMaturingInGreaterThanFiveYearsMember2022-01-012022-09-300001333986eqh:FundingAgreementB</w:t>
      </w:r>
      <w:r>
        <w:rPr>
          <w:rFonts w:eastAsia="Times New Roman"/>
          <w:vanish/>
        </w:rPr>
        <w:t>ackedNotesProgramFABNMembereqh:LongTermFundingAgreementsMaturingInGreaterThanFiveYearsMember2022-09-300001333986eqh:FundingAgreementBackedNotesProgramFABNMembereqh:LongTermFundingAgreementsMember2021-12-310001333986eqh:FundingAgreementBackedNotesProgramFAB</w:t>
      </w:r>
      <w:r>
        <w:rPr>
          <w:rFonts w:eastAsia="Times New Roman"/>
          <w:vanish/>
        </w:rPr>
        <w:t>NMembereqh:LongTermFundingAgreementsMember2022-01-012022-09-300001333986eqh:FundingAgreementBackedNotesProgramFABNMembereqh:LongTermFundingAgreementsMember2022-09-300001333986eqh:FundingAgreementBackedNotesProgramFABNMember2021-12-310001333986eqh:FundingAg</w:t>
      </w:r>
      <w:r>
        <w:rPr>
          <w:rFonts w:eastAsia="Times New Roman"/>
          <w:vanish/>
        </w:rPr>
        <w:t>reementBackedNotesProgramFABNMember2022-01-012022-09-300001333986eqh:FundingAgreementBackedNotesProgramFABNMember2022-09-300001333986us-gaap:RevolvingCreditFacilityMembereqh:HoldingsRevolvingCreditFacilityMember2018-02-280001333986us-gaap:RevolvingCreditFa</w:t>
      </w:r>
      <w:r>
        <w:rPr>
          <w:rFonts w:eastAsia="Times New Roman"/>
          <w:vanish/>
        </w:rPr>
        <w:t>cilityMembereqh:HoldingsRevolvingCreditFacilityMember2018-02-012018-02-280001333986us-gaap:RevolvingCreditFacilityMembereqh:HoldingsRevolvingCreditFacilityMember2021-06-300001333986eqh:HoldingsRevolvingCreditFacilityMemberus-gaap:LetterOfCreditMember2018-0</w:t>
      </w:r>
      <w:r>
        <w:rPr>
          <w:rFonts w:eastAsia="Times New Roman"/>
          <w:vanish/>
        </w:rPr>
        <w:t>2-280001333986eqh:HoldingsRevolvingCreditFacilityMember2022-09-300001333986eqh:HoldingsRevolvingCreditFacilityMemberus-gaap:LetterOfCreditMember2022-09-300001333986eqh:BilateralLetterOfCreditFacilitiesMemberus-gaap:LetterOfCreditMember2018-02-280001333986u</w:t>
      </w:r>
      <w:r>
        <w:rPr>
          <w:rFonts w:eastAsia="Times New Roman"/>
          <w:vanish/>
        </w:rPr>
        <w:t>s-gaap:RevolvingCreditFacilityMember2022-09-30eqh:prescribedAndPermittedPractice0001333986eqh:StatementOfStatutoryAccountingPrinciples108Member2022-09-300001333986eqh:StatementOfStatutoryAccountingPrinciples108Member2022-07-012022-09-300001333986eqh:Statem</w:t>
      </w:r>
      <w:r>
        <w:rPr>
          <w:rFonts w:eastAsia="Times New Roman"/>
          <w:vanish/>
        </w:rPr>
        <w:t>entOfStatutoryAccountingPrinciples108Member2022-01-012022-09-300001333986eqh:StatementOfStatutoryAccountingPrinciples108Member2021-06-300001333986eqh:RegulationNumber213Member2022-01-012022-09-300001333986eqh:RegulationNumber213Member2022-09-300001333986eq</w:t>
      </w:r>
      <w:r>
        <w:rPr>
          <w:rFonts w:eastAsia="Times New Roman"/>
          <w:vanish/>
        </w:rPr>
        <w:t>h:RegulationNumber213Member2022-07-012022-09-300001333986eqh:RegulationNumber213WithSeperateAccountsMember2022-01-012022-09-300001333986eqh:RegulationNumber213WithSeperateAccountsMember2022-07-012022-09-3000013339862020-01-012020-12-310001333986us-gaap:Mat</w:t>
      </w:r>
      <w:r>
        <w:rPr>
          <w:rFonts w:eastAsia="Times New Roman"/>
          <w:vanish/>
        </w:rPr>
        <w:t>erialReconcilingItemsMember2022-07-012022-09-300001333986us-gaap:MaterialReconcilingItemsMember2021-07-012021-09-300001333986us-gaap:MaterialReconcilingItemsMember2022-01-012022-09-300001333986us-gaap:MaterialReconcilingItemsMember2021-01-012021-09-3000013</w:t>
      </w:r>
      <w:r>
        <w:rPr>
          <w:rFonts w:eastAsia="Times New Roman"/>
          <w:vanish/>
        </w:rPr>
        <w:t>33986us-gaap:OperatingSegmentsMembereqh:IndividualRetirementMember2022-07-012022-09-300001333986us-gaap:OperatingSegmentsMembereqh:IndividualRetirementMember2021-07-012021-09-300001333986us-gaap:OperatingSegmentsMembereqh:IndividualRetirementMember2022-01-</w:t>
      </w:r>
      <w:r>
        <w:rPr>
          <w:rFonts w:eastAsia="Times New Roman"/>
          <w:vanish/>
        </w:rPr>
        <w:t>012022-09-300001333986us-gaap:OperatingSegmentsMembereqh:IndividualRetirementMember2021-01-012021-09-300001333986us-gaap:OperatingSegmentsMembereqh:GroupRetirementMember2022-07-012022-09-300001333986us-gaap:OperatingSegmentsMembereqh:GroupRetirementMember2</w:t>
      </w:r>
      <w:r>
        <w:rPr>
          <w:rFonts w:eastAsia="Times New Roman"/>
          <w:vanish/>
        </w:rPr>
        <w:t>021-07-012021-09-300001333986us-gaap:OperatingSegmentsMembereqh:GroupRetirementMember2022-01-012022-09-300001333986us-gaap:OperatingSegmentsMembereqh:GroupRetirementMember2021-01-012021-09-300001333986us-gaap:OperatingSegmentsMembereqh:InvestmentManagement</w:t>
      </w:r>
      <w:r>
        <w:rPr>
          <w:rFonts w:eastAsia="Times New Roman"/>
          <w:vanish/>
        </w:rPr>
        <w:t>AndResearchMember2022-07-012022-09-300001333986us-gaap:OperatingSegmentsMembereqh:InvestmentManagementAndResearchMember2021-07-012021-09-300001333986us-gaap:OperatingSegmentsMembereqh:InvestmentManagementAndResearchMember2022-01-012022-09-300001333986us-ga</w:t>
      </w:r>
      <w:r>
        <w:rPr>
          <w:rFonts w:eastAsia="Times New Roman"/>
          <w:vanish/>
        </w:rPr>
        <w:t>ap:OperatingSegmentsMembereqh:InvestmentManagementAndResearchMember2021-01-012021-09-300001333986us-gaap:OperatingSegmentsMembereqh:ProtectionSolutionsMember2022-07-012022-09-300001333986us-gaap:OperatingSegmentsMembereqh:ProtectionSolutionsMember2021-07-0</w:t>
      </w:r>
      <w:r>
        <w:rPr>
          <w:rFonts w:eastAsia="Times New Roman"/>
          <w:vanish/>
        </w:rPr>
        <w:t>12021-09-300001333986us-gaap:OperatingSegmentsMembereqh:ProtectionSolutionsMember2022-01-012022-09-300001333986us-gaap:OperatingSegmentsMembereqh:ProtectionSolutionsMember2021-01-012021-09-300001333986us-gaap:CorporateNonSegmentMember2022-07-012022-09-3000</w:t>
      </w:r>
      <w:r>
        <w:rPr>
          <w:rFonts w:eastAsia="Times New Roman"/>
          <w:vanish/>
        </w:rPr>
        <w:t>01333986us-gaap:CorporateNonSegmentMember2021-07-012021-09-300001333986us-gaap:CorporateNonSegmentMember2022-01-012022-09-300001333986us-gaap:CorporateNonSegmentMember2021-01-012021-09-300001333986us-gaap:MaterialReconcilingItemsMembereqh:NonGuaranteedMini</w:t>
      </w:r>
      <w:r>
        <w:rPr>
          <w:rFonts w:eastAsia="Times New Roman"/>
          <w:vanish/>
        </w:rPr>
        <w:t>mumWithdrawalBenefitMember2022-07-012022-09-300001333986us-gaap:MaterialReconcilingItemsMembereqh:NonGuaranteedMinimumWithdrawalBenefitMember2021-07-012021-09-300001333986us-gaap:MaterialReconcilingItemsMembereqh:NonGuaranteedMinimumWithdrawalBenefitMember</w:t>
      </w:r>
      <w:r>
        <w:rPr>
          <w:rFonts w:eastAsia="Times New Roman"/>
          <w:vanish/>
        </w:rPr>
        <w:t>2022-01-012022-09-300001333986us-gaap:MaterialReconcilingItemsMembereqh:NonGuaranteedMinimumWithdrawalBenefitMember2021-01-012021-09-300001333986us-gaap:IntersegmentEliminationMember2022-07-012022-09-300001333986us-gaap:IntersegmentEliminationMember2021-07</w:t>
      </w:r>
      <w:r>
        <w:rPr>
          <w:rFonts w:eastAsia="Times New Roman"/>
          <w:vanish/>
        </w:rPr>
        <w:t>-012021-09-300001333986us-gaap:IntersegmentEliminationMember2022-01-012022-09-300001333986us-gaap:IntersegmentEliminationMember2021-01-012021-09-300001333986us-gaap:InvestmentAdviceMemberus-gaap:IntersegmentEliminationMember2022-07-012022-09-300001333986us</w:t>
      </w:r>
      <w:r>
        <w:rPr>
          <w:rFonts w:eastAsia="Times New Roman"/>
          <w:vanish/>
        </w:rPr>
        <w:t>-gaap:InvestmentAdviceMemberus-gaap:IntersegmentEliminationMember2021-07-012021-09-300001333986us-gaap:InvestmentAdviceMemberus-gaap:IntersegmentEliminationMember2022-01-012022-09-300001333986us-gaap:InvestmentAdviceMemberus-gaap:IntersegmentEliminationMem</w:t>
      </w:r>
      <w:r>
        <w:rPr>
          <w:rFonts w:eastAsia="Times New Roman"/>
          <w:vanish/>
        </w:rPr>
        <w:t>ber2021-01-012021-09-300001333986us-gaap:OperatingSegmentsMembereqh:IndividualRetirementMember2022-09-300001333986us-gaap:OperatingSegmentsMembereqh:IndividualRetirementMember2021-12-310001333986us-gaap:OperatingSegmentsMembereqh:GroupRetirementMember2022-</w:t>
      </w:r>
      <w:r>
        <w:rPr>
          <w:rFonts w:eastAsia="Times New Roman"/>
          <w:vanish/>
        </w:rPr>
        <w:t>09-300001333986us-gaap:OperatingSegmentsMembereqh:GroupRetirementMember2021-12-310001333986us-gaap:OperatingSegmentsMembereqh:InvestmentManagementAndResearchMember2022-09-300001333986us-gaap:OperatingSegmentsMembereqh:InvestmentManagementAndResearchMember2</w:t>
      </w:r>
      <w:r>
        <w:rPr>
          <w:rFonts w:eastAsia="Times New Roman"/>
          <w:vanish/>
        </w:rPr>
        <w:t>021-12-310001333986us-gaap:OperatingSegmentsMembereqh:ProtectionSolutionsMember2022-09-300001333986us-gaap:OperatingSegmentsMembereqh:ProtectionSolutionsMember2021-12-310001333986us-gaap:CorporateNonSegmentMember2022-09-300001333986us-gaap:CorporateNonSegm</w:t>
      </w:r>
      <w:r>
        <w:rPr>
          <w:rFonts w:eastAsia="Times New Roman"/>
          <w:vanish/>
        </w:rPr>
        <w:t>entMember2021-12-310001333986us-gaap:SubsequentEventMemberus-gaap:NumberOfEmployeesTotalMembereqh:ReinsuranceTransactionMember2022-10-032022-10-030001333986us-gaap:SubsequentEventMembereqh:MassachusettsDomiciledInsuranceCompanyMember2022-10-030001333986us-</w:t>
      </w:r>
      <w:r>
        <w:rPr>
          <w:rFonts w:eastAsia="Times New Roman"/>
          <w:vanish/>
        </w:rPr>
        <w:t>gaap:SubsequentEventMembereqh:MassachusettsDomiciledInsuranceCompanyMember2022-10-032022-10-03</w:t>
      </w:r>
    </w:p>
    <w:p w:rsidR="00000000" w:rsidRDefault="00C56D69">
      <w:pPr>
        <w:divId w:val="2050301576"/>
        <w:rPr>
          <w:rFonts w:eastAsia="Times New Roman"/>
        </w:rPr>
      </w:pPr>
      <w:hyperlink w:anchor="i91a10deab42d4ca59e2a2b17dc17e22e_499" w:history="1">
        <w:r>
          <w:rPr>
            <w:rStyle w:val="a3"/>
            <w:rFonts w:eastAsia="Times New Roman"/>
            <w:b/>
            <w:bCs/>
            <w:sz w:val="20"/>
            <w:szCs w:val="20"/>
          </w:rPr>
          <w:t>Table of Contents</w:t>
        </w:r>
      </w:hyperlink>
    </w:p>
    <w:p w:rsidR="00000000" w:rsidRDefault="00C56D69">
      <w:pPr>
        <w:jc w:val="center"/>
        <w:rPr>
          <w:rFonts w:eastAsia="Times New Roman"/>
        </w:rPr>
      </w:pPr>
      <w:r>
        <w:rPr>
          <w:rFonts w:eastAsia="Times New Roman"/>
          <w:b/>
          <w:bCs/>
          <w:color w:val="000000"/>
        </w:rPr>
        <w:t>UNITED STATES</w:t>
      </w:r>
    </w:p>
    <w:p w:rsidR="00000000" w:rsidRDefault="00C56D69">
      <w:pPr>
        <w:jc w:val="center"/>
        <w:rPr>
          <w:rFonts w:eastAsia="Times New Roman"/>
        </w:rPr>
      </w:pPr>
      <w:r>
        <w:rPr>
          <w:rFonts w:eastAsia="Times New Roman"/>
          <w:b/>
          <w:bCs/>
          <w:color w:val="000000"/>
        </w:rPr>
        <w:t>SECURITIES AND EXCHANGE COMMISSION</w:t>
      </w:r>
    </w:p>
    <w:p w:rsidR="00000000" w:rsidRDefault="00C56D69">
      <w:pPr>
        <w:jc w:val="center"/>
        <w:rPr>
          <w:rFonts w:eastAsia="Times New Roman"/>
        </w:rPr>
      </w:pPr>
      <w:r>
        <w:rPr>
          <w:rFonts w:eastAsia="Times New Roman"/>
          <w:b/>
          <w:bCs/>
          <w:color w:val="000000"/>
        </w:rPr>
        <w:t>Washington, D.C. 20549</w:t>
      </w:r>
    </w:p>
    <w:p w:rsidR="00000000" w:rsidRDefault="00C56D69">
      <w:pPr>
        <w:jc w:val="center"/>
        <w:rPr>
          <w:rFonts w:eastAsia="Times New Roman"/>
        </w:rPr>
      </w:pPr>
      <w:r>
        <w:rPr>
          <w:rFonts w:eastAsia="Times New Roman"/>
          <w:b/>
          <w:bCs/>
          <w:color w:val="000000"/>
          <w:sz w:val="18"/>
          <w:szCs w:val="18"/>
        </w:rPr>
        <w:t>———————————</w:t>
      </w:r>
      <w:r>
        <w:rPr>
          <w:rFonts w:eastAsia="Times New Roman"/>
          <w:b/>
          <w:bCs/>
          <w:color w:val="000000"/>
          <w:sz w:val="18"/>
          <w:szCs w:val="18"/>
        </w:rPr>
        <w:t>————</w:t>
      </w:r>
    </w:p>
    <w:p w:rsidR="00000000" w:rsidRDefault="00C56D69">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959528661"/>
          <w:jc w:val="center"/>
        </w:trPr>
        <w:tc>
          <w:tcPr>
            <w:tcW w:w="50" w:type="pct"/>
            <w:vAlign w:val="center"/>
            <w:hideMark/>
          </w:tcPr>
          <w:p w:rsidR="00000000" w:rsidRDefault="00C56D69">
            <w:pPr>
              <w:jc w:val="center"/>
              <w:rPr>
                <w:rFonts w:eastAsia="Times New Roman"/>
              </w:rPr>
            </w:pPr>
          </w:p>
        </w:tc>
        <w:tc>
          <w:tcPr>
            <w:tcW w:w="1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6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959528661"/>
          <w:jc w:val="center"/>
        </w:trPr>
        <w:tc>
          <w:tcPr>
            <w:tcW w:w="0" w:type="auto"/>
            <w:gridSpan w:val="3"/>
            <w:tcMar>
              <w:top w:w="30" w:type="dxa"/>
              <w:left w:w="20" w:type="dxa"/>
              <w:bottom w:w="30" w:type="dxa"/>
              <w:right w:w="20" w:type="dxa"/>
            </w:tcMar>
            <w:hideMark/>
          </w:tcPr>
          <w:p w:rsidR="00000000" w:rsidRDefault="00C56D69">
            <w:pPr>
              <w:spacing w:after="100"/>
              <w:jc w:val="center"/>
              <w:divId w:val="155936425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C56D69">
      <w:pPr>
        <w:jc w:val="center"/>
        <w:divId w:val="1339163624"/>
        <w:rPr>
          <w:rFonts w:eastAsia="Times New Roman"/>
        </w:rPr>
      </w:pPr>
      <w:r>
        <w:rPr>
          <w:rFonts w:eastAsia="Times New Roman"/>
          <w:b/>
          <w:bCs/>
          <w:color w:val="000000"/>
          <w:sz w:val="18"/>
          <w:szCs w:val="18"/>
        </w:rPr>
        <w:t>For the quarterly period ended September 30, 2022 </w:t>
      </w:r>
    </w:p>
    <w:p w:rsidR="00000000" w:rsidRDefault="00C56D69">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359967067"/>
          <w:jc w:val="center"/>
        </w:trPr>
        <w:tc>
          <w:tcPr>
            <w:tcW w:w="50" w:type="pct"/>
            <w:vAlign w:val="center"/>
            <w:hideMark/>
          </w:tcPr>
          <w:p w:rsidR="00000000" w:rsidRDefault="00C56D69">
            <w:pPr>
              <w:jc w:val="center"/>
              <w:rPr>
                <w:rFonts w:eastAsia="Times New Roman"/>
              </w:rPr>
            </w:pPr>
          </w:p>
        </w:tc>
        <w:tc>
          <w:tcPr>
            <w:tcW w:w="1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6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359967067"/>
          <w:jc w:val="center"/>
        </w:trPr>
        <w:tc>
          <w:tcPr>
            <w:tcW w:w="0" w:type="auto"/>
            <w:gridSpan w:val="3"/>
            <w:tcMar>
              <w:top w:w="30" w:type="dxa"/>
              <w:left w:w="20" w:type="dxa"/>
              <w:bottom w:w="30" w:type="dxa"/>
              <w:right w:w="20" w:type="dxa"/>
            </w:tcMar>
            <w:hideMark/>
          </w:tcPr>
          <w:p w:rsidR="00000000" w:rsidRDefault="00C56D69">
            <w:pPr>
              <w:spacing w:after="100"/>
              <w:jc w:val="center"/>
              <w:divId w:val="1819375319"/>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C56D69">
      <w:pPr>
        <w:jc w:val="center"/>
        <w:divId w:val="259683324"/>
        <w:rPr>
          <w:rFonts w:eastAsia="Times New Roman"/>
        </w:rPr>
      </w:pPr>
      <w:r>
        <w:rPr>
          <w:rFonts w:eastAsia="Times New Roman"/>
          <w:b/>
          <w:bCs/>
          <w:color w:val="000000"/>
          <w:sz w:val="18"/>
          <w:szCs w:val="18"/>
        </w:rPr>
        <w:t>For the transition period from              to</w:t>
      </w:r>
    </w:p>
    <w:p w:rsidR="00000000" w:rsidRDefault="00C56D69">
      <w:pPr>
        <w:jc w:val="center"/>
        <w:divId w:val="623851559"/>
        <w:rPr>
          <w:rFonts w:eastAsia="Times New Roman"/>
        </w:rPr>
      </w:pPr>
      <w:r>
        <w:rPr>
          <w:rFonts w:eastAsia="Times New Roman"/>
          <w:b/>
          <w:bCs/>
          <w:color w:val="000000"/>
          <w:sz w:val="20"/>
          <w:szCs w:val="20"/>
        </w:rPr>
        <w:t>Commission File No. 001-38469</w:t>
      </w:r>
    </w:p>
    <w:p w:rsidR="00000000" w:rsidRDefault="00C56D69">
      <w:pPr>
        <w:jc w:val="center"/>
        <w:divId w:val="1074014051"/>
        <w:rPr>
          <w:rFonts w:eastAsia="Times New Roman"/>
        </w:rPr>
      </w:pPr>
      <w:r>
        <w:rPr>
          <w:rFonts w:eastAsia="Times New Roman"/>
          <w:b/>
          <w:bCs/>
          <w:color w:val="000000"/>
          <w:sz w:val="18"/>
          <w:szCs w:val="18"/>
        </w:rPr>
        <w:t>————————————————</w:t>
      </w:r>
    </w:p>
    <w:p w:rsidR="00000000" w:rsidRDefault="00C56D69">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56D69">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rsidR="00000000" w:rsidRDefault="00C56D69">
      <w:pPr>
        <w:jc w:val="center"/>
        <w:divId w:val="214662887"/>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814253431"/>
        </w:trPr>
        <w:tc>
          <w:tcPr>
            <w:tcW w:w="50" w:type="pct"/>
            <w:vAlign w:val="center"/>
            <w:hideMark/>
          </w:tcPr>
          <w:p w:rsidR="00000000" w:rsidRDefault="00C56D69">
            <w:pPr>
              <w:jc w:val="center"/>
              <w:rPr>
                <w:rFonts w:eastAsia="Times New Roman"/>
              </w:rPr>
            </w:pPr>
          </w:p>
        </w:tc>
        <w:tc>
          <w:tcPr>
            <w:tcW w:w="24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2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3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814253431"/>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90-0226248</w:t>
            </w:r>
          </w:p>
        </w:tc>
      </w:tr>
      <w:tr w:rsidR="00000000">
        <w:trPr>
          <w:divId w:val="1814253431"/>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(I.R.S. Employer Identification No.)</w:t>
            </w:r>
          </w:p>
        </w:tc>
      </w:tr>
    </w:tbl>
    <w:p w:rsidR="00000000" w:rsidRDefault="00C56D69">
      <w:pPr>
        <w:divId w:val="395014026"/>
        <w:rPr>
          <w:rFonts w:eastAsia="Times New Roman"/>
        </w:rPr>
      </w:pPr>
    </w:p>
    <w:p w:rsidR="00000000" w:rsidRDefault="00C56D69">
      <w:pPr>
        <w:divId w:val="836074796"/>
        <w:rPr>
          <w:rFonts w:eastAsia="Times New Roman"/>
        </w:rPr>
      </w:pPr>
      <w:r>
        <w:rPr>
          <w:rFonts w:eastAsia="Times New Roman"/>
          <w:b/>
          <w:bCs/>
          <w:color w:val="000000"/>
          <w:sz w:val="20"/>
          <w:szCs w:val="20"/>
        </w:rPr>
        <w:t xml:space="preserve">1290 Avenue of the Americas, New York, New York                 10104 </w:t>
      </w:r>
    </w:p>
    <w:p w:rsidR="00000000" w:rsidRDefault="00C56D69">
      <w:pPr>
        <w:divId w:val="482625185"/>
        <w:rPr>
          <w:rFonts w:eastAsia="Times New Roman"/>
        </w:rPr>
      </w:pPr>
      <w:r>
        <w:rPr>
          <w:rFonts w:eastAsia="Times New Roman"/>
          <w:color w:val="000000"/>
          <w:sz w:val="16"/>
          <w:szCs w:val="16"/>
        </w:rPr>
        <w:t>(Address of principal executive offices) (Zip Code)</w:t>
      </w:r>
    </w:p>
    <w:p w:rsidR="00000000" w:rsidRDefault="00C56D69">
      <w:pPr>
        <w:divId w:val="870728629"/>
        <w:rPr>
          <w:rFonts w:eastAsia="Times New Roman"/>
        </w:rPr>
      </w:pPr>
    </w:p>
    <w:p w:rsidR="00000000" w:rsidRDefault="00C56D69">
      <w:pPr>
        <w:jc w:val="center"/>
        <w:rPr>
          <w:rFonts w:eastAsia="Times New Roman"/>
        </w:rPr>
      </w:pPr>
      <w:r>
        <w:rPr>
          <w:rFonts w:eastAsia="Times New Roman"/>
          <w:b/>
          <w:bCs/>
          <w:color w:val="000000"/>
          <w:sz w:val="20"/>
          <w:szCs w:val="20"/>
        </w:rPr>
        <w:t xml:space="preserve">(212) 554-1234 </w:t>
      </w:r>
    </w:p>
    <w:p w:rsidR="00000000" w:rsidRDefault="00C56D69">
      <w:pPr>
        <w:jc w:val="center"/>
        <w:divId w:val="301349786"/>
        <w:rPr>
          <w:rFonts w:eastAsia="Times New Roman"/>
        </w:rPr>
      </w:pPr>
      <w:r>
        <w:rPr>
          <w:rFonts w:eastAsia="Times New Roman"/>
          <w:color w:val="000000"/>
          <w:sz w:val="16"/>
          <w:szCs w:val="16"/>
        </w:rPr>
        <w:t>(Registrant’s telephone number, including area code)</w:t>
      </w:r>
    </w:p>
    <w:p w:rsidR="00000000" w:rsidRDefault="00C56D69">
      <w:pPr>
        <w:divId w:val="471093438"/>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685014853"/>
          <w:jc w:val="center"/>
        </w:trPr>
        <w:tc>
          <w:tcPr>
            <w:tcW w:w="50" w:type="pct"/>
            <w:vAlign w:val="center"/>
            <w:hideMark/>
          </w:tcPr>
          <w:p w:rsidR="00000000" w:rsidRDefault="00C56D69">
            <w:pPr>
              <w:rPr>
                <w:rFonts w:eastAsia="Times New Roman"/>
              </w:rPr>
            </w:pPr>
          </w:p>
        </w:tc>
        <w:tc>
          <w:tcPr>
            <w:tcW w:w="177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39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58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685014853"/>
          <w:jc w:val="center"/>
        </w:trPr>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1685014853"/>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New York Stock Exchange</w:t>
            </w:r>
          </w:p>
        </w:tc>
      </w:tr>
      <w:tr w:rsidR="00000000">
        <w:trPr>
          <w:divId w:val="1685014853"/>
          <w:jc w:val="center"/>
        </w:trPr>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New York Stock Exchange</w:t>
            </w:r>
          </w:p>
        </w:tc>
      </w:tr>
      <w:tr w:rsidR="00000000">
        <w:trPr>
          <w:divId w:val="1685014853"/>
          <w:jc w:val="center"/>
        </w:trPr>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New York Stock Exchange</w:t>
            </w:r>
          </w:p>
        </w:tc>
      </w:tr>
    </w:tbl>
    <w:p w:rsidR="00000000" w:rsidRDefault="00C56D69">
      <w:pPr>
        <w:divId w:val="33770546"/>
        <w:rPr>
          <w:rFonts w:eastAsia="Times New Roman"/>
        </w:rPr>
      </w:pPr>
      <w:r>
        <w:rPr>
          <w:rFonts w:eastAsia="Times New Roman"/>
          <w:color w:val="000000"/>
          <w:sz w:val="16"/>
          <w:szCs w:val="16"/>
        </w:rPr>
        <w:t>Securities registered pursuant to Section 12(g) of the Act: None</w:t>
      </w:r>
    </w:p>
    <w:p w:rsidR="00000000" w:rsidRDefault="00C56D69">
      <w:pPr>
        <w:divId w:val="1217397717"/>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C56D69">
      <w:pPr>
        <w:divId w:val="154146798"/>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C56D69">
      <w:pPr>
        <w:divId w:val="500895775"/>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468592685"/>
        </w:trPr>
        <w:tc>
          <w:tcPr>
            <w:tcW w:w="50" w:type="pct"/>
            <w:vAlign w:val="center"/>
            <w:hideMark/>
          </w:tcPr>
          <w:p w:rsidR="00000000" w:rsidRDefault="00C56D69">
            <w:pPr>
              <w:rPr>
                <w:rFonts w:eastAsia="Times New Roman"/>
              </w:rPr>
            </w:pPr>
          </w:p>
        </w:tc>
        <w:tc>
          <w:tcPr>
            <w:tcW w:w="8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76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9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9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468592685"/>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C56D69">
            <w:pPr>
              <w:spacing w:after="100"/>
              <w:divId w:val="2000841552"/>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C56D69">
            <w:pPr>
              <w:spacing w:after="100"/>
              <w:divId w:val="195293366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C56D69">
            <w:pPr>
              <w:spacing w:after="100"/>
              <w:divId w:val="2057386659"/>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C56D69">
            <w:pPr>
              <w:spacing w:after="100"/>
              <w:divId w:val="655913904"/>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C56D69">
            <w:pPr>
              <w:spacing w:after="100"/>
              <w:divId w:val="1430783506"/>
              <w:rPr>
                <w:rFonts w:eastAsia="Times New Roman"/>
              </w:rPr>
            </w:pPr>
            <w:r>
              <w:rPr>
                <w:rFonts w:ascii="Segoe UI Symbol" w:eastAsia="Times New Roman" w:hAnsi="Segoe UI Symbol" w:cs="Segoe UI Symbol"/>
                <w:color w:val="000000"/>
                <w:sz w:val="16"/>
                <w:szCs w:val="16"/>
              </w:rPr>
              <w:t>☐</w:t>
            </w:r>
          </w:p>
        </w:tc>
      </w:tr>
      <w:tr w:rsidR="00000000">
        <w:trPr>
          <w:divId w:val="468592685"/>
        </w:trPr>
        <w:tc>
          <w:tcPr>
            <w:tcW w:w="0" w:type="auto"/>
            <w:gridSpan w:val="30"/>
            <w:tcMar>
              <w:top w:w="30" w:type="dxa"/>
              <w:left w:w="20" w:type="dxa"/>
              <w:bottom w:w="30" w:type="dxa"/>
              <w:right w:w="20" w:type="dxa"/>
            </w:tcMar>
            <w:vAlign w:val="center"/>
            <w:hideMark/>
          </w:tcPr>
          <w:p w:rsidR="00000000" w:rsidRDefault="00C56D69">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rsidR="00000000" w:rsidRDefault="00C56D69">
      <w:pPr>
        <w:divId w:val="1357610250"/>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C56D69">
      <w:pPr>
        <w:divId w:val="71199010"/>
        <w:rPr>
          <w:rFonts w:eastAsia="Times New Roman"/>
        </w:rPr>
      </w:pPr>
      <w:r>
        <w:rPr>
          <w:rFonts w:eastAsia="Times New Roman"/>
          <w:color w:val="000000"/>
          <w:sz w:val="16"/>
          <w:szCs w:val="16"/>
        </w:rPr>
        <w:t>As of November 1, 2022, 370,042,369 shares of the registrant’</w:t>
      </w:r>
      <w:r>
        <w:rPr>
          <w:rFonts w:eastAsia="Times New Roman"/>
          <w:color w:val="000000"/>
          <w:sz w:val="16"/>
          <w:szCs w:val="16"/>
        </w:rPr>
        <w:t>s Common Stock, $0.01 par value, were outstanding.</w:t>
      </w:r>
    </w:p>
    <w:p w:rsidR="00000000" w:rsidRDefault="00C56D69">
      <w:pPr>
        <w:divId w:val="1785885236"/>
        <w:rPr>
          <w:rFonts w:eastAsia="Times New Roman"/>
        </w:rPr>
      </w:pPr>
    </w:p>
    <w:p w:rsidR="00000000" w:rsidRDefault="00C56D69">
      <w:pPr>
        <w:rPr>
          <w:rFonts w:eastAsia="Times New Roman"/>
        </w:rPr>
      </w:pPr>
      <w:r>
        <w:rPr>
          <w:rFonts w:eastAsia="Times New Roman"/>
        </w:rPr>
        <w:pict>
          <v:rect id="_x0000_i1026" style="width:0;height:1.5pt" o:hralign="center" o:hrstd="t" o:hr="t" fillcolor="#a0a0a0" stroked="f"/>
        </w:pict>
      </w:r>
    </w:p>
    <w:p w:rsidR="00000000" w:rsidRDefault="00C56D69">
      <w:pPr>
        <w:divId w:val="110140992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669254703"/>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1404376140"/>
          <w:jc w:val="center"/>
        </w:trPr>
        <w:tc>
          <w:tcPr>
            <w:tcW w:w="50" w:type="pct"/>
            <w:vAlign w:val="center"/>
            <w:hideMark/>
          </w:tcPr>
          <w:p w:rsidR="00000000" w:rsidRDefault="00C56D69">
            <w:pPr>
              <w:jc w:val="center"/>
              <w:rPr>
                <w:rFonts w:eastAsia="Times New Roman"/>
              </w:rPr>
            </w:pPr>
          </w:p>
        </w:tc>
        <w:tc>
          <w:tcPr>
            <w:tcW w:w="29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7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6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8"/>
                <w:szCs w:val="18"/>
              </w:rPr>
              <w:t>Page</w:t>
            </w:r>
          </w:p>
        </w:tc>
      </w:tr>
      <w:tr w:rsidR="00000000">
        <w:trPr>
          <w:divId w:val="1404376140"/>
          <w:jc w:val="center"/>
        </w:trPr>
        <w:tc>
          <w:tcPr>
            <w:tcW w:w="0" w:type="auto"/>
            <w:gridSpan w:val="6"/>
            <w:tcMar>
              <w:top w:w="30" w:type="dxa"/>
              <w:left w:w="20" w:type="dxa"/>
              <w:bottom w:w="30" w:type="dxa"/>
              <w:right w:w="20" w:type="dxa"/>
            </w:tcMar>
            <w:vAlign w:val="center"/>
            <w:hideMark/>
          </w:tcPr>
          <w:p w:rsidR="00000000" w:rsidRDefault="00C56D69">
            <w:pPr>
              <w:spacing w:after="100"/>
              <w:divId w:val="68045107"/>
              <w:rPr>
                <w:rFonts w:eastAsia="Times New Roman"/>
              </w:rPr>
            </w:pPr>
            <w:hyperlink w:anchor="i91a10deab42d4ca59e2a2b17dc17e22e_1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rPr>
            </w:pPr>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divId w:val="1310672295"/>
              <w:rPr>
                <w:rFonts w:eastAsia="Times New Roman"/>
              </w:rPr>
            </w:pPr>
            <w:hyperlink w:anchor="i91a10deab42d4ca59e2a2b17dc17e22e_508"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C56D69">
            <w:pPr>
              <w:spacing w:after="100"/>
              <w:divId w:val="771364250"/>
              <w:rPr>
                <w:rFonts w:eastAsia="Times New Roman"/>
              </w:rPr>
            </w:pPr>
            <w:hyperlink w:anchor="i91a10deab42d4ca59e2a2b17dc17e22e_19" w:history="1">
              <w:r>
                <w:rPr>
                  <w:rStyle w:val="a3"/>
                  <w:rFonts w:eastAsia="Times New Roman"/>
                  <w:sz w:val="18"/>
                  <w:szCs w:val="18"/>
                </w:rPr>
                <w:t>Consolidated Financial Statements</w:t>
              </w:r>
            </w:hyperlink>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56D69">
            <w:pPr>
              <w:spacing w:after="100"/>
              <w:divId w:val="1212570183"/>
              <w:rPr>
                <w:rFonts w:eastAsia="Times New Roman"/>
              </w:rPr>
            </w:pPr>
            <w:hyperlink w:anchor="i91a10deab42d4ca59e2a2b17dc17e22e_25" w:history="1">
              <w:r>
                <w:rPr>
                  <w:rStyle w:val="a3"/>
                  <w:rFonts w:eastAsia="Times New Roman"/>
                  <w:sz w:val="18"/>
                  <w:szCs w:val="18"/>
                </w:rPr>
                <w:t>Consolidated Balance Sheets, September 30, 2022 (Unaudited) and December 31, 2021</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25" w:history="1">
              <w:r>
                <w:rPr>
                  <w:rStyle w:val="a3"/>
                  <w:rFonts w:eastAsia="Times New Roman"/>
                  <w:sz w:val="18"/>
                  <w:szCs w:val="18"/>
                </w:rPr>
                <w:t>4</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divId w:val="2050765188"/>
              <w:rPr>
                <w:rFonts w:eastAsia="Times New Roman"/>
              </w:rPr>
            </w:pPr>
            <w:hyperlink w:anchor="i91a10deab42d4ca59e2a2b17dc17e22e_31" w:history="1">
              <w:r>
                <w:rPr>
                  <w:rStyle w:val="a3"/>
                  <w:rFonts w:eastAsia="Times New Roman"/>
                  <w:sz w:val="18"/>
                  <w:szCs w:val="18"/>
                </w:rPr>
                <w:t>Consolidated Statements of Income (Loss), Thre</w:t>
              </w:r>
              <w:r>
                <w:rPr>
                  <w:rStyle w:val="a3"/>
                  <w:rFonts w:eastAsia="Times New Roman"/>
                  <w:sz w:val="18"/>
                  <w:szCs w:val="18"/>
                </w:rPr>
                <w:t>e and Nine Months Ended September 30, 2022 and 2021 (Unaudited)</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31" w:history="1">
              <w:r>
                <w:rPr>
                  <w:rStyle w:val="a3"/>
                  <w:rFonts w:eastAsia="Times New Roman"/>
                  <w:sz w:val="18"/>
                  <w:szCs w:val="18"/>
                </w:rPr>
                <w:t>5</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divId w:val="413282127"/>
              <w:rPr>
                <w:rFonts w:eastAsia="Times New Roman"/>
              </w:rPr>
            </w:pPr>
            <w:hyperlink w:anchor="i91a10deab42d4ca59e2a2b17dc17e22e_34" w:history="1">
              <w:r>
                <w:rPr>
                  <w:rStyle w:val="a3"/>
                  <w:rFonts w:eastAsia="Times New Roman"/>
                  <w:sz w:val="18"/>
                  <w:szCs w:val="18"/>
                </w:rPr>
                <w:t>Consolidated Statements of Comprehensive Income (Loss), Three an</w:t>
              </w:r>
              <w:r>
                <w:rPr>
                  <w:rStyle w:val="a3"/>
                  <w:rFonts w:eastAsia="Times New Roman"/>
                  <w:sz w:val="18"/>
                  <w:szCs w:val="18"/>
                </w:rPr>
                <w:t>d Nine Months Ended September 30, 2022 and 2021 (Unaudited)</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34" w:history="1">
              <w:r>
                <w:rPr>
                  <w:rStyle w:val="a3"/>
                  <w:rFonts w:eastAsia="Times New Roman"/>
                  <w:sz w:val="18"/>
                  <w:szCs w:val="18"/>
                </w:rPr>
                <w:t>6</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divId w:val="259721286"/>
              <w:rPr>
                <w:rFonts w:eastAsia="Times New Roman"/>
              </w:rPr>
            </w:pPr>
            <w:hyperlink w:anchor="i91a10deab42d4ca59e2a2b17dc17e22e_40" w:history="1">
              <w:r>
                <w:rPr>
                  <w:rStyle w:val="a3"/>
                  <w:rFonts w:eastAsia="Times New Roman"/>
                  <w:sz w:val="18"/>
                  <w:szCs w:val="18"/>
                </w:rPr>
                <w:t>Consolidated Statements of Equity, Three and Nine Months Ended September 30, 2022 and 2021 (Unaudited)</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0" w:history="1">
              <w:r>
                <w:rPr>
                  <w:rStyle w:val="a3"/>
                  <w:rFonts w:eastAsia="Times New Roman"/>
                  <w:sz w:val="18"/>
                  <w:szCs w:val="18"/>
                </w:rPr>
                <w:t>8</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divId w:val="1855994175"/>
              <w:rPr>
                <w:rFonts w:eastAsia="Times New Roman"/>
              </w:rPr>
            </w:pPr>
            <w:hyperlink w:anchor="i91a10deab42d4ca59e2a2b17dc17e22e_52" w:history="1">
              <w:r>
                <w:rPr>
                  <w:rStyle w:val="a3"/>
                  <w:rFonts w:eastAsia="Times New Roman"/>
                  <w:sz w:val="18"/>
                  <w:szCs w:val="18"/>
                </w:rPr>
                <w:t>Consolidated Statements o</w:t>
              </w:r>
              <w:r>
                <w:rPr>
                  <w:rStyle w:val="a3"/>
                  <w:rFonts w:eastAsia="Times New Roman"/>
                  <w:sz w:val="18"/>
                  <w:szCs w:val="18"/>
                </w:rPr>
                <w:t>f Cash Flows, Nine Months Ended September 30, 2022 and 2021 (Unaudited)</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52" w:history="1">
              <w:r>
                <w:rPr>
                  <w:rStyle w:val="a3"/>
                  <w:rFonts w:eastAsia="Times New Roman"/>
                  <w:sz w:val="18"/>
                  <w:szCs w:val="18"/>
                </w:rPr>
                <w:t>9</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56D69">
            <w:pPr>
              <w:spacing w:after="100"/>
              <w:divId w:val="809326961"/>
              <w:rPr>
                <w:rFonts w:eastAsia="Times New Roman"/>
              </w:rPr>
            </w:pPr>
            <w:hyperlink w:anchor="i91a10deab42d4ca59e2a2b17dc17e22e_58"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divId w:val="1816138046"/>
              <w:rPr>
                <w:rFonts w:eastAsia="Times New Roman"/>
              </w:rPr>
            </w:pPr>
            <w:hyperlink w:anchor="i91a10deab42d4ca59e2a2b17dc17e22e_61"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61" w:history="1">
              <w:r>
                <w:rPr>
                  <w:rStyle w:val="a3"/>
                  <w:rFonts w:eastAsia="Times New Roman"/>
                  <w:sz w:val="18"/>
                  <w:szCs w:val="18"/>
                  <w:u w:val="none"/>
                </w:rPr>
                <w:t>11</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divId w:val="369886268"/>
              <w:rPr>
                <w:rFonts w:eastAsia="Times New Roman"/>
              </w:rPr>
            </w:pPr>
            <w:hyperlink w:anchor="i91a10deab42d4ca59e2a2b17dc17e22e_67"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67" w:history="1">
              <w:r>
                <w:rPr>
                  <w:rStyle w:val="a3"/>
                  <w:rFonts w:eastAsia="Times New Roman"/>
                  <w:sz w:val="18"/>
                  <w:szCs w:val="18"/>
                  <w:u w:val="none"/>
                </w:rPr>
                <w:t>12</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1922980920"/>
              <w:rPr>
                <w:rFonts w:eastAsia="Times New Roman"/>
              </w:rPr>
            </w:pPr>
            <w:hyperlink w:anchor="i91a10deab42d4ca59e2a2b17dc17e22e_106"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06" w:history="1">
              <w:r>
                <w:rPr>
                  <w:rStyle w:val="a3"/>
                  <w:rFonts w:eastAsia="Times New Roman"/>
                  <w:sz w:val="18"/>
                  <w:szCs w:val="18"/>
                  <w:u w:val="none"/>
                </w:rPr>
                <w:t>16</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1828861046"/>
              <w:rPr>
                <w:rFonts w:eastAsia="Times New Roman"/>
              </w:rPr>
            </w:pPr>
            <w:hyperlink w:anchor="i91a10deab42d4ca59e2a2b17dc17e22e_121"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21" w:history="1">
              <w:r>
                <w:rPr>
                  <w:rStyle w:val="a3"/>
                  <w:rFonts w:eastAsia="Times New Roman"/>
                  <w:sz w:val="18"/>
                  <w:szCs w:val="18"/>
                  <w:u w:val="none"/>
                </w:rPr>
                <w:t>27</w:t>
              </w:r>
            </w:hyperlink>
          </w:p>
        </w:tc>
      </w:tr>
      <w:tr w:rsidR="00000000">
        <w:trPr>
          <w:divId w:val="1404376140"/>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divId w:val="417406859"/>
              <w:rPr>
                <w:rFonts w:eastAsia="Times New Roman"/>
              </w:rPr>
            </w:pPr>
            <w:hyperlink w:anchor="i91a10deab42d4ca59e2a2b17dc17e22e_133"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33" w:history="1">
              <w:r>
                <w:rPr>
                  <w:rStyle w:val="a3"/>
                  <w:rFonts w:eastAsia="Times New Roman"/>
                  <w:sz w:val="18"/>
                  <w:szCs w:val="18"/>
                  <w:u w:val="none"/>
                </w:rPr>
                <w:t>34</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455412647"/>
              <w:rPr>
                <w:rFonts w:eastAsia="Times New Roman"/>
              </w:rPr>
            </w:pPr>
            <w:hyperlink w:anchor="i91a10deab42d4ca59e2a2b17dc17e22e_151"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51" w:history="1">
              <w:r>
                <w:rPr>
                  <w:rStyle w:val="a3"/>
                  <w:rFonts w:eastAsia="Times New Roman"/>
                  <w:sz w:val="18"/>
                  <w:szCs w:val="18"/>
                  <w:u w:val="none"/>
                </w:rPr>
                <w:t>36</w:t>
              </w:r>
            </w:hyperlink>
          </w:p>
        </w:tc>
      </w:tr>
      <w:tr w:rsidR="00000000">
        <w:trPr>
          <w:divId w:val="1404376140"/>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divId w:val="100951814"/>
              <w:rPr>
                <w:rFonts w:eastAsia="Times New Roman"/>
              </w:rPr>
            </w:pPr>
            <w:hyperlink w:anchor="i91a10deab42d4ca59e2a2b17dc17e22e_163" w:history="1">
              <w:r>
                <w:rPr>
                  <w:rStyle w:val="a3"/>
                  <w:rFonts w:eastAsia="Times New Roman"/>
                  <w:sz w:val="18"/>
                  <w:szCs w:val="18"/>
                </w:rPr>
                <w:t>Note 7 - Fair Value Disc</w:t>
              </w:r>
              <w:r>
                <w:rPr>
                  <w:rStyle w:val="a3"/>
                  <w:rFonts w:eastAsia="Times New Roman"/>
                  <w:sz w:val="18"/>
                  <w:szCs w:val="18"/>
                </w:rPr>
                <w:t>losures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63" w:history="1">
              <w:r>
                <w:rPr>
                  <w:rStyle w:val="a3"/>
                  <w:rFonts w:eastAsia="Times New Roman"/>
                  <w:sz w:val="18"/>
                  <w:szCs w:val="18"/>
                  <w:u w:val="none"/>
                </w:rPr>
                <w:t>39</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2017463372"/>
              <w:rPr>
                <w:rFonts w:eastAsia="Times New Roman"/>
              </w:rPr>
            </w:pPr>
            <w:hyperlink w:anchor="i91a10deab42d4ca59e2a2b17dc17e22e_175" w:history="1">
              <w:r>
                <w:rPr>
                  <w:rStyle w:val="a3"/>
                  <w:rFonts w:eastAsia="Times New Roman"/>
                  <w:sz w:val="18"/>
                  <w:szCs w:val="18"/>
                </w:rPr>
                <w:t>Note 8 - Employee Benefit Plans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75" w:history="1">
              <w:r>
                <w:rPr>
                  <w:rStyle w:val="a3"/>
                  <w:rFonts w:eastAsia="Times New Roman"/>
                  <w:sz w:val="18"/>
                  <w:szCs w:val="18"/>
                  <w:u w:val="none"/>
                </w:rPr>
                <w:t>56</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1203132483"/>
              <w:rPr>
                <w:rFonts w:eastAsia="Times New Roman"/>
              </w:rPr>
            </w:pPr>
            <w:hyperlink w:anchor="i91a10deab42d4ca59e2a2b17dc17e22e_178" w:history="1">
              <w:r>
                <w:rPr>
                  <w:rStyle w:val="a3"/>
                  <w:rFonts w:eastAsia="Times New Roman"/>
                  <w:sz w:val="18"/>
                  <w:szCs w:val="18"/>
                </w:rPr>
                <w:t>Note 9 - Income Taxes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78" w:history="1">
              <w:r>
                <w:rPr>
                  <w:rStyle w:val="a3"/>
                  <w:rFonts w:eastAsia="Times New Roman"/>
                  <w:sz w:val="18"/>
                  <w:szCs w:val="18"/>
                  <w:u w:val="none"/>
                </w:rPr>
                <w:t>57</w:t>
              </w:r>
            </w:hyperlink>
          </w:p>
        </w:tc>
      </w:tr>
      <w:tr w:rsidR="00000000">
        <w:trPr>
          <w:divId w:val="1404376140"/>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divId w:val="449517629"/>
              <w:rPr>
                <w:rFonts w:eastAsia="Times New Roman"/>
              </w:rPr>
            </w:pPr>
            <w:hyperlink w:anchor="i91a10deab42d4ca59e2a2b17dc17e22e_184" w:history="1">
              <w:r>
                <w:rPr>
                  <w:rStyle w:val="a3"/>
                  <w:rFonts w:eastAsia="Times New Roman"/>
                  <w:sz w:val="18"/>
                  <w:szCs w:val="18"/>
                </w:rPr>
                <w:t>Note 10 - Equity</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84" w:history="1">
              <w:r>
                <w:rPr>
                  <w:rStyle w:val="a3"/>
                  <w:rFonts w:eastAsia="Times New Roman"/>
                  <w:sz w:val="18"/>
                  <w:szCs w:val="18"/>
                  <w:u w:val="none"/>
                </w:rPr>
                <w:t>57</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1507789783"/>
              <w:rPr>
                <w:rFonts w:eastAsia="Times New Roman"/>
              </w:rPr>
            </w:pPr>
            <w:hyperlink w:anchor="i91a10deab42d4ca59e2a2b17dc17e22e_193" w:history="1">
              <w:r>
                <w:rPr>
                  <w:rStyle w:val="a3"/>
                  <w:rFonts w:eastAsia="Times New Roman"/>
                  <w:sz w:val="18"/>
                  <w:szCs w:val="18"/>
                </w:rPr>
                <w:t>Note 11 - Redeemable Noncontrolling Interest</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93" w:history="1">
              <w:r>
                <w:rPr>
                  <w:rStyle w:val="a3"/>
                  <w:rFonts w:eastAsia="Times New Roman"/>
                  <w:sz w:val="18"/>
                  <w:szCs w:val="18"/>
                  <w:u w:val="none"/>
                </w:rPr>
                <w:t>59</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972367521"/>
              <w:rPr>
                <w:rFonts w:eastAsia="Times New Roman"/>
              </w:rPr>
            </w:pPr>
            <w:hyperlink w:anchor="i91a10deab42d4ca59e2a2b17dc17e22e_196" w:history="1">
              <w:r>
                <w:rPr>
                  <w:rStyle w:val="a3"/>
                  <w:rFonts w:eastAsia="Times New Roman"/>
                  <w:sz w:val="18"/>
                  <w:szCs w:val="18"/>
                </w:rPr>
                <w:t>Note 12 - Commitment</w:t>
              </w:r>
              <w:r>
                <w:rPr>
                  <w:rStyle w:val="a3"/>
                  <w:rFonts w:eastAsia="Times New Roman"/>
                  <w:sz w:val="18"/>
                  <w:szCs w:val="18"/>
                </w:rPr>
                <w:t>s and Contingent Liabilities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196" w:history="1">
              <w:r>
                <w:rPr>
                  <w:rStyle w:val="a3"/>
                  <w:rFonts w:eastAsia="Times New Roman"/>
                  <w:sz w:val="18"/>
                  <w:szCs w:val="18"/>
                  <w:u w:val="none"/>
                </w:rPr>
                <w:t>60</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1974945841"/>
              <w:rPr>
                <w:rFonts w:eastAsia="Times New Roman"/>
              </w:rPr>
            </w:pPr>
            <w:hyperlink w:anchor="i91a10deab42d4ca59e2a2b17dc17e22e_208" w:history="1">
              <w:r>
                <w:rPr>
                  <w:rStyle w:val="a3"/>
                  <w:rFonts w:eastAsia="Times New Roman"/>
                  <w:sz w:val="18"/>
                  <w:szCs w:val="18"/>
                </w:rPr>
                <w:t>Note 13 - Insurance Group Statutory Financial Information</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208" w:history="1">
              <w:r>
                <w:rPr>
                  <w:rStyle w:val="a3"/>
                  <w:rFonts w:eastAsia="Times New Roman"/>
                  <w:sz w:val="18"/>
                  <w:szCs w:val="18"/>
                  <w:u w:val="none"/>
                </w:rPr>
                <w:t>63</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241335696"/>
              <w:rPr>
                <w:rFonts w:eastAsia="Times New Roman"/>
              </w:rPr>
            </w:pPr>
            <w:hyperlink w:anchor="i91a10deab42d4ca59e2a2b17dc17e22e_220" w:history="1">
              <w:r>
                <w:rPr>
                  <w:rStyle w:val="a3"/>
                  <w:rFonts w:eastAsia="Times New Roman"/>
                  <w:sz w:val="18"/>
                  <w:szCs w:val="18"/>
                </w:rPr>
                <w:t>Note 14 - Business Segment Information</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220" w:history="1">
              <w:r>
                <w:rPr>
                  <w:rStyle w:val="a3"/>
                  <w:rFonts w:eastAsia="Times New Roman"/>
                  <w:sz w:val="18"/>
                  <w:szCs w:val="18"/>
                  <w:u w:val="none"/>
                </w:rPr>
                <w:t>65</w:t>
              </w:r>
            </w:hyperlink>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divId w:val="852261856"/>
              <w:rPr>
                <w:rFonts w:eastAsia="Times New Roman"/>
              </w:rPr>
            </w:pPr>
            <w:hyperlink w:anchor="i91a10deab42d4ca59e2a2b17dc17e22e_223" w:history="1">
              <w:r>
                <w:rPr>
                  <w:rStyle w:val="a3"/>
                  <w:rFonts w:eastAsia="Times New Roman"/>
                  <w:sz w:val="18"/>
                  <w:szCs w:val="18"/>
                </w:rPr>
                <w:t>Note 15 - Earnings per Common Share</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223" w:history="1">
              <w:r>
                <w:rPr>
                  <w:rStyle w:val="a3"/>
                  <w:rFonts w:eastAsia="Times New Roman"/>
                  <w:sz w:val="18"/>
                  <w:szCs w:val="18"/>
                  <w:u w:val="none"/>
                </w:rPr>
                <w:t>68</w:t>
              </w:r>
            </w:hyperlink>
          </w:p>
        </w:tc>
      </w:tr>
      <w:tr w:rsidR="00000000">
        <w:trPr>
          <w:divId w:val="1404376140"/>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divId w:val="2113626523"/>
              <w:rPr>
                <w:rFonts w:eastAsia="Times New Roman"/>
              </w:rPr>
            </w:pPr>
            <w:hyperlink w:anchor="i91a10deab42d4ca59e2a2b17dc17e22e_232" w:history="1">
              <w:r>
                <w:rPr>
                  <w:rStyle w:val="a3"/>
                  <w:rFonts w:eastAsia="Times New Roman"/>
                  <w:sz w:val="18"/>
                  <w:szCs w:val="18"/>
                </w:rPr>
                <w:t>Note 16 - Subsequent Events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232" w:history="1">
              <w:r>
                <w:rPr>
                  <w:rStyle w:val="a3"/>
                  <w:rFonts w:eastAsia="Times New Roman"/>
                  <w:sz w:val="18"/>
                  <w:szCs w:val="18"/>
                  <w:u w:val="none"/>
                </w:rPr>
                <w:t>68</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divId w:val="589318916"/>
              <w:rPr>
                <w:rFonts w:eastAsia="Times New Roman"/>
              </w:rPr>
            </w:pPr>
            <w:hyperlink w:anchor="i91a10deab42d4ca59e2a2b17dc17e22e_238"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C56D69">
            <w:pPr>
              <w:spacing w:after="100"/>
              <w:divId w:val="2002846513"/>
              <w:rPr>
                <w:rFonts w:eastAsia="Times New Roman"/>
              </w:rPr>
            </w:pPr>
            <w:hyperlink w:anchor="i91a10deab42d4ca59e2a2b17dc17e22e_238" w:history="1">
              <w:r>
                <w:rPr>
                  <w:rStyle w:val="a3"/>
                  <w:rFonts w:eastAsia="Times New Roman"/>
                  <w:sz w:val="18"/>
                  <w:szCs w:val="18"/>
                </w:rPr>
                <w:t>Management’</w:t>
              </w:r>
              <w:r>
                <w:rPr>
                  <w:rStyle w:val="a3"/>
                  <w:rFonts w:eastAsia="Times New Roman"/>
                  <w:sz w:val="18"/>
                  <w:szCs w:val="18"/>
                </w:rPr>
                <w: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238" w:history="1">
              <w:r>
                <w:rPr>
                  <w:rStyle w:val="a3"/>
                  <w:rFonts w:eastAsia="Times New Roman"/>
                  <w:sz w:val="18"/>
                  <w:szCs w:val="18"/>
                </w:rPr>
                <w:t>70</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divId w:val="1707949454"/>
              <w:rPr>
                <w:rFonts w:eastAsia="Times New Roman"/>
              </w:rPr>
            </w:pPr>
            <w:hyperlink w:anchor="i91a10deab42d4ca59e2a2b17dc17e22e_451"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C56D69">
            <w:pPr>
              <w:spacing w:after="100"/>
              <w:divId w:val="361127477"/>
              <w:rPr>
                <w:rFonts w:eastAsia="Times New Roman"/>
              </w:rPr>
            </w:pPr>
            <w:hyperlink w:anchor="i91a10deab42d4ca59e2a2b17dc17e22e_610"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51" w:history="1">
              <w:r>
                <w:rPr>
                  <w:rStyle w:val="a3"/>
                  <w:rFonts w:eastAsia="Times New Roman"/>
                  <w:sz w:val="18"/>
                  <w:szCs w:val="18"/>
                </w:rPr>
                <w:t>111</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divId w:val="771510146"/>
              <w:rPr>
                <w:rFonts w:eastAsia="Times New Roman"/>
              </w:rPr>
            </w:pPr>
            <w:hyperlink w:anchor="i91a10deab42d4ca59e2a2b17dc17e22e_454"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C56D69">
            <w:pPr>
              <w:spacing w:after="100"/>
              <w:divId w:val="1623801847"/>
              <w:rPr>
                <w:rFonts w:eastAsia="Times New Roman"/>
              </w:rPr>
            </w:pPr>
            <w:hyperlink w:anchor="i91a10deab42d4ca59e2a2b17dc17e22e_454"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54" w:history="1">
              <w:r>
                <w:rPr>
                  <w:rStyle w:val="a3"/>
                  <w:rFonts w:eastAsia="Times New Roman"/>
                  <w:sz w:val="18"/>
                  <w:szCs w:val="18"/>
                </w:rPr>
                <w:t>112</w:t>
              </w:r>
            </w:hyperlink>
          </w:p>
        </w:tc>
      </w:tr>
      <w:tr w:rsidR="00000000">
        <w:trPr>
          <w:divId w:val="1404376140"/>
          <w:trHeight w:val="28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6"/>
            <w:tcMar>
              <w:top w:w="30" w:type="dxa"/>
              <w:left w:w="20" w:type="dxa"/>
              <w:bottom w:w="30" w:type="dxa"/>
              <w:right w:w="20" w:type="dxa"/>
            </w:tcMar>
            <w:vAlign w:val="center"/>
            <w:hideMark/>
          </w:tcPr>
          <w:p w:rsidR="00000000" w:rsidRDefault="00C56D69">
            <w:pPr>
              <w:spacing w:after="100"/>
              <w:divId w:val="2012022591"/>
              <w:rPr>
                <w:rFonts w:eastAsia="Times New Roman"/>
              </w:rPr>
            </w:pPr>
            <w:hyperlink w:anchor="i91a10deab42d4ca59e2a2b17dc17e22e_457"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C56D69">
            <w:pPr>
              <w:spacing w:after="100"/>
              <w:divId w:val="317272911"/>
              <w:rPr>
                <w:rFonts w:eastAsia="Times New Roman"/>
              </w:rPr>
            </w:pPr>
            <w:hyperlink w:anchor="i91a10deab42d4ca59e2a2b17dc17e22e_460"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60"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rsidR="00000000" w:rsidRDefault="00C56D69">
            <w:pPr>
              <w:spacing w:after="100"/>
              <w:divId w:val="1872524562"/>
              <w:rPr>
                <w:rFonts w:eastAsia="Times New Roman"/>
              </w:rPr>
            </w:pPr>
            <w:hyperlink w:anchor="i91a10deab42d4ca59e2a2b17dc17e22e_553"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63"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C56D69">
            <w:pPr>
              <w:spacing w:after="100"/>
              <w:divId w:val="1779636404"/>
              <w:rPr>
                <w:rFonts w:eastAsia="Times New Roman"/>
              </w:rPr>
            </w:pPr>
            <w:hyperlink w:anchor="i91a10deab42d4ca59e2a2b17dc17e22e_466"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466"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C56D69">
            <w:pPr>
              <w:spacing w:after="100"/>
              <w:divId w:val="926383806"/>
              <w:rPr>
                <w:rFonts w:eastAsia="Times New Roman"/>
              </w:rPr>
            </w:pPr>
            <w:hyperlink w:anchor="i91a10deab42d4ca59e2a2b17dc17e22e_469"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hyperlink w:anchor="i91a10deab42d4ca59e2a2b17dc17e22e_469"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C56D69">
            <w:pPr>
              <w:spacing w:after="100"/>
              <w:divId w:val="1752316170"/>
              <w:rPr>
                <w:rFonts w:eastAsia="Times New Roman"/>
              </w:rPr>
            </w:pPr>
            <w:hyperlink w:anchor="i91a10deab42d4ca59e2a2b17dc17e22e_472"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72"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C56D69">
            <w:pPr>
              <w:spacing w:after="100"/>
              <w:divId w:val="1430663280"/>
              <w:rPr>
                <w:rFonts w:eastAsia="Times New Roman"/>
              </w:rPr>
            </w:pPr>
            <w:hyperlink w:anchor="i91a10deab42d4ca59e2a2b17dc17e22e_694"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75" w:history="1">
              <w:r>
                <w:rPr>
                  <w:rStyle w:val="a3"/>
                  <w:rFonts w:eastAsia="Times New Roman"/>
                  <w:sz w:val="18"/>
                  <w:szCs w:val="18"/>
                </w:rPr>
                <w:t>113</w:t>
              </w:r>
            </w:hyperlink>
          </w:p>
        </w:tc>
      </w:tr>
      <w:tr w:rsidR="00000000">
        <w:trPr>
          <w:divId w:val="140437614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C56D69">
            <w:pPr>
              <w:spacing w:after="100"/>
              <w:divId w:val="1640378915"/>
              <w:rPr>
                <w:rFonts w:eastAsia="Times New Roman"/>
              </w:rPr>
            </w:pPr>
            <w:hyperlink w:anchor="i91a10deab42d4ca59e2a2b17dc17e22e_478"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78" w:history="1">
              <w:r>
                <w:rPr>
                  <w:rStyle w:val="a3"/>
                  <w:rFonts w:eastAsia="Times New Roman"/>
                  <w:sz w:val="18"/>
                  <w:szCs w:val="18"/>
                </w:rPr>
                <w:t>114</w:t>
              </w:r>
            </w:hyperlink>
          </w:p>
        </w:tc>
      </w:tr>
      <w:tr w:rsidR="00000000">
        <w:trPr>
          <w:divId w:val="1404376140"/>
          <w:trHeight w:val="28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04376140"/>
          <w:jc w:val="center"/>
        </w:trPr>
        <w:tc>
          <w:tcPr>
            <w:tcW w:w="0" w:type="auto"/>
            <w:gridSpan w:val="6"/>
            <w:tcMar>
              <w:top w:w="30" w:type="dxa"/>
              <w:left w:w="20" w:type="dxa"/>
              <w:bottom w:w="30" w:type="dxa"/>
              <w:right w:w="20" w:type="dxa"/>
            </w:tcMar>
            <w:vAlign w:val="center"/>
            <w:hideMark/>
          </w:tcPr>
          <w:p w:rsidR="00000000" w:rsidRDefault="00C56D69">
            <w:pPr>
              <w:spacing w:after="100"/>
              <w:divId w:val="5328410"/>
              <w:rPr>
                <w:rFonts w:eastAsia="Times New Roman"/>
              </w:rPr>
            </w:pPr>
            <w:hyperlink w:anchor="i91a10deab42d4ca59e2a2b17dc17e22e_736"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hyperlink w:anchor="i91a10deab42d4ca59e2a2b17dc17e22e_487" w:history="1">
              <w:r>
                <w:rPr>
                  <w:rStyle w:val="a3"/>
                  <w:rFonts w:eastAsia="Times New Roman"/>
                  <w:sz w:val="18"/>
                  <w:szCs w:val="18"/>
                </w:rPr>
                <w:t>120</w:t>
              </w:r>
            </w:hyperlink>
          </w:p>
        </w:tc>
      </w:tr>
    </w:tbl>
    <w:p w:rsidR="00000000" w:rsidRDefault="00C56D69">
      <w:pPr>
        <w:divId w:val="1047141513"/>
        <w:rPr>
          <w:rFonts w:eastAsia="Times New Roman"/>
        </w:rPr>
      </w:pPr>
    </w:p>
    <w:p w:rsidR="00000000" w:rsidRDefault="00C56D69">
      <w:pPr>
        <w:divId w:val="1014117157"/>
        <w:rPr>
          <w:rFonts w:eastAsia="Times New Roman"/>
        </w:rPr>
      </w:pPr>
    </w:p>
    <w:p w:rsidR="00000000" w:rsidRDefault="00C56D69">
      <w:pPr>
        <w:rPr>
          <w:rFonts w:eastAsia="Times New Roman"/>
        </w:rPr>
      </w:pPr>
      <w:r>
        <w:rPr>
          <w:rFonts w:eastAsia="Times New Roman"/>
        </w:rPr>
        <w:pict>
          <v:rect id="_x0000_i1027" style="width:0;height:1.5pt" o:hralign="center" o:hrstd="t" o:hr="t" fillcolor="#a0a0a0" stroked="f"/>
        </w:pict>
      </w:r>
    </w:p>
    <w:p w:rsidR="00000000" w:rsidRDefault="00C56D69">
      <w:pPr>
        <w:divId w:val="176974009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626355137"/>
        <w:rPr>
          <w:rFonts w:eastAsia="Times New Roman"/>
        </w:rPr>
      </w:pPr>
      <w:r>
        <w:rPr>
          <w:rFonts w:eastAsia="Times New Roman"/>
          <w:b/>
          <w:bCs/>
          <w:color w:val="000000"/>
          <w:sz w:val="20"/>
          <w:szCs w:val="20"/>
        </w:rPr>
        <w:t xml:space="preserve">NOTE REGARDING FORWARD-LOOKING STATEMENTS AND INFORMATION </w:t>
      </w:r>
    </w:p>
    <w:p w:rsidR="00000000" w:rsidRDefault="00C56D69">
      <w:pPr>
        <w:ind w:firstLine="360"/>
        <w:divId w:val="1705786916"/>
        <w:rPr>
          <w:rFonts w:eastAsia="Times New Roman"/>
        </w:rPr>
      </w:pPr>
      <w:r>
        <w:rPr>
          <w:rFonts w:eastAsia="Times New Roman"/>
          <w:color w:val="000000"/>
          <w:sz w:val="20"/>
          <w:szCs w:val="20"/>
        </w:rPr>
        <w:t>Certain of the statements included or incorporated by reference in this Quarterly Report on Form 10-Q constitute forward-looking statements within the meaning of the Private Securities Litigation Reform Act of 1995. Words such as “expects,” “believes,” “an</w:t>
      </w:r>
      <w:r>
        <w:rPr>
          <w:rFonts w:eastAsia="Times New Roman"/>
          <w:color w:val="000000"/>
          <w:sz w:val="20"/>
          <w:szCs w:val="20"/>
        </w:rPr>
        <w:t xml:space="preserve">ticipates,” “intends,” “seeks,” “aims,” “plans,” “assumes,” “estimates,” “projects,” “should,” “would,” “could,” “may,” “will,” “shall” or variations of such words are generally part of forward-looking statements. Forward-looking statements are made based </w:t>
      </w:r>
      <w:r>
        <w:rPr>
          <w:rFonts w:eastAsia="Times New Roman"/>
          <w:color w:val="000000"/>
          <w:sz w:val="20"/>
          <w:szCs w:val="20"/>
        </w:rPr>
        <w:t>on management’s current expectations and beliefs concerning future developments and their potential effects upon Equitable Holdings, Inc. (“Holdings”) and its consolidated subsidiaries. “We,” “us” and “our” refer to Holdings and its consolidated subsidiari</w:t>
      </w:r>
      <w:r>
        <w:rPr>
          <w:rFonts w:eastAsia="Times New Roman"/>
          <w:color w:val="000000"/>
          <w:sz w:val="20"/>
          <w:szCs w:val="20"/>
        </w:rPr>
        <w:t>es, unless the context refers only to Holdings as a corporate entity. There can be no assurance that future developments affecting Holdings will be those anticipated by management. Forward-looking statements include, without limitation, all matters that ar</w:t>
      </w:r>
      <w:r>
        <w:rPr>
          <w:rFonts w:eastAsia="Times New Roman"/>
          <w:color w:val="000000"/>
          <w:sz w:val="20"/>
          <w:szCs w:val="20"/>
        </w:rPr>
        <w:t xml:space="preserve">e not historical facts. </w:t>
      </w:r>
    </w:p>
    <w:p w:rsidR="00000000" w:rsidRDefault="00C56D69">
      <w:pPr>
        <w:ind w:firstLine="360"/>
        <w:divId w:val="1929388746"/>
        <w:rPr>
          <w:rFonts w:eastAsia="Times New Roman"/>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w:t>
      </w:r>
      <w:r>
        <w:rPr>
          <w:rFonts w:eastAsia="Times New Roman"/>
          <w:color w:val="000000"/>
          <w:sz w:val="20"/>
          <w:szCs w:val="20"/>
        </w:rPr>
        <w:t>ns or estimates reflected in such forward-looking statements, including, among others: (i) conditions in the financial markets and economy, including the impact of COVID-19 and related economic conditions, equity market declines and volatility, interest ra</w:t>
      </w:r>
      <w:r>
        <w:rPr>
          <w:rFonts w:eastAsia="Times New Roman"/>
          <w:color w:val="000000"/>
          <w:sz w:val="20"/>
          <w:szCs w:val="20"/>
        </w:rPr>
        <w:t>te fluctuations, impacts on our goodwill and changes in liquidity and access to and cost of capital; (ii) operational factors, including reliance on the payment of dividends to Holdings by its subsidiaries, protection of confidential customer information o</w:t>
      </w:r>
      <w:r>
        <w:rPr>
          <w:rFonts w:eastAsia="Times New Roman"/>
          <w:color w:val="000000"/>
          <w:sz w:val="20"/>
          <w:szCs w:val="20"/>
        </w:rPr>
        <w:t>r proprietary business information, operational failures by us or our service providers, catastrophic events, such as the outbreak of pandemic diseases including COVID-19, potential strategic transactions, and changes in accounting standards; (iii) credit,</w:t>
      </w:r>
      <w:r>
        <w:rPr>
          <w:rFonts w:eastAsia="Times New Roman"/>
          <w:color w:val="000000"/>
          <w:sz w:val="20"/>
          <w:szCs w:val="20"/>
        </w:rPr>
        <w:t xml:space="preserve"> counterparties and investments, including counterparty default on derivative contracts, failure of financial institutions, defaults by third parties and affiliates and economic downturns, defaults and other events adversely affecting our investments; (iv)</w:t>
      </w:r>
      <w:r>
        <w:rPr>
          <w:rFonts w:eastAsia="Times New Roman"/>
          <w:color w:val="000000"/>
          <w:sz w:val="20"/>
          <w:szCs w:val="20"/>
        </w:rPr>
        <w:t xml:space="preserve"> our reinsurance and hedging programs; (v) our products, structure and product distribution, including variable annuity guaranteed benefits features within certain of our products, variations in statutory capital requirements, financial strength and claims</w:t>
      </w:r>
      <w:r>
        <w:rPr>
          <w:rFonts w:eastAsia="Times New Roman"/>
          <w:color w:val="000000"/>
          <w:sz w:val="20"/>
          <w:szCs w:val="20"/>
        </w:rPr>
        <w:t>-paying ratings, state insurance laws limiting the ability of our insurance subsidiaries to pay dividends and key product distribution relationships; (vi) estimates, assumptions and valuations, including risk management policies and procedures, potential i</w:t>
      </w:r>
      <w:r>
        <w:rPr>
          <w:rFonts w:eastAsia="Times New Roman"/>
          <w:color w:val="000000"/>
          <w:sz w:val="20"/>
          <w:szCs w:val="20"/>
        </w:rPr>
        <w:t>nadequacy of reserves and experience differing from pricing expectations, amortization of deferred acquisition costs and financial models; (vii) our Investment Management and Research segment, including fluctuations in assets under management and the indus</w:t>
      </w:r>
      <w:r>
        <w:rPr>
          <w:rFonts w:eastAsia="Times New Roman"/>
          <w:color w:val="000000"/>
          <w:sz w:val="20"/>
          <w:szCs w:val="20"/>
        </w:rPr>
        <w:t>try-wide shift from actively-managed investment services to passive services; (viii) legal and regulatory risks, including federal and state legislation affecting financial institutions, insurance regulation and tax reform; (ix) risks related to our common</w:t>
      </w:r>
      <w:r>
        <w:rPr>
          <w:rFonts w:eastAsia="Times New Roman"/>
          <w:color w:val="000000"/>
          <w:sz w:val="20"/>
          <w:szCs w:val="20"/>
        </w:rPr>
        <w:t xml:space="preserve"> stock and (x) general risks, including strong </w:t>
      </w:r>
      <w:r>
        <w:rPr>
          <w:rFonts w:eastAsia="Times New Roman"/>
          <w:color w:val="000000"/>
          <w:sz w:val="20"/>
          <w:szCs w:val="20"/>
        </w:rPr>
        <w:lastRenderedPageBreak/>
        <w:t xml:space="preserve">industry competition, information systems failing or being compromised and protecting our intellectual property. </w:t>
      </w:r>
    </w:p>
    <w:p w:rsidR="00000000" w:rsidRDefault="00C56D69">
      <w:pPr>
        <w:ind w:firstLine="360"/>
        <w:divId w:val="995957861"/>
        <w:rPr>
          <w:rFonts w:eastAsia="Times New Roman"/>
        </w:rPr>
      </w:pPr>
      <w:r>
        <w:rPr>
          <w:rFonts w:eastAsia="Times New Roman"/>
          <w:color w:val="000000"/>
          <w:sz w:val="20"/>
          <w:szCs w:val="20"/>
        </w:rPr>
        <w:t xml:space="preserve">Forward-looking statements should be read in conjunction with the other cautionary statements, </w:t>
      </w:r>
      <w:r>
        <w:rPr>
          <w:rFonts w:eastAsia="Times New Roman"/>
          <w:color w:val="000000"/>
          <w:sz w:val="20"/>
          <w:szCs w:val="20"/>
        </w:rPr>
        <w:t>risks, uncertainties and other factors identified in Holdings’ Annual Report on Form 10-K for the year ended December 31, 2021, as amended or supplemented in our subsequently filed Quarterly Reports on Form 10-Q, including in the section entitled “Risk Fac</w:t>
      </w:r>
      <w:r>
        <w:rPr>
          <w:rFonts w:eastAsia="Times New Roman"/>
          <w:color w:val="000000"/>
          <w:sz w:val="20"/>
          <w:szCs w:val="20"/>
        </w:rPr>
        <w:t>tors,” and elsewhere in this Quarterly Report on Form 10-Q. You should read this Form 10-Q completely and with the understanding that actual future results may be materially different from expectations. Further, any forward-looking statement speaks only as</w:t>
      </w:r>
      <w:r>
        <w:rPr>
          <w:rFonts w:eastAsia="Times New Roman"/>
          <w:color w:val="000000"/>
          <w:sz w:val="20"/>
          <w:szCs w:val="20"/>
        </w:rPr>
        <w:t xml:space="preserve"> of the date on which it is made, and we undertake no obligation to update or revise any forward-looking statement to reflect events or circumstances after the date on which the statement is made or to reflect the occurrence of unanticipated events, except</w:t>
      </w:r>
      <w:r>
        <w:rPr>
          <w:rFonts w:eastAsia="Times New Roman"/>
          <w:color w:val="000000"/>
          <w:sz w:val="20"/>
          <w:szCs w:val="20"/>
        </w:rPr>
        <w:t xml:space="preserve"> as otherwise may be required by law.</w:t>
      </w:r>
    </w:p>
    <w:p w:rsidR="00000000" w:rsidRDefault="00C56D69">
      <w:pPr>
        <w:ind w:firstLine="360"/>
        <w:divId w:val="1787651930"/>
        <w:rPr>
          <w:rFonts w:eastAsia="Times New Roman"/>
        </w:rPr>
      </w:pPr>
      <w:r>
        <w:rPr>
          <w:rFonts w:eastAsia="Times New Roman"/>
          <w:color w:val="000000"/>
          <w:sz w:val="20"/>
          <w:szCs w:val="20"/>
        </w:rPr>
        <w:t xml:space="preserve">Other risks, uncertainties and factors, including those discussed under “Risk Factors”, in our Annual Report on Form 10-K could cause our actual results to differ materially from those projected in any forward-looking </w:t>
      </w:r>
      <w:r>
        <w:rPr>
          <w:rFonts w:eastAsia="Times New Roman"/>
          <w:color w:val="000000"/>
          <w:sz w:val="20"/>
          <w:szCs w:val="20"/>
        </w:rPr>
        <w:t xml:space="preserve">statements we make. Readers should read carefully the factors described in “Risk Factors” in our Annual Report on Form 10-K to better understand the risks and uncertainties inherent in our business and underlying any forward-looking statements. </w:t>
      </w:r>
    </w:p>
    <w:p w:rsidR="00000000" w:rsidRDefault="00C56D69">
      <w:pPr>
        <w:ind w:firstLine="360"/>
        <w:divId w:val="35586549"/>
        <w:rPr>
          <w:rFonts w:eastAsia="Times New Roman"/>
        </w:rPr>
      </w:pPr>
      <w:r>
        <w:rPr>
          <w:rFonts w:eastAsia="Times New Roman"/>
          <w:color w:val="000000"/>
          <w:sz w:val="20"/>
          <w:szCs w:val="20"/>
        </w:rPr>
        <w:t>Throughout</w:t>
      </w:r>
      <w:r>
        <w:rPr>
          <w:rFonts w:eastAsia="Times New Roman"/>
          <w:color w:val="000000"/>
          <w:sz w:val="20"/>
          <w:szCs w:val="20"/>
        </w:rPr>
        <w:t xml:space="preserve"> this Quarterly Report on Form 10-Q we use certain defined terms and abbreviations, which are summarized in the “Glossary” and “Acronyms” sections.</w:t>
      </w:r>
    </w:p>
    <w:p w:rsidR="00000000" w:rsidRDefault="00C56D69">
      <w:pPr>
        <w:jc w:val="center"/>
        <w:divId w:val="582305162"/>
        <w:rPr>
          <w:rFonts w:eastAsia="Times New Roman"/>
        </w:rPr>
      </w:pPr>
      <w:r>
        <w:rPr>
          <w:rFonts w:eastAsia="Times New Roman"/>
          <w:color w:val="000000"/>
          <w:sz w:val="20"/>
          <w:szCs w:val="20"/>
        </w:rPr>
        <w:t>2</w:t>
      </w:r>
    </w:p>
    <w:p w:rsidR="00000000" w:rsidRDefault="00C56D69">
      <w:pPr>
        <w:rPr>
          <w:rFonts w:eastAsia="Times New Roman"/>
        </w:rPr>
      </w:pPr>
      <w:r>
        <w:rPr>
          <w:rFonts w:eastAsia="Times New Roman"/>
        </w:rPr>
        <w:pict>
          <v:rect id="_x0000_i1028" style="width:0;height:1.5pt" o:hralign="center" o:hrstd="t" o:hr="t" fillcolor="#a0a0a0" stroked="f"/>
        </w:pict>
      </w:r>
    </w:p>
    <w:p w:rsidR="00000000" w:rsidRDefault="00C56D69">
      <w:pPr>
        <w:divId w:val="1709991681"/>
        <w:rPr>
          <w:rFonts w:eastAsia="Times New Roman"/>
        </w:rPr>
      </w:pPr>
      <w:hyperlink w:anchor="i91a10deab42d4ca59e2a2b17dc17e22e_10" w:history="1">
        <w:r>
          <w:rPr>
            <w:rStyle w:val="a3"/>
            <w:rFonts w:eastAsia="Times New Roman"/>
            <w:b/>
            <w:bCs/>
            <w:sz w:val="20"/>
            <w:szCs w:val="20"/>
          </w:rPr>
          <w:t>Table of Co</w:t>
        </w:r>
        <w:r>
          <w:rPr>
            <w:rStyle w:val="a3"/>
            <w:rFonts w:eastAsia="Times New Roman"/>
            <w:b/>
            <w:bCs/>
            <w:sz w:val="20"/>
            <w:szCs w:val="20"/>
          </w:rPr>
          <w:t>ntents</w:t>
        </w:r>
      </w:hyperlink>
    </w:p>
    <w:p w:rsidR="00000000" w:rsidRDefault="00C56D69">
      <w:pPr>
        <w:divId w:val="1216509657"/>
        <w:rPr>
          <w:rFonts w:eastAsia="Times New Roman"/>
        </w:rPr>
      </w:pPr>
      <w:r>
        <w:rPr>
          <w:rFonts w:eastAsia="Times New Roman"/>
          <w:b/>
          <w:bCs/>
          <w:color w:val="000000"/>
          <w:sz w:val="20"/>
          <w:szCs w:val="20"/>
        </w:rPr>
        <w:t xml:space="preserve">Part I FINANCIAL INFORMATION </w:t>
      </w:r>
    </w:p>
    <w:p w:rsidR="00000000" w:rsidRDefault="00C56D69">
      <w:pPr>
        <w:divId w:val="156725914"/>
        <w:rPr>
          <w:rFonts w:eastAsia="Times New Roman"/>
        </w:rPr>
      </w:pPr>
      <w:r>
        <w:rPr>
          <w:rFonts w:eastAsia="Times New Roman"/>
          <w:b/>
          <w:bCs/>
          <w:color w:val="000000"/>
          <w:sz w:val="20"/>
          <w:szCs w:val="20"/>
        </w:rPr>
        <w:t xml:space="preserve">Item 1. Consolidated Financial Statements </w:t>
      </w:r>
    </w:p>
    <w:p w:rsidR="00000000" w:rsidRDefault="00C56D69">
      <w:pPr>
        <w:divId w:val="735782863"/>
        <w:rPr>
          <w:rFonts w:eastAsia="Times New Roman"/>
        </w:rPr>
      </w:pPr>
    </w:p>
    <w:p w:rsidR="00000000" w:rsidRDefault="00C56D69">
      <w:pPr>
        <w:jc w:val="center"/>
        <w:divId w:val="853419637"/>
        <w:rPr>
          <w:rFonts w:eastAsia="Times New Roman"/>
        </w:rPr>
      </w:pPr>
      <w:r>
        <w:rPr>
          <w:rFonts w:eastAsia="Times New Roman"/>
          <w:color w:val="000000"/>
          <w:sz w:val="20"/>
          <w:szCs w:val="20"/>
        </w:rPr>
        <w:t>3</w:t>
      </w:r>
    </w:p>
    <w:p w:rsidR="00000000" w:rsidRDefault="00C56D69">
      <w:pPr>
        <w:rPr>
          <w:rFonts w:eastAsia="Times New Roman"/>
        </w:rPr>
      </w:pPr>
      <w:r>
        <w:rPr>
          <w:rFonts w:eastAsia="Times New Roman"/>
        </w:rPr>
        <w:pict>
          <v:rect id="_x0000_i1029" style="width:0;height:1.5pt" o:hralign="center" o:hrstd="t" o:hr="t" fillcolor="#a0a0a0" stroked="f"/>
        </w:pict>
      </w:r>
    </w:p>
    <w:p w:rsidR="00000000" w:rsidRDefault="00C56D69">
      <w:pPr>
        <w:jc w:val="center"/>
        <w:divId w:val="1628507000"/>
        <w:rPr>
          <w:rFonts w:eastAsia="Times New Roman"/>
        </w:rPr>
      </w:pPr>
      <w:r>
        <w:rPr>
          <w:rFonts w:eastAsia="Times New Roman"/>
          <w:b/>
          <w:bCs/>
          <w:color w:val="000000"/>
          <w:sz w:val="20"/>
          <w:szCs w:val="20"/>
        </w:rPr>
        <w:t>EQUITABLE HOLDINGS, INC.</w:t>
      </w:r>
    </w:p>
    <w:p w:rsidR="00000000" w:rsidRDefault="00C56D69">
      <w:pPr>
        <w:jc w:val="center"/>
        <w:divId w:val="1628507000"/>
        <w:rPr>
          <w:rFonts w:eastAsia="Times New Roman"/>
        </w:rPr>
      </w:pPr>
      <w:r>
        <w:rPr>
          <w:rFonts w:eastAsia="Times New Roman"/>
          <w:b/>
          <w:bCs/>
          <w:color w:val="000000"/>
          <w:sz w:val="20"/>
          <w:szCs w:val="20"/>
        </w:rPr>
        <w:t>Consolidated Balance Sheets</w:t>
      </w:r>
    </w:p>
    <w:p w:rsidR="00000000" w:rsidRDefault="00C56D69">
      <w:pPr>
        <w:jc w:val="center"/>
        <w:divId w:val="1628507000"/>
        <w:rPr>
          <w:rFonts w:eastAsia="Times New Roman"/>
        </w:rPr>
      </w:pPr>
      <w:r>
        <w:rPr>
          <w:rFonts w:eastAsia="Times New Roman"/>
          <w:b/>
          <w:bCs/>
          <w:color w:val="000000"/>
          <w:sz w:val="20"/>
          <w:szCs w:val="20"/>
        </w:rPr>
        <w:t>September 30, 2022 (Unaudited) and December 31, 2021</w:t>
      </w:r>
    </w:p>
    <w:tbl>
      <w:tblPr>
        <w:tblW w:w="4947" w:type="pct"/>
        <w:tblCellMar>
          <w:top w:w="15" w:type="dxa"/>
          <w:left w:w="15" w:type="dxa"/>
          <w:bottom w:w="15" w:type="dxa"/>
          <w:right w:w="15" w:type="dxa"/>
        </w:tblCellMar>
        <w:tblLook w:val="04A0" w:firstRow="1" w:lastRow="0" w:firstColumn="1" w:lastColumn="0" w:noHBand="0" w:noVBand="1"/>
      </w:tblPr>
      <w:tblGrid>
        <w:gridCol w:w="40"/>
        <w:gridCol w:w="5759"/>
        <w:gridCol w:w="38"/>
        <w:gridCol w:w="120"/>
        <w:gridCol w:w="1017"/>
        <w:gridCol w:w="36"/>
        <w:gridCol w:w="36"/>
        <w:gridCol w:w="36"/>
        <w:gridCol w:w="36"/>
        <w:gridCol w:w="120"/>
        <w:gridCol w:w="944"/>
        <w:gridCol w:w="36"/>
      </w:tblGrid>
      <w:tr w:rsidR="00000000">
        <w:tc>
          <w:tcPr>
            <w:tcW w:w="50" w:type="pct"/>
            <w:vAlign w:val="center"/>
            <w:hideMark/>
          </w:tcPr>
          <w:p w:rsidR="00000000" w:rsidRDefault="00C56D69">
            <w:pPr>
              <w:jc w:val="center"/>
              <w:rPr>
                <w:rFonts w:eastAsia="Times New Roman"/>
              </w:rPr>
            </w:pPr>
          </w:p>
        </w:tc>
        <w:tc>
          <w:tcPr>
            <w:tcW w:w="353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4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 except share data)</w:t>
            </w:r>
          </w:p>
        </w:tc>
      </w:tr>
      <w:tr w:rsidR="00000000">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divId w:val="2014994225"/>
              <w:rPr>
                <w:rFonts w:eastAsia="Times New Roman"/>
              </w:rPr>
            </w:pPr>
            <w:r>
              <w:rPr>
                <w:rFonts w:eastAsia="Times New Roman"/>
                <w:color w:val="000000"/>
                <w:sz w:val="20"/>
                <w:szCs w:val="20"/>
              </w:rPr>
              <w:t>Fixed maturities available-for-sale, at fair value (amortized cost of $75,320 and $73,429) (allowance for credit losses of $22 and $22)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78,216 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divId w:val="1983463058"/>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divId w:val="1859000073"/>
              <w:rPr>
                <w:rFonts w:eastAsia="Times New Roman"/>
              </w:rPr>
            </w:pPr>
            <w:r>
              <w:rPr>
                <w:rFonts w:eastAsia="Times New Roman"/>
                <w:color w:val="000000"/>
                <w:sz w:val="20"/>
                <w:szCs w:val="20"/>
              </w:rPr>
              <w:t>Mortgage loans on real estate (net of allowance for credit losses of $83 and $62)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4,024 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3,591 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92,517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105,111 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lastRenderedPageBreak/>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1,504 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2,599 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5,491 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divId w:val="1388916856"/>
              <w:rPr>
                <w:rFonts w:eastAsia="Times New Roman"/>
              </w:rPr>
            </w:pPr>
            <w:r>
              <w:rPr>
                <w:rFonts w:eastAsia="Times New Roman"/>
                <w:color w:val="000000"/>
                <w:sz w:val="20"/>
                <w:szCs w:val="20"/>
              </w:rPr>
              <w:t>Amounts due from reinsurers (allowance for credit losses of $7 and $5) (includes amounts accounted for at fair value of $4,312 and $5,813)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13,378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14,679 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3,613 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 assets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109,622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147,306 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245,600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account balances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79,999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79,357 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36,717 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1,283 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Customer related payables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Amounts due to reinsurers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109,622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147,306 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240,413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278,699 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Redeemable noncontrolling interest (1) (2)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Commitments and contingent liabilities (4)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divId w:val="212815729"/>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1,562 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divId w:val="1081487035"/>
              <w:rPr>
                <w:rFonts w:eastAsia="Times New Roman"/>
              </w:rPr>
            </w:pPr>
            <w:r>
              <w:rPr>
                <w:rFonts w:eastAsia="Times New Roman"/>
                <w:color w:val="000000"/>
                <w:sz w:val="20"/>
                <w:szCs w:val="20"/>
              </w:rPr>
              <w:t xml:space="preserve">Common stock, $0.01 par value, 2,000,000,000 shares authorized; 510,362,388 and </w:t>
            </w:r>
            <w:r>
              <w:rPr>
                <w:rFonts w:eastAsia="Times New Roman"/>
                <w:color w:val="000000"/>
                <w:sz w:val="20"/>
                <w:szCs w:val="20"/>
              </w:rPr>
              <w:t>520,918,331 shares issued, respectively; 370,114,999 and 391,290,224 shares outstanding, respectively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divId w:val="1202326481"/>
              <w:rPr>
                <w:rFonts w:eastAsia="Times New Roman"/>
              </w:rPr>
            </w:pPr>
            <w:r>
              <w:rPr>
                <w:rFonts w:eastAsia="Times New Roman"/>
                <w:color w:val="000000"/>
                <w:sz w:val="20"/>
                <w:szCs w:val="20"/>
              </w:rPr>
              <w:t xml:space="preserve">Treasury stock, at cost, 140,247,389 and 129,628,107 </w:t>
            </w:r>
            <w:r>
              <w:rPr>
                <w:rFonts w:eastAsia="Times New Roman"/>
                <w:color w:val="000000"/>
                <w:sz w:val="20"/>
                <w:szCs w:val="20"/>
              </w:rPr>
              <w:t>shares, respectively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(3,202)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(2,850)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8,880 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(7,876)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lastRenderedPageBreak/>
              <w:t>Total equity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1,576 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245,600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270"/>
        <w:divId w:val="499852568"/>
        <w:rPr>
          <w:rFonts w:eastAsia="Times New Roman"/>
        </w:rPr>
      </w:pPr>
      <w:r>
        <w:rPr>
          <w:rFonts w:eastAsia="Times New Roman"/>
          <w:color w:val="000000"/>
          <w:sz w:val="18"/>
          <w:szCs w:val="18"/>
        </w:rPr>
        <w:t>____________</w:t>
      </w:r>
    </w:p>
    <w:p w:rsidR="00000000" w:rsidRDefault="00C56D69">
      <w:pPr>
        <w:ind w:hanging="360"/>
        <w:divId w:val="675956356"/>
        <w:rPr>
          <w:rFonts w:eastAsia="Times New Roman"/>
        </w:rPr>
      </w:pPr>
      <w:r>
        <w:rPr>
          <w:rFonts w:eastAsia="Times New Roman"/>
          <w:color w:val="000000"/>
          <w:sz w:val="18"/>
          <w:szCs w:val="18"/>
        </w:rPr>
        <w:t>(1) See Note 2 of the Notes to these Consolidated Financial Statements for details of balances with VIEs.</w:t>
      </w:r>
    </w:p>
    <w:p w:rsidR="00000000" w:rsidRDefault="00C56D69">
      <w:pPr>
        <w:ind w:hanging="360"/>
        <w:divId w:val="1712917974"/>
        <w:rPr>
          <w:rFonts w:eastAsia="Times New Roman"/>
        </w:rPr>
      </w:pPr>
      <w:r>
        <w:rPr>
          <w:rFonts w:eastAsia="Times New Roman"/>
          <w:color w:val="000000"/>
          <w:sz w:val="18"/>
          <w:szCs w:val="18"/>
        </w:rPr>
        <w:t xml:space="preserve">(2) </w:t>
      </w:r>
      <w:r>
        <w:rPr>
          <w:rFonts w:eastAsia="Times New Roman"/>
          <w:color w:val="000000"/>
          <w:sz w:val="18"/>
          <w:szCs w:val="18"/>
        </w:rPr>
        <w:t>See Note 11 of the Notes to these Consolidated Financial Statements for details of redeemable noncontrolling interest.</w:t>
      </w:r>
    </w:p>
    <w:p w:rsidR="00000000" w:rsidRDefault="00C56D69">
      <w:pPr>
        <w:ind w:hanging="270"/>
        <w:divId w:val="1654287724"/>
        <w:rPr>
          <w:rFonts w:eastAsia="Times New Roman"/>
        </w:rPr>
      </w:pPr>
      <w:r>
        <w:rPr>
          <w:rFonts w:eastAsia="Times New Roman"/>
          <w:color w:val="000000"/>
          <w:sz w:val="18"/>
          <w:szCs w:val="18"/>
        </w:rPr>
        <w:t xml:space="preserve">(3) Represents the fair value of the ceded reserves to Venerable. See Note 1 of the Notes to these Consolidated Financial Statements for </w:t>
      </w:r>
      <w:r>
        <w:rPr>
          <w:rFonts w:eastAsia="Times New Roman"/>
          <w:color w:val="000000"/>
          <w:sz w:val="18"/>
          <w:szCs w:val="18"/>
        </w:rPr>
        <w:t>details of the Venerable Transaction and Note 7 of the Notes to these Consolidated Financial Statements.</w:t>
      </w:r>
    </w:p>
    <w:p w:rsidR="00000000" w:rsidRDefault="00C56D69">
      <w:pPr>
        <w:divId w:val="1818303397"/>
        <w:rPr>
          <w:rFonts w:eastAsia="Times New Roman"/>
        </w:rPr>
      </w:pPr>
      <w:r>
        <w:rPr>
          <w:rFonts w:eastAsia="Times New Roman"/>
          <w:color w:val="000000"/>
          <w:sz w:val="18"/>
          <w:szCs w:val="18"/>
        </w:rPr>
        <w:t xml:space="preserve">(4) See Note 12 of the Notes to these Consolidated Financial Statements for details of commitments and contingent liabilities. </w:t>
      </w:r>
    </w:p>
    <w:p w:rsidR="00000000" w:rsidRDefault="00C56D69">
      <w:pPr>
        <w:divId w:val="411005801"/>
        <w:rPr>
          <w:rFonts w:eastAsia="Times New Roman"/>
        </w:rPr>
      </w:pPr>
    </w:p>
    <w:p w:rsidR="00000000" w:rsidRDefault="00C56D69">
      <w:pPr>
        <w:ind w:hanging="360"/>
        <w:divId w:val="910234562"/>
        <w:rPr>
          <w:rFonts w:eastAsia="Times New Roman"/>
        </w:rPr>
      </w:pPr>
    </w:p>
    <w:p w:rsidR="00000000" w:rsidRDefault="00C56D69">
      <w:pPr>
        <w:jc w:val="center"/>
        <w:rPr>
          <w:rFonts w:eastAsia="Times New Roman"/>
        </w:rPr>
      </w:pPr>
      <w:r>
        <w:rPr>
          <w:rFonts w:eastAsia="Times New Roman"/>
          <w:color w:val="000000"/>
          <w:sz w:val="20"/>
          <w:szCs w:val="20"/>
        </w:rPr>
        <w:t>See Notes to Consol</w:t>
      </w:r>
      <w:r>
        <w:rPr>
          <w:rFonts w:eastAsia="Times New Roman"/>
          <w:color w:val="000000"/>
          <w:sz w:val="20"/>
          <w:szCs w:val="20"/>
        </w:rPr>
        <w:t>idated Financial Statements (Unaudited).</w:t>
      </w:r>
    </w:p>
    <w:p w:rsidR="00000000" w:rsidRDefault="00C56D69">
      <w:pPr>
        <w:jc w:val="center"/>
        <w:divId w:val="440302032"/>
        <w:rPr>
          <w:rFonts w:eastAsia="Times New Roman"/>
        </w:rPr>
      </w:pPr>
      <w:r>
        <w:rPr>
          <w:rFonts w:eastAsia="Times New Roman"/>
          <w:color w:val="000000"/>
          <w:sz w:val="20"/>
          <w:szCs w:val="20"/>
        </w:rPr>
        <w:t>4</w:t>
      </w:r>
    </w:p>
    <w:p w:rsidR="00000000" w:rsidRDefault="00C56D69">
      <w:pPr>
        <w:rPr>
          <w:rFonts w:eastAsia="Times New Roman"/>
        </w:rPr>
      </w:pPr>
      <w:r>
        <w:rPr>
          <w:rFonts w:eastAsia="Times New Roman"/>
        </w:rPr>
        <w:pict>
          <v:rect id="_x0000_i1030" style="width:0;height:1.5pt" o:hralign="center" o:hrstd="t" o:hr="t" fillcolor="#a0a0a0" stroked="f"/>
        </w:pict>
      </w:r>
    </w:p>
    <w:p w:rsidR="00000000" w:rsidRDefault="00C56D69">
      <w:pPr>
        <w:jc w:val="center"/>
        <w:divId w:val="480849615"/>
        <w:rPr>
          <w:rFonts w:eastAsia="Times New Roman"/>
        </w:rPr>
      </w:pPr>
      <w:r>
        <w:rPr>
          <w:rFonts w:eastAsia="Times New Roman"/>
          <w:b/>
          <w:bCs/>
          <w:color w:val="000000"/>
          <w:sz w:val="20"/>
          <w:szCs w:val="20"/>
        </w:rPr>
        <w:t>EQUITABLE HOLDINGS, INC.</w:t>
      </w:r>
    </w:p>
    <w:p w:rsidR="00000000" w:rsidRDefault="00C56D69">
      <w:pPr>
        <w:jc w:val="center"/>
        <w:divId w:val="480849615"/>
        <w:rPr>
          <w:rFonts w:eastAsia="Times New Roman"/>
        </w:rPr>
      </w:pPr>
      <w:r>
        <w:rPr>
          <w:rFonts w:eastAsia="Times New Roman"/>
          <w:b/>
          <w:bCs/>
          <w:color w:val="000000"/>
          <w:sz w:val="20"/>
          <w:szCs w:val="20"/>
        </w:rPr>
        <w:t>Consolidated Statements of Income (Loss)</w:t>
      </w:r>
    </w:p>
    <w:p w:rsidR="00000000" w:rsidRDefault="00C56D69">
      <w:pPr>
        <w:jc w:val="center"/>
        <w:divId w:val="480849615"/>
        <w:rPr>
          <w:rFonts w:eastAsia="Times New Roman"/>
        </w:rPr>
      </w:pPr>
      <w:r>
        <w:rPr>
          <w:rFonts w:eastAsia="Times New Roman"/>
          <w:b/>
          <w:bCs/>
          <w:color w:val="000000"/>
          <w:sz w:val="20"/>
          <w:szCs w:val="20"/>
        </w:rPr>
        <w:t>Three and Nine Months Ended September 30, 2022 and 2021 (Unaudited)</w:t>
      </w:r>
    </w:p>
    <w:p w:rsidR="00000000" w:rsidRDefault="00C56D69">
      <w:pPr>
        <w:divId w:val="159824996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743"/>
        <w:gridCol w:w="37"/>
        <w:gridCol w:w="120"/>
        <w:gridCol w:w="865"/>
        <w:gridCol w:w="36"/>
        <w:gridCol w:w="36"/>
        <w:gridCol w:w="36"/>
        <w:gridCol w:w="36"/>
        <w:gridCol w:w="120"/>
        <w:gridCol w:w="819"/>
        <w:gridCol w:w="36"/>
        <w:gridCol w:w="36"/>
        <w:gridCol w:w="36"/>
        <w:gridCol w:w="36"/>
        <w:gridCol w:w="120"/>
        <w:gridCol w:w="819"/>
        <w:gridCol w:w="36"/>
        <w:gridCol w:w="36"/>
        <w:gridCol w:w="36"/>
        <w:gridCol w:w="36"/>
        <w:gridCol w:w="120"/>
        <w:gridCol w:w="821"/>
        <w:gridCol w:w="36"/>
        <w:gridCol w:w="36"/>
        <w:gridCol w:w="36"/>
        <w:gridCol w:w="36"/>
        <w:gridCol w:w="36"/>
        <w:gridCol w:w="36"/>
        <w:gridCol w:w="36"/>
      </w:tblGrid>
      <w:tr w:rsidR="00000000">
        <w:trPr>
          <w:divId w:val="661198655"/>
        </w:trPr>
        <w:tc>
          <w:tcPr>
            <w:tcW w:w="50" w:type="pct"/>
            <w:vAlign w:val="center"/>
            <w:hideMark/>
          </w:tcPr>
          <w:p w:rsidR="00000000" w:rsidRDefault="00C56D69">
            <w:pPr>
              <w:rPr>
                <w:rFonts w:eastAsia="Times New Roman"/>
              </w:rPr>
            </w:pPr>
          </w:p>
        </w:tc>
        <w:tc>
          <w:tcPr>
            <w:tcW w:w="23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2,755 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Credit and intent to sell losses on available for 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51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and service fees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Height w:val="24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 attributable to Holdings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Height w:val="24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411.3 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1198655"/>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376.8</w:t>
            </w: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414.6 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224410255"/>
        <w:rPr>
          <w:rFonts w:eastAsia="Times New Roman"/>
        </w:rPr>
      </w:pPr>
    </w:p>
    <w:p w:rsidR="00000000" w:rsidRDefault="00C56D69">
      <w:pPr>
        <w:jc w:val="center"/>
        <w:rPr>
          <w:rFonts w:eastAsia="Times New Roman"/>
        </w:rPr>
      </w:pPr>
    </w:p>
    <w:p w:rsidR="00000000" w:rsidRDefault="00C56D69">
      <w:pPr>
        <w:jc w:val="center"/>
        <w:rPr>
          <w:rFonts w:eastAsia="Times New Roman"/>
        </w:rPr>
      </w:pPr>
      <w:r>
        <w:rPr>
          <w:rFonts w:eastAsia="Times New Roman"/>
          <w:color w:val="000000"/>
          <w:sz w:val="20"/>
          <w:szCs w:val="20"/>
        </w:rPr>
        <w:t>See Notes to Consolidated Financial Statements (Unaudited).</w:t>
      </w:r>
    </w:p>
    <w:p w:rsidR="00000000" w:rsidRDefault="00C56D69">
      <w:pPr>
        <w:jc w:val="center"/>
        <w:divId w:val="1541551637"/>
        <w:rPr>
          <w:rFonts w:eastAsia="Times New Roman"/>
        </w:rPr>
      </w:pPr>
      <w:r>
        <w:rPr>
          <w:rFonts w:eastAsia="Times New Roman"/>
          <w:color w:val="000000"/>
          <w:sz w:val="20"/>
          <w:szCs w:val="20"/>
        </w:rPr>
        <w:t>5</w:t>
      </w:r>
    </w:p>
    <w:p w:rsidR="00000000" w:rsidRDefault="00C56D69">
      <w:pPr>
        <w:rPr>
          <w:rFonts w:eastAsia="Times New Roman"/>
        </w:rPr>
      </w:pPr>
      <w:r>
        <w:rPr>
          <w:rFonts w:eastAsia="Times New Roman"/>
        </w:rPr>
        <w:pict>
          <v:rect id="_x0000_i1031" style="width:0;height:1.5pt" o:hralign="center" o:hrstd="t" o:hr="t" fillcolor="#a0a0a0" stroked="f"/>
        </w:pict>
      </w:r>
    </w:p>
    <w:p w:rsidR="00000000" w:rsidRDefault="00C56D69">
      <w:pPr>
        <w:divId w:val="1697808195"/>
        <w:rPr>
          <w:rFonts w:eastAsia="Times New Roman"/>
        </w:rPr>
      </w:pPr>
    </w:p>
    <w:p w:rsidR="00000000" w:rsidRDefault="00C56D69">
      <w:pPr>
        <w:jc w:val="center"/>
        <w:divId w:val="1678389491"/>
        <w:rPr>
          <w:rFonts w:eastAsia="Times New Roman"/>
        </w:rPr>
      </w:pPr>
      <w:r>
        <w:rPr>
          <w:rFonts w:eastAsia="Times New Roman"/>
          <w:b/>
          <w:bCs/>
          <w:color w:val="000000"/>
          <w:sz w:val="20"/>
          <w:szCs w:val="20"/>
        </w:rPr>
        <w:t>EQUITABL</w:t>
      </w:r>
      <w:r>
        <w:rPr>
          <w:rFonts w:eastAsia="Times New Roman"/>
          <w:b/>
          <w:bCs/>
          <w:color w:val="000000"/>
          <w:sz w:val="20"/>
          <w:szCs w:val="20"/>
        </w:rPr>
        <w:t>E HOLDINGS, INC.</w:t>
      </w:r>
    </w:p>
    <w:p w:rsidR="00000000" w:rsidRDefault="00C56D69">
      <w:pPr>
        <w:jc w:val="center"/>
        <w:divId w:val="1678389491"/>
        <w:rPr>
          <w:rFonts w:eastAsia="Times New Roman"/>
        </w:rPr>
      </w:pPr>
      <w:r>
        <w:rPr>
          <w:rFonts w:eastAsia="Times New Roman"/>
          <w:b/>
          <w:bCs/>
          <w:color w:val="000000"/>
          <w:sz w:val="20"/>
          <w:szCs w:val="20"/>
        </w:rPr>
        <w:t>Consolidated Statements of Comprehensive Income (Loss)</w:t>
      </w:r>
    </w:p>
    <w:p w:rsidR="00000000" w:rsidRDefault="00C56D69">
      <w:pPr>
        <w:jc w:val="center"/>
        <w:divId w:val="1678389491"/>
        <w:rPr>
          <w:rFonts w:eastAsia="Times New Roman"/>
        </w:rPr>
      </w:pPr>
      <w:r>
        <w:rPr>
          <w:rFonts w:eastAsia="Times New Roman"/>
          <w:b/>
          <w:bCs/>
          <w:color w:val="000000"/>
          <w:sz w:val="20"/>
          <w:szCs w:val="20"/>
        </w:rPr>
        <w:t>Three and Nine Months Ended September 30, 2022 and 2021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000"/>
        <w:gridCol w:w="36"/>
        <w:gridCol w:w="120"/>
        <w:gridCol w:w="804"/>
        <w:gridCol w:w="36"/>
        <w:gridCol w:w="36"/>
        <w:gridCol w:w="36"/>
        <w:gridCol w:w="36"/>
        <w:gridCol w:w="120"/>
        <w:gridCol w:w="754"/>
        <w:gridCol w:w="36"/>
        <w:gridCol w:w="36"/>
        <w:gridCol w:w="36"/>
        <w:gridCol w:w="36"/>
        <w:gridCol w:w="120"/>
        <w:gridCol w:w="755"/>
        <w:gridCol w:w="36"/>
        <w:gridCol w:w="36"/>
        <w:gridCol w:w="36"/>
        <w:gridCol w:w="36"/>
        <w:gridCol w:w="120"/>
        <w:gridCol w:w="756"/>
        <w:gridCol w:w="36"/>
        <w:gridCol w:w="36"/>
        <w:gridCol w:w="36"/>
        <w:gridCol w:w="36"/>
        <w:gridCol w:w="36"/>
        <w:gridCol w:w="36"/>
        <w:gridCol w:w="36"/>
      </w:tblGrid>
      <w:tr w:rsidR="00000000">
        <w:trPr>
          <w:jc w:val="center"/>
        </w:trPr>
        <w:tc>
          <w:tcPr>
            <w:tcW w:w="50" w:type="pct"/>
            <w:vAlign w:val="center"/>
            <w:hideMark/>
          </w:tcPr>
          <w:p w:rsidR="00000000" w:rsidRDefault="00C56D69">
            <w:pPr>
              <w:jc w:val="center"/>
              <w:rPr>
                <w:rFonts w:eastAsia="Times New Roman"/>
              </w:rPr>
            </w:pPr>
          </w:p>
        </w:tc>
        <w:tc>
          <w:tcPr>
            <w:tcW w:w="25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COMPREHENSIVE INCOME (LOSS)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comprehensive income (loss)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(2,326)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(9,894)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(2,056)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center"/>
        <w:rPr>
          <w:rFonts w:eastAsia="Times New Roman"/>
        </w:rPr>
      </w:pPr>
    </w:p>
    <w:p w:rsidR="00000000" w:rsidRDefault="00C56D69">
      <w:pPr>
        <w:jc w:val="center"/>
        <w:rPr>
          <w:rFonts w:eastAsia="Times New Roman"/>
        </w:rPr>
      </w:pPr>
      <w:r>
        <w:rPr>
          <w:rFonts w:eastAsia="Times New Roman"/>
          <w:color w:val="000000"/>
          <w:sz w:val="20"/>
          <w:szCs w:val="20"/>
        </w:rPr>
        <w:t>See Notes to Consolidated Financial Statements (Unaudited).</w:t>
      </w:r>
    </w:p>
    <w:p w:rsidR="00000000" w:rsidRDefault="00C56D69">
      <w:pPr>
        <w:jc w:val="center"/>
        <w:divId w:val="2037580559"/>
        <w:rPr>
          <w:rFonts w:eastAsia="Times New Roman"/>
        </w:rPr>
      </w:pPr>
      <w:r>
        <w:rPr>
          <w:rFonts w:eastAsia="Times New Roman"/>
          <w:color w:val="000000"/>
          <w:sz w:val="20"/>
          <w:szCs w:val="20"/>
        </w:rPr>
        <w:t>6</w:t>
      </w:r>
    </w:p>
    <w:p w:rsidR="00000000" w:rsidRDefault="00C56D69">
      <w:pPr>
        <w:rPr>
          <w:rFonts w:eastAsia="Times New Roman"/>
        </w:rPr>
      </w:pPr>
      <w:r>
        <w:rPr>
          <w:rFonts w:eastAsia="Times New Roman"/>
        </w:rPr>
        <w:pict>
          <v:rect id="_x0000_i1032" style="width:0;height:1.5pt" o:hralign="center" o:hrstd="t" o:hr="t" fillcolor="#a0a0a0" stroked="f"/>
        </w:pict>
      </w:r>
    </w:p>
    <w:p w:rsidR="00000000" w:rsidRDefault="00C56D69">
      <w:pPr>
        <w:divId w:val="1546218009"/>
        <w:rPr>
          <w:rFonts w:eastAsia="Times New Roman"/>
        </w:rPr>
      </w:pPr>
    </w:p>
    <w:p w:rsidR="00000000" w:rsidRDefault="00C56D69">
      <w:pPr>
        <w:jc w:val="center"/>
        <w:divId w:val="1638100399"/>
        <w:rPr>
          <w:rFonts w:eastAsia="Times New Roman"/>
        </w:rPr>
      </w:pPr>
      <w:r>
        <w:rPr>
          <w:rFonts w:eastAsia="Times New Roman"/>
          <w:b/>
          <w:bCs/>
          <w:color w:val="000000"/>
          <w:sz w:val="20"/>
          <w:szCs w:val="20"/>
        </w:rPr>
        <w:t>EQUITABLE HOLDINGS, INC.</w:t>
      </w:r>
    </w:p>
    <w:p w:rsidR="00000000" w:rsidRDefault="00C56D69">
      <w:pPr>
        <w:jc w:val="center"/>
        <w:divId w:val="1638100399"/>
        <w:rPr>
          <w:rFonts w:eastAsia="Times New Roman"/>
        </w:rPr>
      </w:pPr>
      <w:r>
        <w:rPr>
          <w:rFonts w:eastAsia="Times New Roman"/>
          <w:b/>
          <w:bCs/>
          <w:color w:val="000000"/>
          <w:sz w:val="20"/>
          <w:szCs w:val="20"/>
        </w:rPr>
        <w:t>Consolidated Statements of Equity</w:t>
      </w:r>
    </w:p>
    <w:p w:rsidR="00000000" w:rsidRDefault="00C56D69">
      <w:pPr>
        <w:jc w:val="center"/>
        <w:divId w:val="1638100399"/>
        <w:rPr>
          <w:rFonts w:eastAsia="Times New Roman"/>
        </w:rPr>
      </w:pPr>
      <w:r>
        <w:rPr>
          <w:rFonts w:eastAsia="Times New Roman"/>
          <w:b/>
          <w:bCs/>
          <w:color w:val="000000"/>
          <w:sz w:val="20"/>
          <w:szCs w:val="20"/>
        </w:rPr>
        <w:t>For the Three and Nine Months Ended September 30, 2022 and 2021 (Unaudited)</w:t>
      </w:r>
    </w:p>
    <w:p w:rsidR="00000000" w:rsidRDefault="00C56D69">
      <w:pPr>
        <w:jc w:val="center"/>
        <w:rPr>
          <w:rFonts w:eastAsia="Times New Roman"/>
        </w:rPr>
      </w:pPr>
    </w:p>
    <w:tbl>
      <w:tblPr>
        <w:tblW w:w="4941" w:type="pct"/>
        <w:jc w:val="center"/>
        <w:tblCellMar>
          <w:top w:w="15" w:type="dxa"/>
          <w:left w:w="15" w:type="dxa"/>
          <w:bottom w:w="15" w:type="dxa"/>
          <w:right w:w="15" w:type="dxa"/>
        </w:tblCellMar>
        <w:tblLook w:val="04A0" w:firstRow="1" w:lastRow="0" w:firstColumn="1" w:lastColumn="0" w:noHBand="0" w:noVBand="1"/>
      </w:tblPr>
      <w:tblGrid>
        <w:gridCol w:w="44"/>
        <w:gridCol w:w="1116"/>
        <w:gridCol w:w="37"/>
        <w:gridCol w:w="91"/>
        <w:gridCol w:w="583"/>
        <w:gridCol w:w="36"/>
        <w:gridCol w:w="36"/>
        <w:gridCol w:w="36"/>
        <w:gridCol w:w="36"/>
        <w:gridCol w:w="91"/>
        <w:gridCol w:w="503"/>
        <w:gridCol w:w="36"/>
        <w:gridCol w:w="36"/>
        <w:gridCol w:w="36"/>
        <w:gridCol w:w="36"/>
        <w:gridCol w:w="91"/>
        <w:gridCol w:w="589"/>
        <w:gridCol w:w="36"/>
        <w:gridCol w:w="36"/>
        <w:gridCol w:w="36"/>
        <w:gridCol w:w="36"/>
        <w:gridCol w:w="92"/>
        <w:gridCol w:w="492"/>
        <w:gridCol w:w="36"/>
        <w:gridCol w:w="36"/>
        <w:gridCol w:w="36"/>
        <w:gridCol w:w="36"/>
        <w:gridCol w:w="91"/>
        <w:gridCol w:w="503"/>
        <w:gridCol w:w="36"/>
        <w:gridCol w:w="36"/>
        <w:gridCol w:w="36"/>
        <w:gridCol w:w="36"/>
        <w:gridCol w:w="91"/>
        <w:gridCol w:w="891"/>
        <w:gridCol w:w="36"/>
        <w:gridCol w:w="36"/>
        <w:gridCol w:w="36"/>
        <w:gridCol w:w="36"/>
        <w:gridCol w:w="91"/>
        <w:gridCol w:w="496"/>
        <w:gridCol w:w="36"/>
        <w:gridCol w:w="36"/>
        <w:gridCol w:w="36"/>
        <w:gridCol w:w="36"/>
        <w:gridCol w:w="91"/>
        <w:gridCol w:w="597"/>
        <w:gridCol w:w="36"/>
        <w:gridCol w:w="36"/>
        <w:gridCol w:w="36"/>
        <w:gridCol w:w="36"/>
        <w:gridCol w:w="90"/>
        <w:gridCol w:w="350"/>
        <w:gridCol w:w="36"/>
      </w:tblGrid>
      <w:tr w:rsidR="00000000">
        <w:trPr>
          <w:jc w:val="center"/>
        </w:trPr>
        <w:tc>
          <w:tcPr>
            <w:tcW w:w="50" w:type="pct"/>
            <w:vAlign w:val="center"/>
            <w:hideMark/>
          </w:tcPr>
          <w:p w:rsidR="00000000" w:rsidRDefault="00C56D69">
            <w:pPr>
              <w:jc w:val="center"/>
              <w:rPr>
                <w:rFonts w:eastAsia="Times New Roman"/>
              </w:rPr>
            </w:pPr>
          </w:p>
        </w:tc>
        <w:tc>
          <w:tcPr>
            <w:tcW w:w="94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Three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4"/>
                <w:szCs w:val="14"/>
              </w:rPr>
              <w:t>July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1,918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(3,065)</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10,718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(5,548)</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5,589</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1,410</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6,999</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Issuance of AB Units for CarVal acquisition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133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divId w:val="8338368"/>
              <w:rPr>
                <w:rFonts w:eastAsia="Times New Roman"/>
              </w:rPr>
            </w:pPr>
            <w:r>
              <w:rPr>
                <w:rFonts w:eastAsia="Times New Roman"/>
                <w:color w:val="000000"/>
                <w:sz w:val="14"/>
                <w:szCs w:val="14"/>
              </w:rPr>
              <w:t>Dividends on common stock (cash dividends declared per common share of $0.20)</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273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273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335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(2,328)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(2,328)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(2,340)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4"/>
                <w:szCs w:val="14"/>
              </w:rPr>
              <w:t>September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2,027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10,839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(7,876)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3,354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1,479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4,833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44"/>
        <w:gridCol w:w="1500"/>
        <w:gridCol w:w="37"/>
        <w:gridCol w:w="90"/>
        <w:gridCol w:w="509"/>
        <w:gridCol w:w="36"/>
        <w:gridCol w:w="36"/>
        <w:gridCol w:w="36"/>
        <w:gridCol w:w="36"/>
        <w:gridCol w:w="90"/>
        <w:gridCol w:w="460"/>
        <w:gridCol w:w="36"/>
        <w:gridCol w:w="36"/>
        <w:gridCol w:w="36"/>
        <w:gridCol w:w="36"/>
        <w:gridCol w:w="90"/>
        <w:gridCol w:w="521"/>
        <w:gridCol w:w="36"/>
        <w:gridCol w:w="36"/>
        <w:gridCol w:w="36"/>
        <w:gridCol w:w="36"/>
        <w:gridCol w:w="90"/>
        <w:gridCol w:w="424"/>
        <w:gridCol w:w="36"/>
        <w:gridCol w:w="36"/>
        <w:gridCol w:w="36"/>
        <w:gridCol w:w="36"/>
        <w:gridCol w:w="90"/>
        <w:gridCol w:w="473"/>
        <w:gridCol w:w="36"/>
        <w:gridCol w:w="36"/>
        <w:gridCol w:w="36"/>
        <w:gridCol w:w="36"/>
        <w:gridCol w:w="90"/>
        <w:gridCol w:w="885"/>
        <w:gridCol w:w="36"/>
        <w:gridCol w:w="36"/>
        <w:gridCol w:w="36"/>
        <w:gridCol w:w="36"/>
        <w:gridCol w:w="90"/>
        <w:gridCol w:w="448"/>
        <w:gridCol w:w="36"/>
        <w:gridCol w:w="36"/>
        <w:gridCol w:w="36"/>
        <w:gridCol w:w="36"/>
        <w:gridCol w:w="90"/>
        <w:gridCol w:w="473"/>
        <w:gridCol w:w="36"/>
        <w:gridCol w:w="36"/>
        <w:gridCol w:w="36"/>
        <w:gridCol w:w="36"/>
        <w:gridCol w:w="90"/>
        <w:gridCol w:w="473"/>
        <w:gridCol w:w="36"/>
      </w:tblGrid>
      <w:tr w:rsidR="00000000">
        <w:trPr>
          <w:jc w:val="center"/>
        </w:trPr>
        <w:tc>
          <w:tcPr>
            <w:tcW w:w="50" w:type="pct"/>
            <w:vAlign w:val="center"/>
            <w:hideMark/>
          </w:tcPr>
          <w:p w:rsidR="00000000" w:rsidRDefault="00C56D69">
            <w:pPr>
              <w:jc w:val="center"/>
              <w:rPr>
                <w:rFonts w:eastAsia="Times New Roman"/>
              </w:rPr>
            </w:pPr>
          </w:p>
        </w:tc>
        <w:tc>
          <w:tcPr>
            <w:tcW w:w="9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6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8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July 1, 2021</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1,562 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1,980 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(2,537)</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8,739 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1,983 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11,732 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1,572 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13,304 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(462)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(459)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(459)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(463)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(101)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(101)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2002927275"/>
              <w:rPr>
                <w:rFonts w:eastAsia="Times New Roman"/>
              </w:rPr>
            </w:pPr>
            <w:r>
              <w:rPr>
                <w:rFonts w:eastAsia="Times New Roman"/>
                <w:color w:val="000000"/>
                <w:sz w:val="14"/>
                <w:szCs w:val="14"/>
              </w:rPr>
              <w:t>Stockholder dividends (cash dividends declared per common share of $0.18)</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(74)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765 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September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(2,537)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8,857 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1,492 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13,172 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rPr>
          <w:rFonts w:eastAsia="Times New Roman"/>
        </w:rPr>
      </w:pPr>
    </w:p>
    <w:p w:rsidR="00000000" w:rsidRDefault="00C56D69">
      <w:pPr>
        <w:jc w:val="center"/>
        <w:rPr>
          <w:rFonts w:eastAsia="Times New Roman"/>
        </w:rPr>
      </w:pPr>
      <w:r>
        <w:rPr>
          <w:rFonts w:eastAsia="Times New Roman"/>
          <w:color w:val="000000"/>
          <w:sz w:val="20"/>
          <w:szCs w:val="20"/>
        </w:rPr>
        <w:t>See Notes to Consolidated Financial Statements (Unaudited).</w:t>
      </w:r>
    </w:p>
    <w:p w:rsidR="00000000" w:rsidRDefault="00C56D69">
      <w:pPr>
        <w:jc w:val="center"/>
        <w:divId w:val="1809665350"/>
        <w:rPr>
          <w:rFonts w:eastAsia="Times New Roman"/>
        </w:rPr>
      </w:pPr>
      <w:r>
        <w:rPr>
          <w:rFonts w:eastAsia="Times New Roman"/>
          <w:color w:val="000000"/>
          <w:sz w:val="20"/>
          <w:szCs w:val="20"/>
        </w:rPr>
        <w:t>7</w:t>
      </w:r>
    </w:p>
    <w:p w:rsidR="00000000" w:rsidRDefault="00C56D69">
      <w:pPr>
        <w:rPr>
          <w:rFonts w:eastAsia="Times New Roman"/>
        </w:rPr>
      </w:pPr>
      <w:r>
        <w:rPr>
          <w:rFonts w:eastAsia="Times New Roman"/>
        </w:rPr>
        <w:pict>
          <v:rect id="_x0000_i1033" style="width:0;height:1.5pt" o:hralign="center" o:hrstd="t" o:hr="t" fillcolor="#a0a0a0" stroked="f"/>
        </w:pict>
      </w:r>
    </w:p>
    <w:p w:rsidR="00000000" w:rsidRDefault="00C56D69">
      <w:pPr>
        <w:divId w:val="334192553"/>
        <w:rPr>
          <w:rFonts w:eastAsia="Times New Roman"/>
        </w:rPr>
      </w:pPr>
    </w:p>
    <w:p w:rsidR="00000000" w:rsidRDefault="00C56D69">
      <w:pPr>
        <w:jc w:val="center"/>
        <w:divId w:val="129711591"/>
        <w:rPr>
          <w:rFonts w:eastAsia="Times New Roman"/>
        </w:rPr>
      </w:pPr>
      <w:r>
        <w:rPr>
          <w:rFonts w:eastAsia="Times New Roman"/>
          <w:b/>
          <w:bCs/>
          <w:color w:val="000000"/>
          <w:sz w:val="20"/>
          <w:szCs w:val="20"/>
        </w:rPr>
        <w:t>EQUITABLE HOLDINGS, INC.</w:t>
      </w:r>
    </w:p>
    <w:p w:rsidR="00000000" w:rsidRDefault="00C56D69">
      <w:pPr>
        <w:jc w:val="center"/>
        <w:divId w:val="129711591"/>
        <w:rPr>
          <w:rFonts w:eastAsia="Times New Roman"/>
        </w:rPr>
      </w:pPr>
      <w:r>
        <w:rPr>
          <w:rFonts w:eastAsia="Times New Roman"/>
          <w:b/>
          <w:bCs/>
          <w:color w:val="000000"/>
          <w:sz w:val="20"/>
          <w:szCs w:val="20"/>
        </w:rPr>
        <w:t>Consolidated Statements of Equity</w:t>
      </w:r>
    </w:p>
    <w:p w:rsidR="00000000" w:rsidRDefault="00C56D69">
      <w:pPr>
        <w:jc w:val="center"/>
        <w:divId w:val="129711591"/>
        <w:rPr>
          <w:rFonts w:eastAsia="Times New Roman"/>
        </w:rPr>
      </w:pPr>
      <w:r>
        <w:rPr>
          <w:rFonts w:eastAsia="Times New Roman"/>
          <w:b/>
          <w:bCs/>
          <w:color w:val="000000"/>
          <w:sz w:val="20"/>
          <w:szCs w:val="20"/>
        </w:rPr>
        <w:t>For the Three and Nine Months Ended September 30, 2022 and 2021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C56D69">
            <w:pPr>
              <w:jc w:val="center"/>
              <w:rPr>
                <w:rFonts w:eastAsia="Times New Roman"/>
              </w:rPr>
            </w:pPr>
          </w:p>
        </w:tc>
        <w:tc>
          <w:tcPr>
            <w:tcW w:w="126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Nine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Non-controllin</w:t>
            </w:r>
            <w:r>
              <w:rPr>
                <w:rFonts w:eastAsia="Times New Roman"/>
                <w:b/>
                <w:bCs/>
                <w:color w:val="000000"/>
                <w:sz w:val="14"/>
                <w:szCs w:val="14"/>
              </w:rPr>
              <w:t>g Interest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4"/>
                <w:szCs w:val="14"/>
              </w:rPr>
              <w:t>(in millions)</w:t>
            </w: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4"/>
                <w:szCs w:val="14"/>
              </w:rPr>
              <w:t>January 1, 2022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1,919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(2,850)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8,880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2,004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11,519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13,095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(693)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(699)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(699)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302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(302)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Issuance of AB Units for CarVal acquisition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133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484930843"/>
              <w:rPr>
                <w:rFonts w:eastAsia="Times New Roman"/>
              </w:rPr>
            </w:pPr>
            <w:r>
              <w:rPr>
                <w:rFonts w:eastAsia="Times New Roman"/>
                <w:color w:val="000000"/>
                <w:sz w:val="14"/>
                <w:szCs w:val="14"/>
              </w:rPr>
              <w:t>Dividends on common stock (cash dividends declared per common share of $0.58)</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2,574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2,574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229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2,803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(9,880)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(9,880)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(9,908)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4"/>
                <w:szCs w:val="14"/>
              </w:rPr>
              <w:t>September 30,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2,027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(3,202)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10,839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(7,876)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3,354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1,479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4"/>
                <w:szCs w:val="14"/>
              </w:rPr>
              <w:t>4,833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divId w:val="591092080"/>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043"/>
        <w:gridCol w:w="38"/>
        <w:gridCol w:w="90"/>
        <w:gridCol w:w="500"/>
        <w:gridCol w:w="36"/>
        <w:gridCol w:w="36"/>
        <w:gridCol w:w="36"/>
        <w:gridCol w:w="36"/>
        <w:gridCol w:w="90"/>
        <w:gridCol w:w="378"/>
        <w:gridCol w:w="36"/>
        <w:gridCol w:w="36"/>
        <w:gridCol w:w="36"/>
        <w:gridCol w:w="36"/>
        <w:gridCol w:w="90"/>
        <w:gridCol w:w="453"/>
        <w:gridCol w:w="36"/>
        <w:gridCol w:w="36"/>
        <w:gridCol w:w="36"/>
        <w:gridCol w:w="36"/>
        <w:gridCol w:w="90"/>
        <w:gridCol w:w="409"/>
        <w:gridCol w:w="36"/>
        <w:gridCol w:w="36"/>
        <w:gridCol w:w="36"/>
        <w:gridCol w:w="36"/>
        <w:gridCol w:w="90"/>
        <w:gridCol w:w="420"/>
        <w:gridCol w:w="36"/>
        <w:gridCol w:w="36"/>
        <w:gridCol w:w="36"/>
        <w:gridCol w:w="36"/>
        <w:gridCol w:w="90"/>
        <w:gridCol w:w="626"/>
        <w:gridCol w:w="36"/>
        <w:gridCol w:w="36"/>
        <w:gridCol w:w="36"/>
        <w:gridCol w:w="36"/>
        <w:gridCol w:w="90"/>
        <w:gridCol w:w="453"/>
        <w:gridCol w:w="36"/>
        <w:gridCol w:w="36"/>
        <w:gridCol w:w="36"/>
        <w:gridCol w:w="36"/>
        <w:gridCol w:w="90"/>
        <w:gridCol w:w="467"/>
        <w:gridCol w:w="36"/>
        <w:gridCol w:w="36"/>
        <w:gridCol w:w="36"/>
        <w:gridCol w:w="36"/>
        <w:gridCol w:w="90"/>
        <w:gridCol w:w="480"/>
        <w:gridCol w:w="36"/>
      </w:tblGrid>
      <w:tr w:rsidR="00000000">
        <w:trPr>
          <w:divId w:val="591092080"/>
          <w:jc w:val="center"/>
        </w:trPr>
        <w:tc>
          <w:tcPr>
            <w:tcW w:w="50" w:type="pct"/>
            <w:vAlign w:val="center"/>
            <w:hideMark/>
          </w:tcPr>
          <w:p w:rsidR="00000000" w:rsidRDefault="00C56D69">
            <w:pPr>
              <w:jc w:val="center"/>
              <w:rPr>
                <w:rFonts w:eastAsia="Times New Roman"/>
              </w:rPr>
            </w:pPr>
          </w:p>
        </w:tc>
        <w:tc>
          <w:tcPr>
            <w:tcW w:w="12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6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2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1,269 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10,699 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3,863 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15,576 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1,601 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17,177 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591092080"/>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(1,160)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(1,168)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(1,168)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(822)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(122)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(122)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529295133"/>
              <w:rPr>
                <w:rFonts w:eastAsia="Times New Roman"/>
              </w:rPr>
            </w:pPr>
            <w:r>
              <w:rPr>
                <w:rFonts w:eastAsia="Times New Roman"/>
                <w:color w:val="000000"/>
                <w:sz w:val="14"/>
                <w:szCs w:val="14"/>
              </w:rPr>
              <w:t>Dividends on common stock (cash dividends declared per common share of $0.53)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(224)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(693)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(693)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277 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(416)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(1,987)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(1,987)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(1,992)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(69)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591092080"/>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4"/>
                <w:szCs w:val="14"/>
              </w:rPr>
              <w:t>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1,917 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(2,537)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8,857 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11,680 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14"/>
                <w:szCs w:val="14"/>
              </w:rPr>
              <w:t>13,172 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divId w:val="1011563682"/>
        <w:rPr>
          <w:rFonts w:eastAsia="Times New Roman"/>
        </w:rPr>
      </w:pPr>
    </w:p>
    <w:p w:rsidR="00000000" w:rsidRDefault="00C56D69">
      <w:pPr>
        <w:jc w:val="center"/>
        <w:rPr>
          <w:rFonts w:eastAsia="Times New Roman"/>
        </w:rPr>
      </w:pPr>
    </w:p>
    <w:p w:rsidR="00000000" w:rsidRDefault="00C56D69">
      <w:pPr>
        <w:jc w:val="center"/>
        <w:rPr>
          <w:rFonts w:eastAsia="Times New Roman"/>
        </w:rPr>
      </w:pPr>
    </w:p>
    <w:p w:rsidR="00000000" w:rsidRDefault="00C56D69">
      <w:pPr>
        <w:jc w:val="center"/>
        <w:rPr>
          <w:rFonts w:eastAsia="Times New Roman"/>
        </w:rPr>
      </w:pPr>
      <w:r>
        <w:rPr>
          <w:rFonts w:eastAsia="Times New Roman"/>
          <w:color w:val="000000"/>
          <w:sz w:val="20"/>
          <w:szCs w:val="20"/>
        </w:rPr>
        <w:t>See Notes to Consolidated Financial Statements (Unaudited).</w:t>
      </w:r>
    </w:p>
    <w:p w:rsidR="00000000" w:rsidRDefault="00C56D69">
      <w:pPr>
        <w:jc w:val="center"/>
        <w:divId w:val="761877511"/>
        <w:rPr>
          <w:rFonts w:eastAsia="Times New Roman"/>
        </w:rPr>
      </w:pPr>
      <w:r>
        <w:rPr>
          <w:rFonts w:eastAsia="Times New Roman"/>
          <w:color w:val="000000"/>
          <w:sz w:val="20"/>
          <w:szCs w:val="20"/>
        </w:rPr>
        <w:t>8</w:t>
      </w:r>
    </w:p>
    <w:p w:rsidR="00000000" w:rsidRDefault="00C56D69">
      <w:pPr>
        <w:rPr>
          <w:rFonts w:eastAsia="Times New Roman"/>
        </w:rPr>
      </w:pPr>
      <w:r>
        <w:rPr>
          <w:rFonts w:eastAsia="Times New Roman"/>
        </w:rPr>
        <w:pict>
          <v:rect id="_x0000_i1034" style="width:0;height:1.5pt" o:hralign="center" o:hrstd="t" o:hr="t" fillcolor="#a0a0a0" stroked="f"/>
        </w:pict>
      </w:r>
    </w:p>
    <w:p w:rsidR="00000000" w:rsidRDefault="00C56D69">
      <w:pPr>
        <w:jc w:val="center"/>
        <w:divId w:val="1826823663"/>
        <w:rPr>
          <w:rFonts w:eastAsia="Times New Roman"/>
        </w:rPr>
      </w:pPr>
      <w:r>
        <w:rPr>
          <w:rFonts w:eastAsia="Times New Roman"/>
          <w:b/>
          <w:bCs/>
          <w:color w:val="000000"/>
          <w:sz w:val="20"/>
          <w:szCs w:val="20"/>
        </w:rPr>
        <w:t xml:space="preserve">EQUITABLE </w:t>
      </w:r>
      <w:r>
        <w:rPr>
          <w:rFonts w:eastAsia="Times New Roman"/>
          <w:b/>
          <w:bCs/>
          <w:color w:val="000000"/>
          <w:sz w:val="20"/>
          <w:szCs w:val="20"/>
        </w:rPr>
        <w:t>HOLDINGS, INC.</w:t>
      </w:r>
    </w:p>
    <w:p w:rsidR="00000000" w:rsidRDefault="00C56D69">
      <w:pPr>
        <w:jc w:val="center"/>
        <w:divId w:val="2142842336"/>
        <w:rPr>
          <w:rFonts w:eastAsia="Times New Roman"/>
        </w:rPr>
      </w:pPr>
      <w:r>
        <w:rPr>
          <w:rFonts w:eastAsia="Times New Roman"/>
          <w:b/>
          <w:bCs/>
          <w:color w:val="000000"/>
          <w:sz w:val="20"/>
          <w:szCs w:val="20"/>
        </w:rPr>
        <w:t>Consolidated Statements of Cash Flows</w:t>
      </w:r>
    </w:p>
    <w:p w:rsidR="00000000" w:rsidRDefault="00C56D69">
      <w:pPr>
        <w:jc w:val="center"/>
        <w:divId w:val="2142842336"/>
        <w:rPr>
          <w:rFonts w:eastAsia="Times New Roman"/>
        </w:rPr>
      </w:pPr>
      <w:r>
        <w:rPr>
          <w:rFonts w:eastAsia="Times New Roman"/>
          <w:b/>
          <w:bCs/>
          <w:color w:val="000000"/>
          <w:sz w:val="20"/>
          <w:szCs w:val="20"/>
        </w:rPr>
        <w:t>Nine Months Ended September 30, 2022 and 2021 (Unaudited)</w:t>
      </w:r>
    </w:p>
    <w:p w:rsidR="00000000" w:rsidRDefault="00C56D69">
      <w:pPr>
        <w:divId w:val="1503933234"/>
        <w:rPr>
          <w:rFonts w:eastAsia="Times New Roman"/>
        </w:rPr>
      </w:pPr>
    </w:p>
    <w:p w:rsidR="00000000" w:rsidRDefault="00C56D69">
      <w:pPr>
        <w:divId w:val="612634111"/>
        <w:rPr>
          <w:rFonts w:eastAsia="Times New Roman"/>
        </w:rPr>
      </w:pPr>
    </w:p>
    <w:p w:rsidR="00000000" w:rsidRDefault="00C56D69">
      <w:pPr>
        <w:divId w:val="184176965"/>
        <w:rPr>
          <w:rFonts w:eastAsia="Times New Roman"/>
        </w:rPr>
      </w:pPr>
    </w:p>
    <w:p w:rsidR="00000000" w:rsidRDefault="00C56D69">
      <w:pPr>
        <w:divId w:val="1638602287"/>
        <w:rPr>
          <w:rFonts w:eastAsia="Times New Roman"/>
        </w:rPr>
      </w:pPr>
    </w:p>
    <w:p w:rsidR="00000000" w:rsidRDefault="00C56D69">
      <w:pPr>
        <w:divId w:val="24419150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05"/>
        <w:gridCol w:w="40"/>
        <w:gridCol w:w="120"/>
        <w:gridCol w:w="861"/>
        <w:gridCol w:w="36"/>
        <w:gridCol w:w="36"/>
        <w:gridCol w:w="36"/>
        <w:gridCol w:w="36"/>
        <w:gridCol w:w="120"/>
        <w:gridCol w:w="823"/>
        <w:gridCol w:w="36"/>
        <w:gridCol w:w="36"/>
        <w:gridCol w:w="36"/>
        <w:gridCol w:w="36"/>
        <w:gridCol w:w="36"/>
        <w:gridCol w:w="36"/>
        <w:gridCol w:w="36"/>
      </w:tblGrid>
      <w:tr w:rsidR="00000000">
        <w:trPr>
          <w:jc w:val="center"/>
        </w:trPr>
        <w:tc>
          <w:tcPr>
            <w:tcW w:w="50" w:type="pct"/>
            <w:vAlign w:val="center"/>
            <w:hideMark/>
          </w:tcPr>
          <w:p w:rsidR="00000000" w:rsidRDefault="00C56D69">
            <w:pPr>
              <w:rPr>
                <w:rFonts w:eastAsia="Times New Roman"/>
              </w:rPr>
            </w:pPr>
          </w:p>
        </w:tc>
        <w:tc>
          <w:tcPr>
            <w:tcW w:w="368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(2,755)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Credit and intent to sell losses on available for 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Non-cash long-term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C56D69">
            <w:pPr>
              <w:spacing w:after="100"/>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(758)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C56D69">
            <w:pPr>
              <w:spacing w:after="100"/>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C56D69">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25,911 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1,417 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(17,022)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(33,276)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(1,564)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(2,604)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(1,680)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(2,259)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Purchase of business, net of cash acquired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Cash </w:t>
            </w:r>
            <w:r>
              <w:rPr>
                <w:rFonts w:eastAsia="Times New Roman"/>
                <w:color w:val="000000"/>
                <w:sz w:val="20"/>
                <w:szCs w:val="20"/>
              </w:rPr>
              <w:t>from the sale of business, net of cash sold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settlements related to derivative instruments,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(6,502)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Repayments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center"/>
        <w:divId w:val="446435123"/>
        <w:rPr>
          <w:rFonts w:eastAsia="Times New Roman"/>
        </w:rPr>
      </w:pPr>
    </w:p>
    <w:p w:rsidR="00000000" w:rsidRDefault="00C56D69">
      <w:pPr>
        <w:jc w:val="center"/>
        <w:divId w:val="446435123"/>
        <w:rPr>
          <w:rFonts w:eastAsia="Times New Roman"/>
        </w:rPr>
      </w:pPr>
    </w:p>
    <w:p w:rsidR="00000000" w:rsidRDefault="00C56D69">
      <w:pPr>
        <w:jc w:val="center"/>
        <w:divId w:val="446435123"/>
        <w:rPr>
          <w:rFonts w:eastAsia="Times New Roman"/>
        </w:rPr>
      </w:pPr>
    </w:p>
    <w:p w:rsidR="00000000" w:rsidRDefault="00C56D69">
      <w:pPr>
        <w:jc w:val="center"/>
        <w:divId w:val="446435123"/>
        <w:rPr>
          <w:rFonts w:eastAsia="Times New Roman"/>
        </w:rPr>
      </w:pPr>
      <w:r>
        <w:rPr>
          <w:rFonts w:eastAsia="Times New Roman"/>
          <w:color w:val="000000"/>
          <w:sz w:val="20"/>
          <w:szCs w:val="20"/>
        </w:rPr>
        <w:t>See Notes to Consolidated Financial Statements (Unaudited).</w:t>
      </w:r>
    </w:p>
    <w:p w:rsidR="00000000" w:rsidRDefault="00C56D69">
      <w:pPr>
        <w:jc w:val="center"/>
        <w:divId w:val="446435123"/>
        <w:rPr>
          <w:rFonts w:eastAsia="Times New Roman"/>
        </w:rPr>
      </w:pPr>
      <w:r>
        <w:rPr>
          <w:rFonts w:eastAsia="Times New Roman"/>
          <w:color w:val="000000"/>
          <w:sz w:val="20"/>
          <w:szCs w:val="20"/>
        </w:rPr>
        <w:t>9</w:t>
      </w:r>
    </w:p>
    <w:p w:rsidR="00000000" w:rsidRDefault="00C56D69">
      <w:pPr>
        <w:rPr>
          <w:rFonts w:eastAsia="Times New Roman"/>
        </w:rPr>
      </w:pPr>
      <w:r>
        <w:rPr>
          <w:rFonts w:eastAsia="Times New Roman"/>
        </w:rPr>
        <w:pict>
          <v:rect id="_x0000_i1035" style="width:0;height:1.5pt" o:hralign="center" o:hrstd="t" o:hr="t" fillcolor="#a0a0a0" stroked="f"/>
        </w:pict>
      </w:r>
    </w:p>
    <w:p w:rsidR="00000000" w:rsidRDefault="00C56D69">
      <w:pPr>
        <w:jc w:val="center"/>
        <w:divId w:val="1449617039"/>
        <w:rPr>
          <w:rFonts w:eastAsia="Times New Roman"/>
        </w:rPr>
      </w:pPr>
      <w:r>
        <w:rPr>
          <w:rFonts w:eastAsia="Times New Roman"/>
          <w:b/>
          <w:bCs/>
          <w:color w:val="000000"/>
          <w:sz w:val="20"/>
          <w:szCs w:val="20"/>
        </w:rPr>
        <w:t>EQUITABLE HOLDINGS, INC.</w:t>
      </w:r>
    </w:p>
    <w:p w:rsidR="00000000" w:rsidRDefault="00C56D69">
      <w:pPr>
        <w:jc w:val="center"/>
        <w:divId w:val="1157304598"/>
        <w:rPr>
          <w:rFonts w:eastAsia="Times New Roman"/>
        </w:rPr>
      </w:pPr>
      <w:r>
        <w:rPr>
          <w:rFonts w:eastAsia="Times New Roman"/>
          <w:b/>
          <w:bCs/>
          <w:color w:val="000000"/>
          <w:sz w:val="20"/>
          <w:szCs w:val="20"/>
        </w:rPr>
        <w:t>Consolidated Statements of Cash Flows</w:t>
      </w:r>
    </w:p>
    <w:p w:rsidR="00000000" w:rsidRDefault="00C56D69">
      <w:pPr>
        <w:jc w:val="center"/>
        <w:divId w:val="1157304598"/>
        <w:rPr>
          <w:rFonts w:eastAsia="Times New Roman"/>
        </w:rPr>
      </w:pPr>
      <w:r>
        <w:rPr>
          <w:rFonts w:eastAsia="Times New Roman"/>
          <w:b/>
          <w:bCs/>
          <w:color w:val="000000"/>
          <w:sz w:val="20"/>
          <w:szCs w:val="20"/>
        </w:rPr>
        <w:t>Nine Months Ended September 30, 2022 and 2021 (Unaudited)</w:t>
      </w:r>
    </w:p>
    <w:p w:rsidR="00000000" w:rsidRDefault="00C56D69">
      <w:pPr>
        <w:divId w:val="302078370"/>
        <w:rPr>
          <w:rFonts w:eastAsia="Times New Roman"/>
        </w:rPr>
      </w:pPr>
    </w:p>
    <w:p w:rsidR="00000000" w:rsidRDefault="00C56D69">
      <w:pPr>
        <w:divId w:val="1256473428"/>
        <w:rPr>
          <w:rFonts w:eastAsia="Times New Roman"/>
        </w:rPr>
      </w:pPr>
    </w:p>
    <w:p w:rsidR="00000000" w:rsidRDefault="00C56D69">
      <w:pPr>
        <w:divId w:val="278731423"/>
        <w:rPr>
          <w:rFonts w:eastAsia="Times New Roman"/>
        </w:rPr>
      </w:pPr>
    </w:p>
    <w:p w:rsidR="00000000" w:rsidRDefault="00C56D69">
      <w:pPr>
        <w:divId w:val="1456101716"/>
        <w:rPr>
          <w:rFonts w:eastAsia="Times New Roman"/>
        </w:rPr>
      </w:pPr>
    </w:p>
    <w:p w:rsidR="00000000" w:rsidRDefault="00C56D69">
      <w:pPr>
        <w:divId w:val="18555979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05"/>
        <w:gridCol w:w="40"/>
        <w:gridCol w:w="120"/>
        <w:gridCol w:w="861"/>
        <w:gridCol w:w="36"/>
        <w:gridCol w:w="36"/>
        <w:gridCol w:w="36"/>
        <w:gridCol w:w="36"/>
        <w:gridCol w:w="120"/>
        <w:gridCol w:w="823"/>
        <w:gridCol w:w="36"/>
        <w:gridCol w:w="36"/>
        <w:gridCol w:w="36"/>
        <w:gridCol w:w="36"/>
        <w:gridCol w:w="36"/>
        <w:gridCol w:w="36"/>
        <w:gridCol w:w="36"/>
      </w:tblGrid>
      <w:tr w:rsidR="00000000">
        <w:trPr>
          <w:jc w:val="center"/>
        </w:trPr>
        <w:tc>
          <w:tcPr>
            <w:tcW w:w="50" w:type="pct"/>
            <w:vAlign w:val="center"/>
            <w:hideMark/>
          </w:tcPr>
          <w:p w:rsidR="00000000" w:rsidRDefault="00C56D69">
            <w:pPr>
              <w:rPr>
                <w:rFonts w:eastAsia="Times New Roman"/>
              </w:rPr>
            </w:pPr>
          </w:p>
        </w:tc>
        <w:tc>
          <w:tcPr>
            <w:tcW w:w="368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12,760 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(5,011)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(4,617)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1,455 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(2,472)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1,494 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Repayment of acquisition-related debt obligation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874 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Transfer of assets to reinsurer</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(9,023)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638293189"/>
        <w:rPr>
          <w:rFonts w:eastAsia="Times New Roman"/>
        </w:rPr>
      </w:pPr>
      <w:r>
        <w:rPr>
          <w:rFonts w:eastAsia="Times New Roman"/>
          <w:color w:val="000000"/>
          <w:sz w:val="18"/>
          <w:szCs w:val="18"/>
        </w:rPr>
        <w:t>_______________</w:t>
      </w:r>
    </w:p>
    <w:p w:rsidR="00000000" w:rsidRDefault="00C56D69">
      <w:pPr>
        <w:ind w:hanging="360"/>
        <w:divId w:val="1503203406"/>
        <w:rPr>
          <w:rFonts w:eastAsia="Times New Roman"/>
        </w:rPr>
      </w:pPr>
      <w:r>
        <w:rPr>
          <w:rFonts w:eastAsia="Times New Roman"/>
          <w:color w:val="000000"/>
          <w:sz w:val="18"/>
          <w:szCs w:val="18"/>
        </w:rPr>
        <w:t xml:space="preserve">(1) </w:t>
      </w:r>
      <w:r>
        <w:rPr>
          <w:rFonts w:eastAsia="Times New Roman"/>
          <w:color w:val="000000"/>
          <w:sz w:val="18"/>
          <w:szCs w:val="18"/>
        </w:rPr>
        <w:t>Amount includes cash paid for Venerable Transaction of $494 million. See the Note 1 of the Notes to these Consolidated Financial Statements.</w:t>
      </w:r>
    </w:p>
    <w:p w:rsidR="00000000" w:rsidRDefault="00C56D69">
      <w:pPr>
        <w:jc w:val="center"/>
        <w:rPr>
          <w:rFonts w:eastAsia="Times New Roman"/>
        </w:rPr>
      </w:pPr>
    </w:p>
    <w:p w:rsidR="00000000" w:rsidRDefault="00C56D69">
      <w:pPr>
        <w:jc w:val="center"/>
        <w:divId w:val="39138212"/>
        <w:rPr>
          <w:rFonts w:eastAsia="Times New Roman"/>
        </w:rPr>
      </w:pPr>
    </w:p>
    <w:p w:rsidR="00000000" w:rsidRDefault="00C56D69">
      <w:pPr>
        <w:jc w:val="center"/>
        <w:divId w:val="39138212"/>
        <w:rPr>
          <w:rFonts w:eastAsia="Times New Roman"/>
        </w:rPr>
      </w:pPr>
    </w:p>
    <w:p w:rsidR="00000000" w:rsidRDefault="00C56D69">
      <w:pPr>
        <w:jc w:val="center"/>
        <w:divId w:val="39138212"/>
        <w:rPr>
          <w:rFonts w:eastAsia="Times New Roman"/>
        </w:rPr>
      </w:pPr>
    </w:p>
    <w:p w:rsidR="00000000" w:rsidRDefault="00C56D69">
      <w:pPr>
        <w:jc w:val="center"/>
        <w:divId w:val="39138212"/>
        <w:rPr>
          <w:rFonts w:eastAsia="Times New Roman"/>
        </w:rPr>
      </w:pPr>
      <w:r>
        <w:rPr>
          <w:rFonts w:eastAsia="Times New Roman"/>
          <w:color w:val="000000"/>
          <w:sz w:val="20"/>
          <w:szCs w:val="20"/>
        </w:rPr>
        <w:t>See Notes to Consolidated Financial Statements (Unaudited).</w:t>
      </w:r>
    </w:p>
    <w:p w:rsidR="00000000" w:rsidRDefault="00C56D69">
      <w:pPr>
        <w:jc w:val="center"/>
        <w:divId w:val="39138212"/>
        <w:rPr>
          <w:rFonts w:eastAsia="Times New Roman"/>
        </w:rPr>
      </w:pPr>
      <w:r>
        <w:rPr>
          <w:rFonts w:eastAsia="Times New Roman"/>
          <w:color w:val="000000"/>
          <w:sz w:val="20"/>
          <w:szCs w:val="20"/>
        </w:rPr>
        <w:t>10</w:t>
      </w:r>
    </w:p>
    <w:p w:rsidR="00000000" w:rsidRDefault="00C56D69">
      <w:pPr>
        <w:rPr>
          <w:rFonts w:eastAsia="Times New Roman"/>
        </w:rPr>
      </w:pPr>
      <w:r>
        <w:rPr>
          <w:rFonts w:eastAsia="Times New Roman"/>
        </w:rPr>
        <w:pict>
          <v:rect id="_x0000_i1036" style="width:0;height:1.5pt" o:hralign="center" o:hrstd="t" o:hr="t" fillcolor="#a0a0a0" stroked="f"/>
        </w:pict>
      </w:r>
    </w:p>
    <w:p w:rsidR="00000000" w:rsidRDefault="00C56D69">
      <w:pPr>
        <w:divId w:val="173804511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211458420"/>
        <w:rPr>
          <w:rFonts w:eastAsia="Times New Roman"/>
        </w:rPr>
      </w:pPr>
      <w:r>
        <w:rPr>
          <w:rFonts w:eastAsia="Times New Roman"/>
          <w:b/>
          <w:bCs/>
          <w:color w:val="000000"/>
          <w:sz w:val="20"/>
          <w:szCs w:val="20"/>
        </w:rPr>
        <w:t>EQUITABLE HOLDINGS, INC.</w:t>
      </w:r>
    </w:p>
    <w:p w:rsidR="00000000" w:rsidRDefault="00C56D69">
      <w:pPr>
        <w:jc w:val="center"/>
        <w:divId w:val="1211458420"/>
        <w:rPr>
          <w:rFonts w:eastAsia="Times New Roman"/>
        </w:rPr>
      </w:pPr>
      <w:r>
        <w:rPr>
          <w:rFonts w:eastAsia="Times New Roman"/>
          <w:b/>
          <w:bCs/>
          <w:color w:val="000000"/>
          <w:sz w:val="20"/>
          <w:szCs w:val="20"/>
        </w:rPr>
        <w:t>Notes to Consolidated Financial Statements (Unaudited)</w:t>
      </w:r>
    </w:p>
    <w:p w:rsidR="00000000" w:rsidRDefault="00C56D69">
      <w:pPr>
        <w:divId w:val="97719922"/>
        <w:rPr>
          <w:rFonts w:eastAsia="Times New Roman"/>
        </w:rPr>
      </w:pPr>
    </w:p>
    <w:p w:rsidR="00000000" w:rsidRDefault="00C56D69">
      <w:pPr>
        <w:divId w:val="661618407"/>
        <w:rPr>
          <w:rFonts w:eastAsia="Times New Roman"/>
        </w:rPr>
      </w:pPr>
      <w:r>
        <w:rPr>
          <w:rFonts w:eastAsia="Times New Roman"/>
          <w:b/>
          <w:bCs/>
          <w:color w:val="000000"/>
          <w:sz w:val="20"/>
          <w:szCs w:val="20"/>
        </w:rPr>
        <w:t xml:space="preserve">1)    ORGANIZATION </w:t>
      </w:r>
    </w:p>
    <w:p w:rsidR="00000000" w:rsidRDefault="00C56D69">
      <w:pPr>
        <w:divId w:val="2140372935"/>
        <w:rPr>
          <w:rFonts w:eastAsia="Times New Roman"/>
        </w:rPr>
      </w:pPr>
      <w:r>
        <w:rPr>
          <w:rFonts w:eastAsia="Times New Roman"/>
          <w:color w:val="000000"/>
          <w:sz w:val="20"/>
          <w:szCs w:val="20"/>
        </w:rPr>
        <w:t xml:space="preserve">Equitable Holdings, Inc. is the holding company for a diversified financial services organization. The Company conducts operations in four segments: Individual Retirement, Group Retirement, Investment Management and Research, and Protection Solutions. The </w:t>
      </w:r>
      <w:r>
        <w:rPr>
          <w:rFonts w:eastAsia="Times New Roman"/>
          <w:color w:val="000000"/>
          <w:sz w:val="20"/>
          <w:szCs w:val="20"/>
        </w:rPr>
        <w:t xml:space="preserve">Company’s management evaluates the performance of each of these segments independently. </w:t>
      </w:r>
    </w:p>
    <w:p w:rsidR="00000000" w:rsidRDefault="00C56D69">
      <w:pPr>
        <w:ind w:hanging="360"/>
        <w:jc w:val="both"/>
        <w:divId w:val="811214811"/>
        <w:rPr>
          <w:rFonts w:eastAsia="Times New Roman"/>
        </w:rPr>
      </w:pPr>
      <w:r>
        <w:rPr>
          <w:rFonts w:eastAsia="Times New Roman"/>
          <w:color w:val="000000"/>
          <w:sz w:val="20"/>
          <w:szCs w:val="20"/>
        </w:rPr>
        <w:t>•</w:t>
      </w: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C56D69">
      <w:pPr>
        <w:ind w:hanging="360"/>
        <w:jc w:val="both"/>
        <w:divId w:val="2133551717"/>
        <w:rPr>
          <w:rFonts w:eastAsia="Times New Roman"/>
        </w:rPr>
      </w:pPr>
      <w:r>
        <w:rPr>
          <w:rFonts w:eastAsia="Times New Roman"/>
          <w:color w:val="000000"/>
          <w:sz w:val="20"/>
          <w:szCs w:val="20"/>
        </w:rPr>
        <w:t>•The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p w:rsidR="00000000" w:rsidRDefault="00C56D69">
      <w:pPr>
        <w:ind w:hanging="360"/>
        <w:jc w:val="both"/>
        <w:divId w:val="1486774604"/>
        <w:rPr>
          <w:rFonts w:eastAsia="Times New Roman"/>
        </w:rPr>
      </w:pPr>
      <w:r>
        <w:rPr>
          <w:rFonts w:eastAsia="Times New Roman"/>
          <w:color w:val="000000"/>
          <w:sz w:val="20"/>
          <w:szCs w:val="20"/>
        </w:rPr>
        <w:t>•The Investment Management and Research segment provides diversified invest</w:t>
      </w:r>
      <w:r>
        <w:rPr>
          <w:rFonts w:eastAsia="Times New Roman"/>
          <w:color w:val="000000"/>
          <w:sz w:val="20"/>
          <w:szCs w:val="20"/>
        </w:rPr>
        <w:t>ment management, research and related solutions globally to a broad range of clients through three main client channels - Institutional, Retail and Private Wealth - and distributes its institutional research products and solutions through Bernstein Researc</w:t>
      </w:r>
      <w:r>
        <w:rPr>
          <w:rFonts w:eastAsia="Times New Roman"/>
          <w:color w:val="000000"/>
          <w:sz w:val="20"/>
          <w:szCs w:val="20"/>
        </w:rPr>
        <w:t>h Services. The Investment Management and Research segment reflects the business of AB Holding and ABLP and their subsidiaries (collectively, AB).</w:t>
      </w:r>
    </w:p>
    <w:p w:rsidR="00000000" w:rsidRDefault="00C56D69">
      <w:pPr>
        <w:ind w:hanging="360"/>
        <w:divId w:val="1481531967"/>
        <w:rPr>
          <w:rFonts w:eastAsia="Times New Roman"/>
        </w:rPr>
      </w:pPr>
      <w:r>
        <w:rPr>
          <w:rFonts w:eastAsia="Times New Roman"/>
          <w:color w:val="000000"/>
          <w:sz w:val="20"/>
          <w:szCs w:val="20"/>
        </w:rPr>
        <w:t>•The Protection Solutions segment includes the Company’s life insurance and group employee benefits businesse</w:t>
      </w:r>
      <w:r>
        <w:rPr>
          <w:rFonts w:eastAsia="Times New Roman"/>
          <w:color w:val="000000"/>
          <w:sz w:val="20"/>
          <w:szCs w:val="20"/>
        </w:rPr>
        <w:t>s. The life insurance business offers a variety of VUL, IUL and term life products to help affluent and high net worth individuals, as well as small and medium-sized business owners, with their wealth protection, wealth transfer and corporate needs. Our gr</w:t>
      </w:r>
      <w:r>
        <w:rPr>
          <w:rFonts w:eastAsia="Times New Roman"/>
          <w:color w:val="000000"/>
          <w:sz w:val="20"/>
          <w:szCs w:val="20"/>
        </w:rPr>
        <w:t>oup employee benefits business offers a suite of life, short- and long-term disability, dental and vision insurance products to small and medium-size businesses across the United States.</w:t>
      </w:r>
    </w:p>
    <w:p w:rsidR="00000000" w:rsidRDefault="00C56D69">
      <w:pPr>
        <w:divId w:val="637027448"/>
        <w:rPr>
          <w:rFonts w:eastAsia="Times New Roman"/>
        </w:rPr>
      </w:pPr>
      <w:r>
        <w:rPr>
          <w:rFonts w:eastAsia="Times New Roman"/>
          <w:color w:val="000000"/>
          <w:sz w:val="20"/>
          <w:szCs w:val="20"/>
        </w:rPr>
        <w:t>The Company reports certain activities and items that are not include</w:t>
      </w:r>
      <w:r>
        <w:rPr>
          <w:rFonts w:eastAsia="Times New Roman"/>
          <w:color w:val="000000"/>
          <w:sz w:val="20"/>
          <w:szCs w:val="20"/>
        </w:rPr>
        <w:t>d in our segments in Corporate and Other. Corporate and Other includes certain of our financing and investment expenses. It also includes: Equitable Advisors broker-dealer business, closed block of life insurance (the “Closed Block”), run-off variable annu</w:t>
      </w:r>
      <w:r>
        <w:rPr>
          <w:rFonts w:eastAsia="Times New Roman"/>
          <w:color w:val="000000"/>
          <w:sz w:val="20"/>
          <w:szCs w:val="20"/>
        </w:rPr>
        <w:t>ity reinsurance business, run-off group pension business, run-off health business, benefit plans for our employees, certain strategic investments and certain unallocated items, including capital and related investments, interest expense and corporate expen</w:t>
      </w:r>
      <w:r>
        <w:rPr>
          <w:rFonts w:eastAsia="Times New Roman"/>
          <w:color w:val="000000"/>
          <w:sz w:val="20"/>
          <w:szCs w:val="20"/>
        </w:rPr>
        <w:t>se. AB’s results of operations are reflected in the Investment Management and Research segment. Accordingly, Corporate and Other does not include any items applicable to AB.</w:t>
      </w:r>
    </w:p>
    <w:p w:rsidR="00000000" w:rsidRDefault="00C56D69">
      <w:pPr>
        <w:divId w:val="1516386380"/>
        <w:rPr>
          <w:rFonts w:eastAsia="Times New Roman"/>
        </w:rPr>
      </w:pPr>
      <w:r>
        <w:rPr>
          <w:rFonts w:eastAsia="Times New Roman"/>
          <w:color w:val="000000"/>
          <w:sz w:val="20"/>
          <w:szCs w:val="20"/>
        </w:rPr>
        <w:t>As of September 30, 2022 and December 31, 2021, the Company’s economic interest in</w:t>
      </w:r>
      <w:r>
        <w:rPr>
          <w:rFonts w:eastAsia="Times New Roman"/>
          <w:color w:val="000000"/>
          <w:sz w:val="20"/>
          <w:szCs w:val="20"/>
        </w:rPr>
        <w:t xml:space="preserve"> AB was approximately 64% and 65%, respectively. The slight decrease was due to the issuance of AB Units relating to AB’s 100% acquisition of CarVal Investments L.P. (“CarVal”). On July 1, 2022, AB issued 3.2 million AB Units (with a fair value of $133 mil</w:t>
      </w:r>
      <w:r>
        <w:rPr>
          <w:rFonts w:eastAsia="Times New Roman"/>
          <w:color w:val="000000"/>
          <w:sz w:val="20"/>
          <w:szCs w:val="20"/>
        </w:rPr>
        <w:t>lion) and recorded a $419 million liability for the issuance of additional AB Units on November 1, 2022. AB also recorded a contingent consideration payable of $227 million (to be paid predominantly in AB Units) based on CarVal achieving certain performanc</w:t>
      </w:r>
      <w:r>
        <w:rPr>
          <w:rFonts w:eastAsia="Times New Roman"/>
          <w:color w:val="000000"/>
          <w:sz w:val="20"/>
          <w:szCs w:val="20"/>
        </w:rPr>
        <w:t>e objectives over a six-year period ending December 31, 2027. The General Partner of AB is a wholly-owned subsidiary of the Company. Because the General Partner has the authority to manage and control the business of AB, AB is consolidated in the Company’s</w:t>
      </w:r>
      <w:r>
        <w:rPr>
          <w:rFonts w:eastAsia="Times New Roman"/>
          <w:color w:val="000000"/>
          <w:sz w:val="20"/>
          <w:szCs w:val="20"/>
        </w:rPr>
        <w:t xml:space="preserve"> financial statements for all periods presented.</w:t>
      </w:r>
    </w:p>
    <w:p w:rsidR="00000000" w:rsidRDefault="00C56D69">
      <w:pPr>
        <w:divId w:val="1385834227"/>
        <w:rPr>
          <w:rFonts w:eastAsia="Times New Roman"/>
        </w:rPr>
      </w:pPr>
      <w:r>
        <w:rPr>
          <w:rFonts w:eastAsia="Times New Roman"/>
          <w:color w:val="000000"/>
          <w:sz w:val="20"/>
          <w:szCs w:val="20"/>
        </w:rPr>
        <w:t>On June 1, 2021, Holdings completed the sale (the “Venerable Transaction”) of CS Life, to Venerable Insurance and Annuity Company, an insurance company domiciled in Iowa (“VIAC”), pursuant to the Master Tran</w:t>
      </w:r>
      <w:r>
        <w:rPr>
          <w:rFonts w:eastAsia="Times New Roman"/>
          <w:color w:val="000000"/>
          <w:sz w:val="20"/>
          <w:szCs w:val="20"/>
        </w:rPr>
        <w:t>saction Agreement, dated October 27, 2020 (the “Master Transaction Agreement”), among the Company, VIAC and, solely with respect to Article XIV thereof, Venerable Holdings, Inc., a Delaware corporation (“Venerable”).</w:t>
      </w:r>
    </w:p>
    <w:p w:rsidR="00000000" w:rsidRDefault="00C56D69">
      <w:pPr>
        <w:divId w:val="1143502413"/>
        <w:rPr>
          <w:rFonts w:eastAsia="Times New Roman"/>
        </w:rPr>
      </w:pPr>
      <w:r>
        <w:rPr>
          <w:rFonts w:eastAsia="Times New Roman"/>
          <w:color w:val="000000"/>
          <w:sz w:val="20"/>
          <w:szCs w:val="20"/>
        </w:rPr>
        <w:t>Pursuant to the Master Transaction Agre</w:t>
      </w:r>
      <w:r>
        <w:rPr>
          <w:rFonts w:eastAsia="Times New Roman"/>
          <w:color w:val="000000"/>
          <w:sz w:val="20"/>
          <w:szCs w:val="20"/>
        </w:rPr>
        <w:t>ement, immediately prior to the closing of the Venerable Transaction, CS Life effected the recapture of all of the business that was ceded to CS Life Re Company, a wholly owned subsidiary of CS Life (“Reinsurance Subsidiary”), and sold 100% of the equity o</w:t>
      </w:r>
      <w:r>
        <w:rPr>
          <w:rFonts w:eastAsia="Times New Roman"/>
          <w:color w:val="000000"/>
          <w:sz w:val="20"/>
          <w:szCs w:val="20"/>
        </w:rPr>
        <w:t>f the Reinsurance Subsidiary to another wholly owned subsidiary of the Company.</w:t>
      </w:r>
    </w:p>
    <w:p w:rsidR="00000000" w:rsidRDefault="00C56D69">
      <w:pPr>
        <w:divId w:val="80764020"/>
        <w:rPr>
          <w:rFonts w:eastAsia="Times New Roman"/>
        </w:rPr>
      </w:pPr>
      <w:r>
        <w:rPr>
          <w:rFonts w:eastAsia="Times New Roman"/>
          <w:color w:val="000000"/>
          <w:sz w:val="20"/>
          <w:szCs w:val="20"/>
        </w:rPr>
        <w:t>VIAC paid the Company a cash purchase price of $215 million for CS Life at closing. The post-closing true-up adjustment was immaterial. VIAC also issued a surplus note in aggre</w:t>
      </w:r>
      <w:r>
        <w:rPr>
          <w:rFonts w:eastAsia="Times New Roman"/>
          <w:color w:val="000000"/>
          <w:sz w:val="20"/>
          <w:szCs w:val="20"/>
        </w:rPr>
        <w:t xml:space="preserve">gate principal amount of $60 million, to Equitable Financial Life Insurance Company, a New York-domiciled life insurance company and a wholly owned subsidiary of Holdings, for cash consideration. </w:t>
      </w:r>
    </w:p>
    <w:p w:rsidR="00000000" w:rsidRDefault="00C56D69">
      <w:pPr>
        <w:jc w:val="center"/>
        <w:divId w:val="1658459150"/>
        <w:rPr>
          <w:rFonts w:eastAsia="Times New Roman"/>
        </w:rPr>
      </w:pPr>
      <w:r>
        <w:rPr>
          <w:rFonts w:eastAsia="Times New Roman"/>
          <w:color w:val="000000"/>
          <w:sz w:val="20"/>
          <w:szCs w:val="20"/>
        </w:rPr>
        <w:t>11</w:t>
      </w:r>
    </w:p>
    <w:p w:rsidR="00000000" w:rsidRDefault="00C56D69">
      <w:pPr>
        <w:rPr>
          <w:rFonts w:eastAsia="Times New Roman"/>
        </w:rPr>
      </w:pPr>
      <w:r>
        <w:rPr>
          <w:rFonts w:eastAsia="Times New Roman"/>
        </w:rPr>
        <w:pict>
          <v:rect id="_x0000_i1037" style="width:0;height:1.5pt" o:hralign="center" o:hrstd="t" o:hr="t" fillcolor="#a0a0a0" stroked="f"/>
        </w:pict>
      </w:r>
    </w:p>
    <w:p w:rsidR="00000000" w:rsidRDefault="00C56D69">
      <w:pPr>
        <w:divId w:val="92873510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862164122"/>
        <w:rPr>
          <w:rFonts w:eastAsia="Times New Roman"/>
        </w:rPr>
      </w:pPr>
      <w:r>
        <w:rPr>
          <w:rFonts w:eastAsia="Times New Roman"/>
          <w:b/>
          <w:bCs/>
          <w:color w:val="000000"/>
          <w:sz w:val="20"/>
          <w:szCs w:val="20"/>
        </w:rPr>
        <w:t>EQUITABLE HOLDINGS, INC.</w:t>
      </w:r>
    </w:p>
    <w:p w:rsidR="00000000" w:rsidRDefault="00C56D69">
      <w:pPr>
        <w:jc w:val="center"/>
        <w:divId w:val="1862164122"/>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862164122"/>
        <w:rPr>
          <w:rFonts w:eastAsia="Times New Roman"/>
        </w:rPr>
      </w:pPr>
    </w:p>
    <w:p w:rsidR="00000000" w:rsidRDefault="00C56D69">
      <w:pPr>
        <w:divId w:val="1323434490"/>
        <w:rPr>
          <w:rFonts w:eastAsia="Times New Roman"/>
        </w:rPr>
      </w:pPr>
      <w:r>
        <w:rPr>
          <w:rFonts w:eastAsia="Times New Roman"/>
          <w:color w:val="000000"/>
          <w:sz w:val="20"/>
          <w:szCs w:val="20"/>
        </w:rPr>
        <w:t>Immediately following the closing of the Venerable Transaction, CS Life and Equitable Financial entered in</w:t>
      </w:r>
      <w:r>
        <w:rPr>
          <w:rFonts w:eastAsia="Times New Roman"/>
          <w:color w:val="000000"/>
          <w:sz w:val="20"/>
          <w:szCs w:val="20"/>
        </w:rPr>
        <w:t>to a coinsurance and modified coinsurance agreement (the “Reinsurance Agreement”), pursuant to which Equitable Financial ceded to CS Life, on a combined coinsurance and modified coinsurance basis, legacy variable annuity policies sold by Equitable Financia</w:t>
      </w:r>
      <w:r>
        <w:rPr>
          <w:rFonts w:eastAsia="Times New Roman"/>
          <w:color w:val="000000"/>
          <w:sz w:val="20"/>
          <w:szCs w:val="20"/>
        </w:rPr>
        <w:t>l between 2006-2008 (the “Block”), comprised of non-New York “Accumulator” policies containing fixed rate Guaranteed Minimum Income Benefit and/or Guaranteed Minimum Death Benefit guarantees. At the closing of the Transaction, CS Life deposited assets supp</w:t>
      </w:r>
      <w:r>
        <w:rPr>
          <w:rFonts w:eastAsia="Times New Roman"/>
          <w:color w:val="000000"/>
          <w:sz w:val="20"/>
          <w:szCs w:val="20"/>
        </w:rPr>
        <w:t>orting the general account liabilities relating to the Block into a trust account for the benefit of Equitable Financial, which assets will secure its obligations to Equitable Financial under the Reinsurance Agreement. At the closing of the Transaction, AB</w:t>
      </w:r>
      <w:r>
        <w:rPr>
          <w:rFonts w:eastAsia="Times New Roman"/>
          <w:color w:val="000000"/>
          <w:sz w:val="20"/>
          <w:szCs w:val="20"/>
        </w:rPr>
        <w:t>LP, entered into an investment advisory agreement with CS Life pursuant to which ABLP will serve as the preferred investment manager of the general account assets transferred to the trust account. The Company transferred assets of $9.5 billion, including p</w:t>
      </w:r>
      <w:r>
        <w:rPr>
          <w:rFonts w:eastAsia="Times New Roman"/>
          <w:color w:val="000000"/>
          <w:sz w:val="20"/>
          <w:szCs w:val="20"/>
        </w:rPr>
        <w:t>rimarily available for sale securities and cash, to a collateral trust account as the consideration for the reinsurance transaction. In addition, the Company recorded $9.6 billion of direct insurance liabilities ceded under the reinsurance contract, of whi</w:t>
      </w:r>
      <w:r>
        <w:rPr>
          <w:rFonts w:eastAsia="Times New Roman"/>
          <w:color w:val="000000"/>
          <w:sz w:val="20"/>
          <w:szCs w:val="20"/>
        </w:rPr>
        <w:t>ch $5.3 billion is accounted at fair value, as the reinsurance of GMxB with no lapse guarantee riders are embedded derivatives. Additionally, $16.9 billion of Separate Account liabilities were ceded under a modified coinsurance portion of the agreement.</w:t>
      </w:r>
    </w:p>
    <w:p w:rsidR="00000000" w:rsidRDefault="00C56D69">
      <w:pPr>
        <w:divId w:val="1544054392"/>
        <w:rPr>
          <w:rFonts w:eastAsia="Times New Roman"/>
        </w:rPr>
      </w:pPr>
      <w:r>
        <w:rPr>
          <w:rFonts w:eastAsia="Times New Roman"/>
          <w:color w:val="000000"/>
          <w:sz w:val="20"/>
          <w:szCs w:val="20"/>
        </w:rPr>
        <w:t>In</w:t>
      </w:r>
      <w:r>
        <w:rPr>
          <w:rFonts w:eastAsia="Times New Roman"/>
          <w:color w:val="000000"/>
          <w:sz w:val="20"/>
          <w:szCs w:val="20"/>
        </w:rPr>
        <w:t xml:space="preserve"> addition, upon the completion of the Venerable Transaction, EIMG acquired an approximate 9.09% equity interest in Venerable’s parent holding company, VA Capital Company LLC. In connection with such investment, EIMG designated a member to the Board of Mana</w:t>
      </w:r>
      <w:r>
        <w:rPr>
          <w:rFonts w:eastAsia="Times New Roman"/>
          <w:color w:val="000000"/>
          <w:sz w:val="20"/>
          <w:szCs w:val="20"/>
        </w:rPr>
        <w:t>gers of VA Capital Company LLC.</w:t>
      </w:r>
    </w:p>
    <w:p w:rsidR="00000000" w:rsidRDefault="00C56D69">
      <w:pPr>
        <w:divId w:val="509027172"/>
        <w:rPr>
          <w:rFonts w:eastAsia="Times New Roman"/>
        </w:rPr>
      </w:pPr>
    </w:p>
    <w:p w:rsidR="00000000" w:rsidRDefault="00C56D69">
      <w:pPr>
        <w:divId w:val="916939600"/>
        <w:rPr>
          <w:rFonts w:eastAsia="Times New Roman"/>
        </w:rPr>
      </w:pPr>
      <w:r>
        <w:rPr>
          <w:rFonts w:eastAsia="Times New Roman"/>
          <w:b/>
          <w:bCs/>
          <w:color w:val="000000"/>
          <w:sz w:val="20"/>
          <w:szCs w:val="20"/>
        </w:rPr>
        <w:t xml:space="preserve">2)     SIGNIFICANT ACCOUNTING POLICIES </w:t>
      </w:r>
    </w:p>
    <w:p w:rsidR="00000000" w:rsidRDefault="00C56D69">
      <w:pPr>
        <w:divId w:val="628122047"/>
        <w:rPr>
          <w:rFonts w:eastAsia="Times New Roman"/>
        </w:rPr>
      </w:pPr>
      <w:r>
        <w:rPr>
          <w:rFonts w:eastAsia="Times New Roman"/>
          <w:color w:val="000000"/>
          <w:sz w:val="20"/>
          <w:szCs w:val="20"/>
          <w:u w:val="single"/>
        </w:rPr>
        <w:t>Basis of Presentation and Principles of Consolidation</w:t>
      </w:r>
    </w:p>
    <w:p w:rsidR="00000000" w:rsidRDefault="00C56D69">
      <w:pPr>
        <w:divId w:val="235631877"/>
        <w:rPr>
          <w:rFonts w:eastAsia="Times New Roman"/>
        </w:rPr>
      </w:pPr>
      <w:r>
        <w:rPr>
          <w:rFonts w:eastAsia="Times New Roman"/>
          <w:color w:val="000000"/>
          <w:sz w:val="20"/>
          <w:szCs w:val="20"/>
        </w:rPr>
        <w:t>The unaudited interim consolidated financial statements (the “consolidated financial statements”) have been prepared in conformi</w:t>
      </w:r>
      <w:r>
        <w:rPr>
          <w:rFonts w:eastAsia="Times New Roman"/>
          <w:color w:val="000000"/>
          <w:sz w:val="20"/>
          <w:szCs w:val="20"/>
        </w:rPr>
        <w:t>ty with accounting principles generally accepted in the United States of America (“U.S. GAAP” or “GAAP”) on a basis consistent with reporting interim financial information in accordance with instructions to the Form 10-Q and Article 10 of Regulation S-X of</w:t>
      </w:r>
      <w:r>
        <w:rPr>
          <w:rFonts w:eastAsia="Times New Roman"/>
          <w:color w:val="000000"/>
          <w:sz w:val="20"/>
          <w:szCs w:val="20"/>
        </w:rPr>
        <w:t xml:space="preserve"> the Securities and Exchange Commission (“SEC”). </w:t>
      </w:r>
    </w:p>
    <w:p w:rsidR="00000000" w:rsidRDefault="00C56D69">
      <w:pPr>
        <w:divId w:val="1737163234"/>
        <w:rPr>
          <w:rFonts w:eastAsia="Times New Roman"/>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 Inter</w:t>
      </w:r>
      <w:r>
        <w:rPr>
          <w:rFonts w:eastAsia="Times New Roman"/>
          <w:color w:val="000000"/>
          <w:sz w:val="20"/>
          <w:szCs w:val="20"/>
        </w:rPr>
        <w:t>im results are not necessarily indicative of the results that may be expected for the full year. These financial statements should be read in conjunction with the Company’s consolidated financial statements included in the Company’s Annual Report on Form 1</w:t>
      </w:r>
      <w:r>
        <w:rPr>
          <w:rFonts w:eastAsia="Times New Roman"/>
          <w:color w:val="000000"/>
          <w:sz w:val="20"/>
          <w:szCs w:val="20"/>
        </w:rPr>
        <w:t xml:space="preserve">0-K for the year ended December 31, 2021. </w:t>
      </w:r>
    </w:p>
    <w:p w:rsidR="00000000" w:rsidRDefault="00C56D69">
      <w:pPr>
        <w:divId w:val="1425222560"/>
        <w:rPr>
          <w:rFonts w:eastAsia="Times New Roman"/>
        </w:rPr>
      </w:pPr>
      <w:r>
        <w:rPr>
          <w:rFonts w:eastAsia="Times New Roman"/>
          <w:color w:val="000000"/>
          <w:sz w:val="20"/>
          <w:szCs w:val="20"/>
        </w:rPr>
        <w:t xml:space="preserve">The accompanying unaudited consolidated financial statements present the consolidated results of operations, financial condition, and cash flows of the Company and its subsidiaries and those investment companies, </w:t>
      </w:r>
      <w:r>
        <w:rPr>
          <w:rFonts w:eastAsia="Times New Roman"/>
          <w:color w:val="000000"/>
          <w:sz w:val="20"/>
          <w:szCs w:val="20"/>
        </w:rPr>
        <w:t xml:space="preserve">partnerships and joint ventures in which the Company has control and a majority economic interest as well as those variable interest entities (“VIEs”) that meet the requirements for consolidation. </w:t>
      </w:r>
    </w:p>
    <w:p w:rsidR="00000000" w:rsidRDefault="00C56D69">
      <w:pPr>
        <w:divId w:val="1069303030"/>
        <w:rPr>
          <w:rFonts w:eastAsia="Times New Roman"/>
        </w:rPr>
      </w:pPr>
      <w:r>
        <w:rPr>
          <w:rFonts w:eastAsia="Times New Roman"/>
          <w:color w:val="000000"/>
          <w:sz w:val="20"/>
          <w:szCs w:val="20"/>
        </w:rPr>
        <w:t>All significant intercompany transactions and balances hav</w:t>
      </w:r>
      <w:r>
        <w:rPr>
          <w:rFonts w:eastAsia="Times New Roman"/>
          <w:color w:val="000000"/>
          <w:sz w:val="20"/>
          <w:szCs w:val="20"/>
        </w:rPr>
        <w:t>e been eliminated in consolidation. The terms “third quarter 2022” and “third quarter 2021” refer to the three months ended September 30, 2022 and 2021, respectively. The terms “first nine months of 2022” and “first nine months of 2021” refer to the nine m</w:t>
      </w:r>
      <w:r>
        <w:rPr>
          <w:rFonts w:eastAsia="Times New Roman"/>
          <w:color w:val="000000"/>
          <w:sz w:val="20"/>
          <w:szCs w:val="20"/>
        </w:rPr>
        <w:t>onths ended September 30, 2022 and 2021, respectively.</w:t>
      </w:r>
    </w:p>
    <w:p w:rsidR="00000000" w:rsidRDefault="00C56D69">
      <w:pPr>
        <w:divId w:val="870917976"/>
        <w:rPr>
          <w:rFonts w:eastAsia="Times New Roman"/>
        </w:rPr>
      </w:pPr>
      <w:r>
        <w:rPr>
          <w:rFonts w:eastAsia="Times New Roman"/>
          <w:color w:val="000000"/>
          <w:sz w:val="20"/>
          <w:szCs w:val="20"/>
        </w:rPr>
        <w:t xml:space="preserve">Certain prior year amounts have been reclassified to conform to the current year’s presentation. </w:t>
      </w:r>
    </w:p>
    <w:p w:rsidR="00000000" w:rsidRDefault="00C56D69">
      <w:pPr>
        <w:divId w:val="1790053663"/>
        <w:rPr>
          <w:rFonts w:eastAsia="Times New Roman"/>
        </w:rPr>
      </w:pPr>
    </w:p>
    <w:p w:rsidR="00000000" w:rsidRDefault="00C56D69">
      <w:pPr>
        <w:divId w:val="1868328339"/>
        <w:rPr>
          <w:rFonts w:eastAsia="Times New Roman"/>
        </w:rPr>
      </w:pPr>
      <w:r>
        <w:rPr>
          <w:rFonts w:eastAsia="Times New Roman"/>
          <w:color w:val="000000"/>
          <w:sz w:val="20"/>
          <w:szCs w:val="20"/>
          <w:u w:val="single"/>
        </w:rPr>
        <w:t>Recent Accounting Pronouncements</w:t>
      </w:r>
    </w:p>
    <w:p w:rsidR="00000000" w:rsidRDefault="00C56D69">
      <w:pPr>
        <w:divId w:val="1167864555"/>
        <w:rPr>
          <w:rFonts w:eastAsia="Times New Roman"/>
        </w:rPr>
      </w:pPr>
      <w:r>
        <w:rPr>
          <w:rFonts w:eastAsia="Times New Roman"/>
          <w:color w:val="000000"/>
          <w:sz w:val="20"/>
          <w:szCs w:val="20"/>
        </w:rPr>
        <w:t xml:space="preserve">Changes to U.S. GAAP are established by the Financial Accounting Standards Board (“FASB”) in the form of Accounting Standards Updates (“ASUs”) to the FASB Accounting Standards Codification (“ASC”). The Company considers the applicability and impact of all </w:t>
      </w:r>
      <w:r>
        <w:rPr>
          <w:rFonts w:eastAsia="Times New Roman"/>
          <w:color w:val="000000"/>
          <w:sz w:val="20"/>
          <w:szCs w:val="20"/>
        </w:rPr>
        <w:t>ASUs. ASUs listed below include those that have been adopted during the current fiscal year and/or those that have been issued but not yet adopted as of September 30, 2022, and as of the date of this filing. ASUs not listed below were assessed and determin</w:t>
      </w:r>
      <w:r>
        <w:rPr>
          <w:rFonts w:eastAsia="Times New Roman"/>
          <w:color w:val="000000"/>
          <w:sz w:val="20"/>
          <w:szCs w:val="20"/>
        </w:rPr>
        <w:t>ed to be either not applicable or not material.</w:t>
      </w:r>
    </w:p>
    <w:p w:rsidR="00000000" w:rsidRDefault="00C56D69">
      <w:pPr>
        <w:jc w:val="center"/>
        <w:divId w:val="137460116"/>
        <w:rPr>
          <w:rFonts w:eastAsia="Times New Roman"/>
        </w:rPr>
      </w:pPr>
    </w:p>
    <w:p w:rsidR="00000000" w:rsidRDefault="00C56D69">
      <w:pPr>
        <w:jc w:val="center"/>
        <w:divId w:val="137460116"/>
        <w:rPr>
          <w:rFonts w:eastAsia="Times New Roman"/>
        </w:rPr>
      </w:pPr>
      <w:r>
        <w:rPr>
          <w:rFonts w:eastAsia="Times New Roman"/>
          <w:color w:val="000000"/>
          <w:sz w:val="20"/>
          <w:szCs w:val="20"/>
        </w:rPr>
        <w:t>12</w:t>
      </w:r>
    </w:p>
    <w:p w:rsidR="00000000" w:rsidRDefault="00C56D69">
      <w:pPr>
        <w:rPr>
          <w:rFonts w:eastAsia="Times New Roman"/>
        </w:rPr>
      </w:pPr>
      <w:r>
        <w:rPr>
          <w:rFonts w:eastAsia="Times New Roman"/>
        </w:rPr>
        <w:pict>
          <v:rect id="_x0000_i1038" style="width:0;height:1.5pt" o:hralign="center" o:hrstd="t" o:hr="t" fillcolor="#a0a0a0" stroked="f"/>
        </w:pict>
      </w:r>
    </w:p>
    <w:p w:rsidR="00000000" w:rsidRDefault="00C56D69">
      <w:pPr>
        <w:divId w:val="73848435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452335703"/>
        <w:rPr>
          <w:rFonts w:eastAsia="Times New Roman"/>
        </w:rPr>
      </w:pPr>
      <w:r>
        <w:rPr>
          <w:rFonts w:eastAsia="Times New Roman"/>
          <w:b/>
          <w:bCs/>
          <w:color w:val="000000"/>
          <w:sz w:val="20"/>
          <w:szCs w:val="20"/>
        </w:rPr>
        <w:t>EQUITABLE HOLDINGS, INC.</w:t>
      </w:r>
    </w:p>
    <w:p w:rsidR="00000000" w:rsidRDefault="00C56D69">
      <w:pPr>
        <w:jc w:val="center"/>
        <w:divId w:val="45233570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452335703"/>
        <w:rPr>
          <w:rFonts w:eastAsia="Times New Roman"/>
        </w:rPr>
      </w:pPr>
    </w:p>
    <w:p w:rsidR="00000000" w:rsidRDefault="00C56D69">
      <w:pPr>
        <w:divId w:val="965165191"/>
        <w:rPr>
          <w:rFonts w:eastAsia="Times New Roman"/>
        </w:rPr>
      </w:pPr>
      <w:r>
        <w:rPr>
          <w:rFonts w:eastAsia="Times New Roman"/>
          <w:color w:val="000000"/>
          <w:sz w:val="20"/>
          <w:szCs w:val="20"/>
          <w:u w:val="single"/>
        </w:rPr>
        <w:t>Future Adoption of New Accounting Pronouncements</w:t>
      </w:r>
    </w:p>
    <w:tbl>
      <w:tblPr>
        <w:tblW w:w="4649" w:type="pct"/>
        <w:tblCellMar>
          <w:top w:w="15" w:type="dxa"/>
          <w:left w:w="15" w:type="dxa"/>
          <w:bottom w:w="15" w:type="dxa"/>
          <w:right w:w="15" w:type="dxa"/>
        </w:tblCellMar>
        <w:tblLook w:val="04A0" w:firstRow="1" w:lastRow="0" w:firstColumn="1" w:lastColumn="0" w:noHBand="0" w:noVBand="1"/>
      </w:tblPr>
      <w:tblGrid>
        <w:gridCol w:w="62"/>
        <w:gridCol w:w="2475"/>
        <w:gridCol w:w="37"/>
        <w:gridCol w:w="62"/>
        <w:gridCol w:w="2475"/>
        <w:gridCol w:w="37"/>
        <w:gridCol w:w="62"/>
        <w:gridCol w:w="2476"/>
        <w:gridCol w:w="37"/>
      </w:tblGrid>
      <w:tr w:rsidR="00000000">
        <w:trPr>
          <w:divId w:val="965165191"/>
        </w:trPr>
        <w:tc>
          <w:tcPr>
            <w:tcW w:w="50" w:type="pct"/>
            <w:vAlign w:val="center"/>
            <w:hideMark/>
          </w:tcPr>
          <w:p w:rsidR="00000000" w:rsidRDefault="00C56D69">
            <w:pPr>
              <w:rPr>
                <w:rFonts w:eastAsia="Times New Roman"/>
              </w:rPr>
            </w:pPr>
          </w:p>
        </w:tc>
        <w:tc>
          <w:tcPr>
            <w:tcW w:w="161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61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61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96516519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965165191"/>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C56D69">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trPr>
          <w:divId w:val="96516519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C56D69">
            <w:pPr>
              <w:spacing w:after="100"/>
              <w:jc w:val="both"/>
              <w:divId w:val="1351950332"/>
              <w:rPr>
                <w:rFonts w:eastAsia="Times New Roman"/>
              </w:rPr>
            </w:pPr>
            <w:r>
              <w:rPr>
                <w:rFonts w:eastAsia="Times New Roman"/>
                <w:color w:val="000000"/>
                <w:sz w:val="18"/>
                <w:szCs w:val="18"/>
              </w:rPr>
              <w:t xml:space="preserve">This ASU provides targeted improvements to existing recognition, measurement, presentation, and </w:t>
            </w:r>
            <w:r>
              <w:rPr>
                <w:rFonts w:eastAsia="Times New Roman"/>
                <w:color w:val="000000"/>
                <w:sz w:val="18"/>
                <w:szCs w:val="18"/>
              </w:rPr>
              <w:t>disclosure requirements for long-duration contracts issued by an insurance entity. The ASU primarily impacts four key areas, including:</w:t>
            </w:r>
          </w:p>
          <w:p w:rsidR="00000000" w:rsidRDefault="00C56D69">
            <w:pPr>
              <w:spacing w:after="100"/>
              <w:jc w:val="both"/>
              <w:divId w:val="121920533"/>
              <w:rPr>
                <w:rFonts w:eastAsia="Times New Roman"/>
              </w:rPr>
            </w:pPr>
            <w:r>
              <w:rPr>
                <w:rFonts w:eastAsia="Times New Roman"/>
                <w:color w:val="000000"/>
                <w:sz w:val="18"/>
                <w:szCs w:val="18"/>
              </w:rPr>
              <w:t>1. Measurement of the liability for future policy benefits for traditional and limited payment contracts. The ASU requir</w:t>
            </w:r>
            <w:r>
              <w:rPr>
                <w:rFonts w:eastAsia="Times New Roman"/>
                <w:color w:val="000000"/>
                <w:sz w:val="18"/>
                <w:szCs w:val="18"/>
              </w:rPr>
              <w:t>es companies to review, and if necessary, update cash flow assumptions at least annually for non-participating traditional and limited-payment insurance contracts. The ASU also prescribes the discount rate to be used in measuring the liability for future p</w:t>
            </w:r>
            <w:r>
              <w:rPr>
                <w:rFonts w:eastAsia="Times New Roman"/>
                <w:color w:val="000000"/>
                <w:sz w:val="18"/>
                <w:szCs w:val="18"/>
              </w:rPr>
              <w:t>olicy benefits for traditional and limited payment long-duration contracts.</w:t>
            </w:r>
          </w:p>
          <w:p w:rsidR="00000000" w:rsidRDefault="00C56D69">
            <w:pPr>
              <w:spacing w:after="100"/>
              <w:jc w:val="both"/>
              <w:rPr>
                <w:rFonts w:eastAsia="Times New Roman"/>
              </w:rPr>
            </w:pPr>
          </w:p>
          <w:p w:rsidR="00000000" w:rsidRDefault="00C56D69">
            <w:pPr>
              <w:spacing w:after="100"/>
              <w:jc w:val="both"/>
              <w:rPr>
                <w:rFonts w:eastAsia="Times New Roman"/>
              </w:rPr>
            </w:pPr>
            <w:r>
              <w:rPr>
                <w:rFonts w:eastAsia="Times New Roman"/>
                <w:color w:val="000000"/>
                <w:sz w:val="18"/>
                <w:szCs w:val="18"/>
              </w:rPr>
              <w:t>2. Measurement of MRBs. MRBs, as defined under the ASU, will encompass certain GMxB features associated with variable annuity products and other general account annuities with ot</w:t>
            </w:r>
            <w:r>
              <w:rPr>
                <w:rFonts w:eastAsia="Times New Roman"/>
                <w:color w:val="000000"/>
                <w:sz w:val="18"/>
                <w:szCs w:val="18"/>
              </w:rPr>
              <w:t xml:space="preserve">her than nominal market risk. </w:t>
            </w:r>
          </w:p>
          <w:p w:rsidR="00000000" w:rsidRDefault="00C56D69">
            <w:pPr>
              <w:spacing w:after="100"/>
              <w:jc w:val="both"/>
              <w:rPr>
                <w:rFonts w:eastAsia="Times New Roman"/>
              </w:rPr>
            </w:pPr>
          </w:p>
          <w:p w:rsidR="00000000" w:rsidRDefault="00C56D69">
            <w:pPr>
              <w:spacing w:after="100"/>
              <w:jc w:val="both"/>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margins, requiring such balanc</w:t>
            </w:r>
            <w:r>
              <w:rPr>
                <w:rFonts w:eastAsia="Times New Roman"/>
                <w:color w:val="000000"/>
                <w:sz w:val="18"/>
                <w:szCs w:val="18"/>
              </w:rPr>
              <w:t xml:space="preserve">es to be amortized on a constant level basis over the expected term of the contracts. </w:t>
            </w:r>
          </w:p>
          <w:p w:rsidR="00000000" w:rsidRDefault="00C56D69">
            <w:pPr>
              <w:spacing w:after="100"/>
              <w:jc w:val="both"/>
              <w:rPr>
                <w:rFonts w:eastAsia="Times New Roman"/>
              </w:rPr>
            </w:pPr>
          </w:p>
          <w:p w:rsidR="00000000" w:rsidRDefault="00C56D69">
            <w:pPr>
              <w:spacing w:after="100"/>
              <w:jc w:val="both"/>
              <w:rPr>
                <w:rFonts w:eastAsia="Times New Roman"/>
              </w:rPr>
            </w:pPr>
            <w:r>
              <w:rPr>
                <w:rFonts w:eastAsia="Times New Roman"/>
                <w:color w:val="000000"/>
                <w:sz w:val="18"/>
                <w:szCs w:val="18"/>
              </w:rPr>
              <w:t>4. Expanded footnote disclosures. The ASU requires additional disclosures including information about significant inputs, judgements, assumptions and methods used in measurement.</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18"/>
                <w:szCs w:val="18"/>
              </w:rPr>
              <w:t xml:space="preserve">In November 2020, the FASB issued ASU 2020-11 which deferred the effective </w:t>
            </w:r>
            <w:r>
              <w:rPr>
                <w:rFonts w:eastAsia="Times New Roman"/>
                <w:color w:val="000000"/>
                <w:sz w:val="18"/>
                <w:szCs w:val="18"/>
              </w:rPr>
              <w:t xml:space="preserve">date of the amendments in ASU 2018-12 for all insurance entities. ASU 2018-12 is effective for fiscal years, and interim periods within those fiscal years, beginning after December 15, 2022. Early adoption is allowed. </w:t>
            </w:r>
            <w:r>
              <w:rPr>
                <w:rFonts w:eastAsia="Times New Roman"/>
                <w:color w:val="000000"/>
                <w:sz w:val="18"/>
                <w:szCs w:val="18"/>
              </w:rPr>
              <w:br/>
            </w:r>
            <w:r>
              <w:rPr>
                <w:rFonts w:eastAsia="Times New Roman"/>
                <w:sz w:val="18"/>
                <w:szCs w:val="18"/>
              </w:rPr>
              <w:br/>
            </w: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contracts in force as of the</w:t>
            </w:r>
            <w:r>
              <w:rPr>
                <w:rFonts w:eastAsia="Times New Roman"/>
                <w:color w:val="000000"/>
                <w:sz w:val="18"/>
                <w:szCs w:val="18"/>
              </w:rPr>
              <w:t xml:space="preserve"> beginning of the earliest period presented on the basis of their existing carrying amounts, adjusted for the removal of any related amounts in AOCI or a full retrospective transition method using actual historical experience information as of contract inc</w:t>
            </w:r>
            <w:r>
              <w:rPr>
                <w:rFonts w:eastAsia="Times New Roman"/>
                <w:color w:val="000000"/>
                <w:sz w:val="18"/>
                <w:szCs w:val="18"/>
              </w:rPr>
              <w:t>eption. The same adoption method must be used for deferred policy acquisition costs.</w:t>
            </w:r>
            <w:r>
              <w:rPr>
                <w:rFonts w:eastAsia="Times New Roman"/>
                <w:color w:val="000000"/>
                <w:sz w:val="18"/>
                <w:szCs w:val="18"/>
              </w:rPr>
              <w:br/>
            </w:r>
            <w:r>
              <w:rPr>
                <w:rFonts w:eastAsia="Times New Roman"/>
                <w:sz w:val="18"/>
                <w:szCs w:val="18"/>
              </w:rPr>
              <w:br/>
            </w:r>
            <w:r>
              <w:rPr>
                <w:rFonts w:eastAsia="Times New Roman"/>
                <w:color w:val="000000"/>
                <w:sz w:val="18"/>
                <w:szCs w:val="18"/>
              </w:rPr>
              <w:t>For MRBs, the ASU should be applied retrospectively as of the beginning of the 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18"/>
                <w:szCs w:val="18"/>
              </w:rPr>
              <w:t xml:space="preserve">The Company continues to progress with implementation efforts </w:t>
            </w:r>
            <w:r>
              <w:rPr>
                <w:rFonts w:eastAsia="Times New Roman"/>
                <w:color w:val="000000"/>
                <w:sz w:val="18"/>
                <w:szCs w:val="18"/>
              </w:rPr>
              <w:t>and the evaluation of the impact that adoption of this guidance will have on the Company’s consolidated financial statements. Due to its extensive nature, the adoption of the ASU is expected to have a significant impact on the Company’s consolidated financ</w:t>
            </w:r>
            <w:r>
              <w:rPr>
                <w:rFonts w:eastAsia="Times New Roman"/>
                <w:color w:val="000000"/>
                <w:sz w:val="18"/>
                <w:szCs w:val="18"/>
              </w:rPr>
              <w:t>ial statements, as well as systems, processes and controls. Effective January 1, 2023, the new guidance will be adopted using the modified retrospective approach, except for MRBs which will use the full retrospective approach.</w:t>
            </w:r>
            <w:r>
              <w:rPr>
                <w:rFonts w:eastAsia="Times New Roman"/>
                <w:color w:val="000000"/>
                <w:sz w:val="18"/>
                <w:szCs w:val="18"/>
              </w:rPr>
              <w:br/>
            </w:r>
            <w:r>
              <w:rPr>
                <w:rFonts w:eastAsia="Times New Roman"/>
                <w:sz w:val="18"/>
                <w:szCs w:val="18"/>
              </w:rPr>
              <w:br/>
            </w:r>
            <w:r>
              <w:rPr>
                <w:rFonts w:eastAsia="Times New Roman"/>
                <w:color w:val="000000"/>
                <w:sz w:val="18"/>
                <w:szCs w:val="18"/>
              </w:rPr>
              <w:t>The Company has created a go</w:t>
            </w:r>
            <w:r>
              <w:rPr>
                <w:rFonts w:eastAsia="Times New Roman"/>
                <w:color w:val="000000"/>
                <w:sz w:val="18"/>
                <w:szCs w:val="18"/>
              </w:rPr>
              <w:t>vernance framework and implementation plan to ensure timely adoption of the guidance. In preparation for implementation, the Company continues to refine key accounting policy decisions, modernize processes and update internal controls. These changes includ</w:t>
            </w:r>
            <w:r>
              <w:rPr>
                <w:rFonts w:eastAsia="Times New Roman"/>
                <w:color w:val="000000"/>
                <w:sz w:val="18"/>
                <w:szCs w:val="18"/>
              </w:rPr>
              <w:t>e modifications of actuarial valuation systems, data sourcing, analytical procedures and reporting processes.</w:t>
            </w:r>
            <w:r>
              <w:rPr>
                <w:rFonts w:eastAsia="Times New Roman"/>
                <w:color w:val="000000"/>
                <w:sz w:val="18"/>
                <w:szCs w:val="18"/>
              </w:rPr>
              <w:br/>
            </w:r>
            <w:r>
              <w:rPr>
                <w:rFonts w:eastAsia="Times New Roman"/>
                <w:sz w:val="18"/>
                <w:szCs w:val="18"/>
              </w:rPr>
              <w:br/>
            </w:r>
            <w:r>
              <w:rPr>
                <w:rFonts w:eastAsia="Times New Roman"/>
                <w:color w:val="000000"/>
                <w:sz w:val="18"/>
                <w:szCs w:val="18"/>
              </w:rPr>
              <w:t>The impact on total equity of applying this ASU is estimated to be neutral to the current amount of reported total equity as of September 30, 202</w:t>
            </w:r>
            <w:r>
              <w:rPr>
                <w:rFonts w:eastAsia="Times New Roman"/>
                <w:color w:val="000000"/>
                <w:sz w:val="18"/>
                <w:szCs w:val="18"/>
              </w:rPr>
              <w:t>2. As of September 30, 2022, a positive impact to AOCI is expected due to increases in the Company’s estimate of its non-performance risk on variable annuity guarantees accounted for as MRBs for the first time under the guidance. The estimated impact to th</w:t>
            </w:r>
            <w:r>
              <w:rPr>
                <w:rFonts w:eastAsia="Times New Roman"/>
                <w:color w:val="000000"/>
                <w:sz w:val="18"/>
                <w:szCs w:val="18"/>
              </w:rPr>
              <w:t>e retained earnings element of total equity as of September 30, 2022, due to accounting for variable annuity guarantees as MRBs that are not currently measured at fair value, is mitigated by the Company’s present use of a near industry low interest rate as</w:t>
            </w:r>
            <w:r>
              <w:rPr>
                <w:rFonts w:eastAsia="Times New Roman"/>
                <w:color w:val="000000"/>
                <w:sz w:val="18"/>
                <w:szCs w:val="18"/>
              </w:rPr>
              <w:t>sumption of 2.25% on GMIB business. Because movements in equity markets, interest rates and credit spreads are unpredictable and at times volatile, it is possible that the estimated effects of adoption could change materially between September 30, 2022 and</w:t>
            </w:r>
            <w:r>
              <w:rPr>
                <w:rFonts w:eastAsia="Times New Roman"/>
                <w:color w:val="000000"/>
                <w:sz w:val="18"/>
                <w:szCs w:val="18"/>
              </w:rPr>
              <w:t xml:space="preserve"> January 1, 2023. </w:t>
            </w:r>
          </w:p>
        </w:tc>
      </w:tr>
      <w:tr w:rsidR="00000000">
        <w:trPr>
          <w:divId w:val="965165191"/>
        </w:trPr>
        <w:tc>
          <w:tcPr>
            <w:tcW w:w="0" w:type="auto"/>
            <w:gridSpan w:val="3"/>
            <w:vAlign w:val="center"/>
            <w:hideMark/>
          </w:tcPr>
          <w:p w:rsidR="00000000" w:rsidRDefault="00C56D69">
            <w:pPr>
              <w:spacing w:after="100"/>
              <w:jc w:val="both"/>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96516519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58429768"/>
        <w:rPr>
          <w:rFonts w:eastAsia="Times New Roman"/>
        </w:rPr>
      </w:pPr>
    </w:p>
    <w:p w:rsidR="00000000" w:rsidRDefault="00C56D69">
      <w:pPr>
        <w:divId w:val="1508326329"/>
        <w:rPr>
          <w:rFonts w:eastAsia="Times New Roman"/>
        </w:rPr>
      </w:pPr>
      <w:r>
        <w:rPr>
          <w:rFonts w:eastAsia="Times New Roman"/>
          <w:color w:val="000000"/>
          <w:sz w:val="20"/>
          <w:szCs w:val="20"/>
          <w:u w:val="single"/>
        </w:rPr>
        <w:t xml:space="preserve">Securities Sold under Agreements to Repurchase </w:t>
      </w:r>
    </w:p>
    <w:p w:rsidR="00000000" w:rsidRDefault="00C56D69">
      <w:pPr>
        <w:divId w:val="1308172255"/>
        <w:rPr>
          <w:rFonts w:eastAsia="Times New Roman"/>
        </w:rPr>
      </w:pPr>
    </w:p>
    <w:p w:rsidR="00000000" w:rsidRDefault="00C56D69">
      <w:pPr>
        <w:divId w:val="1329942673"/>
        <w:rPr>
          <w:rFonts w:eastAsia="Times New Roman"/>
        </w:rPr>
      </w:pPr>
      <w:r>
        <w:rPr>
          <w:rFonts w:eastAsia="Times New Roman"/>
          <w:color w:val="000000"/>
          <w:sz w:val="20"/>
          <w:szCs w:val="20"/>
        </w:rPr>
        <w:t xml:space="preserve">Securities sold under agreements to repurchase </w:t>
      </w:r>
      <w:r>
        <w:rPr>
          <w:rFonts w:eastAsia="Times New Roman"/>
          <w:color w:val="000000"/>
          <w:sz w:val="20"/>
          <w:szCs w:val="20"/>
        </w:rPr>
        <w:t xml:space="preserve">involve the temporary exchange of securities for cash or </w:t>
      </w:r>
    </w:p>
    <w:p w:rsidR="00000000" w:rsidRDefault="00C56D69">
      <w:pPr>
        <w:divId w:val="1981106705"/>
        <w:rPr>
          <w:rFonts w:eastAsia="Times New Roman"/>
        </w:rPr>
      </w:pPr>
      <w:r>
        <w:rPr>
          <w:rFonts w:eastAsia="Times New Roman"/>
          <w:color w:val="000000"/>
          <w:sz w:val="20"/>
          <w:szCs w:val="20"/>
        </w:rPr>
        <w:t xml:space="preserve">other collateral of equivalent value, with agreement to redeliver a like quantity of the same or similar securities at a </w:t>
      </w:r>
    </w:p>
    <w:p w:rsidR="00000000" w:rsidRDefault="00C56D69">
      <w:pPr>
        <w:jc w:val="center"/>
        <w:divId w:val="182785103"/>
        <w:rPr>
          <w:rFonts w:eastAsia="Times New Roman"/>
        </w:rPr>
      </w:pPr>
      <w:r>
        <w:rPr>
          <w:rFonts w:eastAsia="Times New Roman"/>
          <w:color w:val="000000"/>
          <w:sz w:val="20"/>
          <w:szCs w:val="20"/>
        </w:rPr>
        <w:t>13</w:t>
      </w:r>
    </w:p>
    <w:p w:rsidR="00000000" w:rsidRDefault="00C56D69">
      <w:pPr>
        <w:rPr>
          <w:rFonts w:eastAsia="Times New Roman"/>
        </w:rPr>
      </w:pPr>
      <w:r>
        <w:rPr>
          <w:rFonts w:eastAsia="Times New Roman"/>
        </w:rPr>
        <w:pict>
          <v:rect id="_x0000_i1039" style="width:0;height:1.5pt" o:hralign="center" o:hrstd="t" o:hr="t" fillcolor="#a0a0a0" stroked="f"/>
        </w:pict>
      </w:r>
    </w:p>
    <w:p w:rsidR="00000000" w:rsidRDefault="00C56D69">
      <w:pPr>
        <w:divId w:val="34525479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819032905"/>
        <w:rPr>
          <w:rFonts w:eastAsia="Times New Roman"/>
        </w:rPr>
      </w:pPr>
      <w:r>
        <w:rPr>
          <w:rFonts w:eastAsia="Times New Roman"/>
          <w:b/>
          <w:bCs/>
          <w:color w:val="000000"/>
          <w:sz w:val="20"/>
          <w:szCs w:val="20"/>
        </w:rPr>
        <w:t>EQUITABLE HOLDINGS, INC.</w:t>
      </w:r>
    </w:p>
    <w:p w:rsidR="00000000" w:rsidRDefault="00C56D69">
      <w:pPr>
        <w:jc w:val="center"/>
        <w:divId w:val="181903290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819032905"/>
        <w:rPr>
          <w:rFonts w:eastAsia="Times New Roman"/>
        </w:rPr>
      </w:pPr>
    </w:p>
    <w:p w:rsidR="00000000" w:rsidRDefault="00C56D69">
      <w:pPr>
        <w:divId w:val="919563810"/>
        <w:rPr>
          <w:rFonts w:eastAsia="Times New Roman"/>
        </w:rPr>
      </w:pPr>
      <w:r>
        <w:rPr>
          <w:rFonts w:eastAsia="Times New Roman"/>
          <w:color w:val="000000"/>
          <w:sz w:val="20"/>
          <w:szCs w:val="20"/>
        </w:rPr>
        <w:t>future date prior to maturity at a fixed and deter</w:t>
      </w:r>
      <w:r>
        <w:rPr>
          <w:rFonts w:eastAsia="Times New Roman"/>
          <w:color w:val="000000"/>
          <w:sz w:val="20"/>
          <w:szCs w:val="20"/>
        </w:rPr>
        <w:t>minable price. Securities sold under agreements to repurchase</w:t>
      </w:r>
    </w:p>
    <w:p w:rsidR="00000000" w:rsidRDefault="00C56D69">
      <w:pPr>
        <w:divId w:val="1153566755"/>
        <w:rPr>
          <w:rFonts w:eastAsia="Times New Roman"/>
        </w:rPr>
      </w:pPr>
      <w:r>
        <w:rPr>
          <w:rFonts w:eastAsia="Times New Roman"/>
          <w:color w:val="000000"/>
          <w:sz w:val="20"/>
          <w:szCs w:val="20"/>
        </w:rPr>
        <w:t xml:space="preserve">transactions are conducted by the Company under a standardized securities industry master agreement, amended to suit </w:t>
      </w:r>
    </w:p>
    <w:p w:rsidR="00000000" w:rsidRDefault="00C56D69">
      <w:pPr>
        <w:divId w:val="930161999"/>
        <w:rPr>
          <w:rFonts w:eastAsia="Times New Roman"/>
        </w:rPr>
      </w:pPr>
      <w:r>
        <w:rPr>
          <w:rFonts w:eastAsia="Times New Roman"/>
          <w:color w:val="000000"/>
          <w:sz w:val="20"/>
          <w:szCs w:val="20"/>
        </w:rPr>
        <w:t>the requirements of each respective counterparty. Transfers of securities un</w:t>
      </w:r>
      <w:r>
        <w:rPr>
          <w:rFonts w:eastAsia="Times New Roman"/>
          <w:color w:val="000000"/>
          <w:sz w:val="20"/>
          <w:szCs w:val="20"/>
        </w:rPr>
        <w:t xml:space="preserve">der these agreements to repurchase </w:t>
      </w:r>
    </w:p>
    <w:p w:rsidR="00000000" w:rsidRDefault="00C56D69">
      <w:pPr>
        <w:divId w:val="1717503713"/>
        <w:rPr>
          <w:rFonts w:eastAsia="Times New Roman"/>
        </w:rPr>
      </w:pPr>
      <w:r>
        <w:rPr>
          <w:rFonts w:eastAsia="Times New Roman"/>
          <w:color w:val="000000"/>
          <w:sz w:val="20"/>
          <w:szCs w:val="20"/>
        </w:rPr>
        <w:t xml:space="preserve">are evaluated by the Company to determine whether they satisfy the criteria for accounting treatment as secured </w:t>
      </w:r>
    </w:p>
    <w:p w:rsidR="00000000" w:rsidRDefault="00C56D69">
      <w:pPr>
        <w:divId w:val="7607486"/>
        <w:rPr>
          <w:rFonts w:eastAsia="Times New Roman"/>
        </w:rPr>
      </w:pPr>
      <w:r>
        <w:rPr>
          <w:rFonts w:eastAsia="Times New Roman"/>
          <w:color w:val="000000"/>
          <w:sz w:val="20"/>
          <w:szCs w:val="20"/>
        </w:rPr>
        <w:t xml:space="preserve">borrowing arrangements. Agreements not meeting the criteria would require recognition of the transferred </w:t>
      </w:r>
    </w:p>
    <w:p w:rsidR="00000000" w:rsidRDefault="00C56D69">
      <w:pPr>
        <w:divId w:val="1229148386"/>
        <w:rPr>
          <w:rFonts w:eastAsia="Times New Roman"/>
        </w:rPr>
      </w:pPr>
      <w:r>
        <w:rPr>
          <w:rFonts w:eastAsia="Times New Roman"/>
          <w:color w:val="000000"/>
          <w:sz w:val="20"/>
          <w:szCs w:val="20"/>
        </w:rPr>
        <w:t>s</w:t>
      </w:r>
      <w:r>
        <w:rPr>
          <w:rFonts w:eastAsia="Times New Roman"/>
          <w:color w:val="000000"/>
          <w:sz w:val="20"/>
          <w:szCs w:val="20"/>
        </w:rPr>
        <w:t xml:space="preserve">ecurities as sales with related forward repurchase commitments. All of the Company’s securities repurchase transactions are accounted for as secured borrowings with the related obligations distinctly captioned in the consolidated balance sheets on a gross </w:t>
      </w:r>
      <w:r>
        <w:rPr>
          <w:rFonts w:eastAsia="Times New Roman"/>
          <w:color w:val="000000"/>
          <w:sz w:val="20"/>
          <w:szCs w:val="20"/>
        </w:rPr>
        <w:t>basis. As of September 30, 2022 and December 31, 2021, the Company had no Securities sold under agreements to repurchase outstanding. During the year ended December 31, 2021 there was no activity on Securities sold under agreements to repurchase.</w:t>
      </w:r>
    </w:p>
    <w:p w:rsidR="00000000" w:rsidRDefault="00C56D69">
      <w:pPr>
        <w:divId w:val="330647523"/>
        <w:rPr>
          <w:rFonts w:eastAsia="Times New Roman"/>
        </w:rPr>
      </w:pPr>
      <w:r>
        <w:rPr>
          <w:rFonts w:eastAsia="Times New Roman"/>
          <w:color w:val="000000"/>
          <w:sz w:val="20"/>
          <w:szCs w:val="20"/>
          <w:u w:val="single"/>
        </w:rPr>
        <w:t>Accountin</w:t>
      </w:r>
      <w:r>
        <w:rPr>
          <w:rFonts w:eastAsia="Times New Roman"/>
          <w:color w:val="000000"/>
          <w:sz w:val="20"/>
          <w:szCs w:val="20"/>
          <w:u w:val="single"/>
        </w:rPr>
        <w:t>g and Consolidation of VIEs</w:t>
      </w:r>
    </w:p>
    <w:p w:rsidR="00000000" w:rsidRDefault="00C56D69">
      <w:pPr>
        <w:divId w:val="1713142570"/>
        <w:rPr>
          <w:rFonts w:eastAsia="Times New Roman"/>
        </w:rPr>
      </w:pPr>
      <w:r>
        <w:rPr>
          <w:rFonts w:eastAsia="Times New Roman"/>
          <w:color w:val="000000"/>
          <w:sz w:val="20"/>
          <w:szCs w:val="20"/>
        </w:rPr>
        <w:t xml:space="preserve">For all new investment products and entities developed by the Company, the Company first determines whether the entity is a VIE, which involves determining an entity’s variability and variable interests, identifying the holders </w:t>
      </w:r>
      <w:r>
        <w:rPr>
          <w:rFonts w:eastAsia="Times New Roman"/>
          <w:color w:val="000000"/>
          <w:sz w:val="20"/>
          <w:szCs w:val="20"/>
        </w:rPr>
        <w:t>of the equity investment at risk and assessing the five characteristics of a VIE. Once an entity has been determined to be a VIE, the Company then determines whether it is the primary beneficiary of the VIE based on its beneficial interests. If the Company</w:t>
      </w:r>
      <w:r>
        <w:rPr>
          <w:rFonts w:eastAsia="Times New Roman"/>
          <w:color w:val="000000"/>
          <w:sz w:val="20"/>
          <w:szCs w:val="20"/>
        </w:rPr>
        <w:t xml:space="preserve"> is deemed to be the primary beneficiary of the VIE, then the Company consolidates the entity.</w:t>
      </w:r>
    </w:p>
    <w:p w:rsidR="00000000" w:rsidRDefault="00C56D69">
      <w:pPr>
        <w:divId w:val="662200720"/>
        <w:rPr>
          <w:rFonts w:eastAsia="Times New Roman"/>
        </w:rPr>
      </w:pPr>
      <w:r>
        <w:rPr>
          <w:rFonts w:eastAsia="Times New Roman"/>
          <w:color w:val="000000"/>
          <w:sz w:val="20"/>
          <w:szCs w:val="20"/>
        </w:rPr>
        <w:t xml:space="preserve">Management of the Company reviews quarterly its investment management agreements and its investments in, and other financial arrangements with, certain entities </w:t>
      </w:r>
      <w:r>
        <w:rPr>
          <w:rFonts w:eastAsia="Times New Roman"/>
          <w:color w:val="000000"/>
          <w:sz w:val="20"/>
          <w:szCs w:val="20"/>
        </w:rPr>
        <w:t>that hold client AUM to determine the entities that the Company is required to consolidate under this guidance. These entities include certain mutual fund products, hedge funds, structured products, group trusts, collective investment trusts and limited pa</w:t>
      </w:r>
      <w:r>
        <w:rPr>
          <w:rFonts w:eastAsia="Times New Roman"/>
          <w:color w:val="000000"/>
          <w:sz w:val="20"/>
          <w:szCs w:val="20"/>
        </w:rPr>
        <w:t>rtnerships.</w:t>
      </w:r>
    </w:p>
    <w:p w:rsidR="00000000" w:rsidRDefault="00C56D69">
      <w:pPr>
        <w:divId w:val="1914657308"/>
        <w:rPr>
          <w:rFonts w:eastAsia="Times New Roman"/>
        </w:rPr>
      </w:pPr>
      <w:r>
        <w:rPr>
          <w:rFonts w:eastAsia="Times New Roman"/>
          <w:color w:val="000000"/>
          <w:sz w:val="20"/>
          <w:szCs w:val="20"/>
        </w:rPr>
        <w:t xml:space="preserve">The analysis performed to identify variable interests held, determine whether entities are VIEs or VOEs, and evaluate whether the Company has a controlling financial interest in such entities requires the exercise of judgment and is updated on </w:t>
      </w:r>
      <w:r>
        <w:rPr>
          <w:rFonts w:eastAsia="Times New Roman"/>
          <w:color w:val="000000"/>
          <w:sz w:val="20"/>
          <w:szCs w:val="20"/>
        </w:rPr>
        <w:t>a continuous basis as circumstances change or new entities are developed. The primary beneficiary evaluation generally is performed qualitatively based on all facts and circumstances, including consideration of economic interests in the VIE held directly a</w:t>
      </w:r>
      <w:r>
        <w:rPr>
          <w:rFonts w:eastAsia="Times New Roman"/>
          <w:color w:val="000000"/>
          <w:sz w:val="20"/>
          <w:szCs w:val="20"/>
        </w:rPr>
        <w:t>nd indirectly through related parties and entities under common control, as well as quantitatively, as appropriate.</w:t>
      </w:r>
    </w:p>
    <w:p w:rsidR="00000000" w:rsidRDefault="00C56D69">
      <w:pPr>
        <w:jc w:val="both"/>
        <w:divId w:val="2115318335"/>
        <w:rPr>
          <w:rFonts w:eastAsia="Times New Roman"/>
        </w:rPr>
      </w:pPr>
      <w:r>
        <w:rPr>
          <w:rFonts w:eastAsia="Times New Roman"/>
          <w:b/>
          <w:bCs/>
          <w:i/>
          <w:iCs/>
          <w:color w:val="000000"/>
          <w:sz w:val="20"/>
          <w:szCs w:val="20"/>
        </w:rPr>
        <w:t>Consolidated VIEs</w:t>
      </w:r>
    </w:p>
    <w:p w:rsidR="00000000" w:rsidRDefault="00C56D69">
      <w:pPr>
        <w:jc w:val="both"/>
        <w:divId w:val="836306347"/>
        <w:rPr>
          <w:rFonts w:eastAsia="Times New Roman"/>
        </w:rPr>
      </w:pPr>
      <w:r>
        <w:rPr>
          <w:rFonts w:eastAsia="Times New Roman"/>
          <w:color w:val="000000"/>
          <w:sz w:val="20"/>
          <w:szCs w:val="20"/>
          <w:u w:val="single"/>
        </w:rPr>
        <w:t>Consolidated CLOs</w:t>
      </w:r>
    </w:p>
    <w:p w:rsidR="00000000" w:rsidRDefault="00C56D69">
      <w:pPr>
        <w:divId w:val="2103795414"/>
        <w:rPr>
          <w:rFonts w:eastAsia="Times New Roman"/>
        </w:rPr>
      </w:pPr>
      <w:r>
        <w:rPr>
          <w:rFonts w:eastAsia="Times New Roman"/>
          <w:color w:val="000000"/>
          <w:sz w:val="20"/>
          <w:szCs w:val="20"/>
        </w:rPr>
        <w:t>The Company is the investment manager of certain asset-backed investment vehicles, commonly referred to as CLOs, and certain other vehicles for which the Company earns fee income for investment management services. The Company may sell or syndicate investm</w:t>
      </w:r>
      <w:r>
        <w:rPr>
          <w:rFonts w:eastAsia="Times New Roman"/>
          <w:color w:val="000000"/>
          <w:sz w:val="20"/>
          <w:szCs w:val="20"/>
        </w:rPr>
        <w:t>ents through these vehicles, principally as part of the strategic investing activity as part of its investment management businesses. Additionally, the Company may invest in securities issued by these vehicles which are eliminated in consolidation of the C</w:t>
      </w:r>
      <w:r>
        <w:rPr>
          <w:rFonts w:eastAsia="Times New Roman"/>
          <w:color w:val="000000"/>
          <w:sz w:val="20"/>
          <w:szCs w:val="20"/>
        </w:rPr>
        <w:t xml:space="preserve">LOs. </w:t>
      </w:r>
    </w:p>
    <w:p w:rsidR="00000000" w:rsidRDefault="00C56D69">
      <w:pPr>
        <w:divId w:val="1568804303"/>
        <w:rPr>
          <w:rFonts w:eastAsia="Times New Roman"/>
        </w:rPr>
      </w:pPr>
      <w:r>
        <w:rPr>
          <w:rFonts w:eastAsia="Times New Roman"/>
          <w:color w:val="000000"/>
          <w:sz w:val="20"/>
          <w:szCs w:val="20"/>
        </w:rPr>
        <w:t>As of September 30, 2022 and December 31, 2021, respectively, Equitable Financial holds $93 million and $109 million of equity interests in the CLOs. The Company consolidated the CLOs as of September 30, 2022 and December 31, 2021 as it is the primar</w:t>
      </w:r>
      <w:r>
        <w:rPr>
          <w:rFonts w:eastAsia="Times New Roman"/>
          <w:color w:val="000000"/>
          <w:sz w:val="20"/>
          <w:szCs w:val="20"/>
        </w:rPr>
        <w:t>y beneficiary due to the combination of both its equity interest held by Equitable Financial and the majority ownership of AB, which functions as the CLOs loan manager. The assets of the CLOs are legally isolated from the Company’s creditors and can only b</w:t>
      </w:r>
      <w:r>
        <w:rPr>
          <w:rFonts w:eastAsia="Times New Roman"/>
          <w:color w:val="000000"/>
          <w:sz w:val="20"/>
          <w:szCs w:val="20"/>
        </w:rPr>
        <w:t>e used to settle obligations of the CLOs. The liabilities of the CLOs are non-recourse to the Company and the Company has no obligation to satisfy the liabilities of the CLOs. As of September 30, 2022, Equitable Financial holds $67 million of equity intere</w:t>
      </w:r>
      <w:r>
        <w:rPr>
          <w:rFonts w:eastAsia="Times New Roman"/>
          <w:color w:val="000000"/>
          <w:sz w:val="20"/>
          <w:szCs w:val="20"/>
        </w:rPr>
        <w:t>sts in a SPE established to purchase loans from the market in anticipation of a new CLO transaction. The Company consolidated the SPE as of September 30, 2022 as it is the primary beneficiary due to the combination of both its equity interest held by Equit</w:t>
      </w:r>
      <w:r>
        <w:rPr>
          <w:rFonts w:eastAsia="Times New Roman"/>
          <w:color w:val="000000"/>
          <w:sz w:val="20"/>
          <w:szCs w:val="20"/>
        </w:rPr>
        <w:t>able Financial and the majority ownership of AB, which functions as the SPE loan manager.</w:t>
      </w:r>
    </w:p>
    <w:p w:rsidR="00000000" w:rsidRDefault="00C56D69">
      <w:pPr>
        <w:divId w:val="1249078404"/>
        <w:rPr>
          <w:rFonts w:eastAsia="Times New Roman"/>
        </w:rPr>
      </w:pPr>
      <w:r>
        <w:rPr>
          <w:rFonts w:eastAsia="Times New Roman"/>
          <w:color w:val="000000"/>
          <w:sz w:val="20"/>
          <w:szCs w:val="20"/>
        </w:rPr>
        <w:t>Resulting from this consolidation in the Company’s consolidated balance sheets are fixed maturities, at fair value using the fair value option with total assets of $1</w:t>
      </w:r>
      <w:r>
        <w:rPr>
          <w:rFonts w:eastAsia="Times New Roman"/>
          <w:color w:val="000000"/>
          <w:sz w:val="20"/>
          <w:szCs w:val="20"/>
        </w:rPr>
        <w:t>.5 billion and $1.6 billion notes issued by consolidated variable interest entities, at fair value using the fair value option with total liabilities of $1.2 billion and $1.2 billion at September 30, 2022 and December 31, 2021, respectively</w:t>
      </w:r>
      <w:r>
        <w:rPr>
          <w:rFonts w:eastAsia="Times New Roman"/>
          <w:color w:val="FF0000"/>
          <w:sz w:val="20"/>
          <w:szCs w:val="20"/>
        </w:rPr>
        <w:t>.</w:t>
      </w:r>
      <w:r>
        <w:rPr>
          <w:rFonts w:eastAsia="Times New Roman"/>
          <w:color w:val="000000"/>
          <w:sz w:val="20"/>
          <w:szCs w:val="20"/>
        </w:rPr>
        <w:t xml:space="preserve"> The unpaid out</w:t>
      </w:r>
      <w:r>
        <w:rPr>
          <w:rFonts w:eastAsia="Times New Roman"/>
          <w:color w:val="000000"/>
          <w:sz w:val="20"/>
          <w:szCs w:val="20"/>
        </w:rPr>
        <w:t>standing principal balance of the notes and short-term borrowing is $1.4 billion and $1.3 billion at September 30, 2022 and December 31, 2021.</w:t>
      </w:r>
    </w:p>
    <w:p w:rsidR="00000000" w:rsidRDefault="00C56D69">
      <w:pPr>
        <w:jc w:val="both"/>
        <w:divId w:val="734857042"/>
        <w:rPr>
          <w:rFonts w:eastAsia="Times New Roman"/>
        </w:rPr>
      </w:pPr>
      <w:r>
        <w:rPr>
          <w:rFonts w:eastAsia="Times New Roman"/>
          <w:color w:val="000000"/>
          <w:sz w:val="20"/>
          <w:szCs w:val="20"/>
          <w:u w:val="single"/>
        </w:rPr>
        <w:t>Consolidated Limited Partnerships and LLCs</w:t>
      </w:r>
    </w:p>
    <w:p w:rsidR="00000000" w:rsidRDefault="00C56D69">
      <w:pPr>
        <w:jc w:val="center"/>
        <w:divId w:val="1436708050"/>
        <w:rPr>
          <w:rFonts w:eastAsia="Times New Roman"/>
        </w:rPr>
      </w:pPr>
      <w:r>
        <w:rPr>
          <w:rFonts w:eastAsia="Times New Roman"/>
          <w:color w:val="000000"/>
          <w:sz w:val="20"/>
          <w:szCs w:val="20"/>
        </w:rPr>
        <w:t>14</w:t>
      </w:r>
    </w:p>
    <w:p w:rsidR="00000000" w:rsidRDefault="00C56D69">
      <w:pPr>
        <w:rPr>
          <w:rFonts w:eastAsia="Times New Roman"/>
        </w:rPr>
      </w:pPr>
      <w:r>
        <w:rPr>
          <w:rFonts w:eastAsia="Times New Roman"/>
        </w:rPr>
        <w:pict>
          <v:rect id="_x0000_i1040" style="width:0;height:1.5pt" o:hralign="center" o:hrstd="t" o:hr="t" fillcolor="#a0a0a0" stroked="f"/>
        </w:pict>
      </w:r>
    </w:p>
    <w:p w:rsidR="00000000" w:rsidRDefault="00C56D69">
      <w:pPr>
        <w:divId w:val="97780294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589240563"/>
        <w:rPr>
          <w:rFonts w:eastAsia="Times New Roman"/>
        </w:rPr>
      </w:pPr>
      <w:r>
        <w:rPr>
          <w:rFonts w:eastAsia="Times New Roman"/>
          <w:b/>
          <w:bCs/>
          <w:color w:val="000000"/>
          <w:sz w:val="20"/>
          <w:szCs w:val="20"/>
        </w:rPr>
        <w:t>EQUITABLE HOLDINGS, INC.</w:t>
      </w:r>
    </w:p>
    <w:p w:rsidR="00000000" w:rsidRDefault="00C56D69">
      <w:pPr>
        <w:jc w:val="center"/>
        <w:divId w:val="58924056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589240563"/>
        <w:rPr>
          <w:rFonts w:eastAsia="Times New Roman"/>
        </w:rPr>
      </w:pPr>
    </w:p>
    <w:p w:rsidR="00000000" w:rsidRDefault="00C56D69">
      <w:pPr>
        <w:divId w:val="910773115"/>
        <w:rPr>
          <w:rFonts w:eastAsia="Times New Roman"/>
        </w:rPr>
      </w:pPr>
      <w:r>
        <w:rPr>
          <w:rFonts w:eastAsia="Times New Roman"/>
          <w:color w:val="000000"/>
          <w:sz w:val="20"/>
          <w:szCs w:val="20"/>
        </w:rPr>
        <w:t>As of September 30, 2022 and December 31, 2021 the Company consolidated limited partnerships and LLCs for which it w</w:t>
      </w:r>
      <w:r>
        <w:rPr>
          <w:rFonts w:eastAsia="Times New Roman"/>
          <w:color w:val="000000"/>
          <w:sz w:val="20"/>
          <w:szCs w:val="20"/>
        </w:rPr>
        <w:t>as identified as the primary beneficiary under the VIE model. Included in Other invested assets, Mortgage loans on real estate, Other equity investments, Trading securities, cash and other liabilities in the Company’s consolidated balance sheets at Septemb</w:t>
      </w:r>
      <w:r>
        <w:rPr>
          <w:rFonts w:eastAsia="Times New Roman"/>
          <w:color w:val="000000"/>
          <w:sz w:val="20"/>
          <w:szCs w:val="20"/>
        </w:rPr>
        <w:t>er 30, 2022 and December 31, 2021 are total net assets of $562 million and $219 million, respectively related to these VIEs.</w:t>
      </w:r>
    </w:p>
    <w:p w:rsidR="00000000" w:rsidRDefault="00C56D69">
      <w:pPr>
        <w:jc w:val="both"/>
        <w:divId w:val="1337226459"/>
        <w:rPr>
          <w:rFonts w:eastAsia="Times New Roman"/>
        </w:rPr>
      </w:pPr>
      <w:r>
        <w:rPr>
          <w:rFonts w:eastAsia="Times New Roman"/>
          <w:b/>
          <w:bCs/>
          <w:i/>
          <w:iCs/>
          <w:color w:val="000000"/>
          <w:sz w:val="20"/>
          <w:szCs w:val="20"/>
        </w:rPr>
        <w:t>Consolidated AB-Sponsored Investment Funds</w:t>
      </w:r>
    </w:p>
    <w:p w:rsidR="00000000" w:rsidRDefault="00C56D69">
      <w:pPr>
        <w:divId w:val="451751179"/>
        <w:rPr>
          <w:rFonts w:eastAsia="Times New Roman"/>
        </w:rPr>
      </w:pPr>
      <w:r>
        <w:rPr>
          <w:rFonts w:eastAsia="Times New Roman"/>
          <w:color w:val="000000"/>
          <w:sz w:val="20"/>
          <w:szCs w:val="20"/>
        </w:rPr>
        <w:t>Included in the Company’</w:t>
      </w:r>
      <w:r>
        <w:rPr>
          <w:rFonts w:eastAsia="Times New Roman"/>
          <w:color w:val="000000"/>
          <w:sz w:val="20"/>
          <w:szCs w:val="20"/>
        </w:rPr>
        <w:t xml:space="preserve">s consolidated balance sheet as of September 30, 2022 and December 31, 2021 are assets of </w:t>
      </w:r>
      <w:r>
        <w:rPr>
          <w:rFonts w:eastAsia="Times New Roman"/>
          <w:color w:val="000000"/>
          <w:sz w:val="20"/>
          <w:szCs w:val="20"/>
          <w:shd w:val="clear" w:color="auto" w:fill="FFFFFF"/>
        </w:rPr>
        <w:t>$477 million and $734 million, liabilities of $26 million and $87 million, and redeemable noncontrolling interests of $310 million and $421 million</w:t>
      </w:r>
      <w:r>
        <w:rPr>
          <w:rFonts w:eastAsia="Times New Roman"/>
          <w:color w:val="000000"/>
          <w:sz w:val="20"/>
          <w:szCs w:val="20"/>
        </w:rPr>
        <w:t>, respectively, ass</w:t>
      </w:r>
      <w:r>
        <w:rPr>
          <w:rFonts w:eastAsia="Times New Roman"/>
          <w:color w:val="000000"/>
          <w:sz w:val="20"/>
          <w:szCs w:val="20"/>
        </w:rPr>
        <w:t>ociated with the consolidation of AB-sponsored investment funds under the VIE mode</w:t>
      </w:r>
      <w:r>
        <w:rPr>
          <w:rFonts w:eastAsia="Times New Roman"/>
          <w:color w:val="000000"/>
          <w:sz w:val="20"/>
          <w:szCs w:val="20"/>
          <w:shd w:val="clear" w:color="auto" w:fill="FFFFFF"/>
        </w:rPr>
        <w:t xml:space="preserve">l. Also included in the Company’s consolidated balance sheets as of </w:t>
      </w:r>
      <w:r>
        <w:rPr>
          <w:rFonts w:eastAsia="Times New Roman"/>
          <w:color w:val="000000"/>
          <w:sz w:val="20"/>
          <w:szCs w:val="20"/>
        </w:rPr>
        <w:t>September 30, 2022</w:t>
      </w:r>
      <w:r>
        <w:rPr>
          <w:rFonts w:eastAsia="Times New Roman"/>
          <w:color w:val="000000"/>
          <w:sz w:val="20"/>
          <w:szCs w:val="20"/>
          <w:shd w:val="clear" w:color="auto" w:fill="FFFFFF"/>
        </w:rPr>
        <w:t xml:space="preserve"> and </w:t>
      </w:r>
      <w:r>
        <w:rPr>
          <w:rFonts w:eastAsia="Times New Roman"/>
          <w:color w:val="000000"/>
          <w:sz w:val="20"/>
          <w:szCs w:val="20"/>
        </w:rPr>
        <w:t>December 31, 2021</w:t>
      </w:r>
      <w:r>
        <w:rPr>
          <w:rFonts w:eastAsia="Times New Roman"/>
          <w:color w:val="000000"/>
          <w:sz w:val="20"/>
          <w:szCs w:val="20"/>
          <w:shd w:val="clear" w:color="auto" w:fill="FFFFFF"/>
        </w:rPr>
        <w:t xml:space="preserve"> are assets of $28 million and $0 million, liabilities of $2 milli</w:t>
      </w:r>
      <w:r>
        <w:rPr>
          <w:rFonts w:eastAsia="Times New Roman"/>
          <w:color w:val="000000"/>
          <w:sz w:val="20"/>
          <w:szCs w:val="20"/>
          <w:shd w:val="clear" w:color="auto" w:fill="FFFFFF"/>
        </w:rPr>
        <w:t>on and $0 million, and redeemable noncontrolling interests of $2 million and $0 million, respectively, from consolidation of AB-sponsored investment funds under the VOE model</w:t>
      </w:r>
      <w:r>
        <w:rPr>
          <w:rFonts w:ascii="Calibri" w:eastAsia="Times New Roman" w:hAnsi="Calibri" w:cs="Calibri"/>
          <w:color w:val="000000"/>
        </w:rPr>
        <w:t>.</w:t>
      </w:r>
      <w:r>
        <w:rPr>
          <w:rFonts w:eastAsia="Times New Roman"/>
          <w:color w:val="000000"/>
          <w:sz w:val="20"/>
          <w:szCs w:val="20"/>
        </w:rPr>
        <w:t xml:space="preserve"> </w:t>
      </w:r>
      <w:r>
        <w:rPr>
          <w:rFonts w:eastAsia="Times New Roman"/>
          <w:color w:val="000000"/>
          <w:sz w:val="20"/>
          <w:szCs w:val="20"/>
        </w:rPr>
        <w:t>The assets of these consolidated funds are presented within other invested assets and cash and cash equivalents, and liabilities of these consolidated funds are presented with other liabilities in the Company’s consolidated balance sheets; ownership intere</w:t>
      </w:r>
      <w:r>
        <w:rPr>
          <w:rFonts w:eastAsia="Times New Roman"/>
          <w:color w:val="000000"/>
          <w:sz w:val="20"/>
          <w:szCs w:val="20"/>
        </w:rPr>
        <w:t>sts not held by the Company relating to consolidated VIEs and VOEs are presented either as redeemable or non-redeemable noncontrolling interests, as appropriate. Redeemable noncontrolling interests are presented in mezzanine equity and non-redeemable nonco</w:t>
      </w:r>
      <w:r>
        <w:rPr>
          <w:rFonts w:eastAsia="Times New Roman"/>
          <w:color w:val="000000"/>
          <w:sz w:val="20"/>
          <w:szCs w:val="20"/>
        </w:rPr>
        <w:t>ntrolling interests are presented within permanent equity. The Company is not required to provide financial support to these AB-sponsored investment funds, and only the assets of such funds are available to settle each fund’s own liabilities.</w:t>
      </w:r>
    </w:p>
    <w:p w:rsidR="00000000" w:rsidRDefault="00C56D69">
      <w:pPr>
        <w:jc w:val="both"/>
        <w:divId w:val="198782710"/>
        <w:rPr>
          <w:rFonts w:eastAsia="Times New Roman"/>
        </w:rPr>
      </w:pPr>
      <w:r>
        <w:rPr>
          <w:rFonts w:eastAsia="Times New Roman"/>
          <w:b/>
          <w:bCs/>
          <w:i/>
          <w:iCs/>
          <w:color w:val="000000"/>
          <w:sz w:val="20"/>
          <w:szCs w:val="20"/>
        </w:rPr>
        <w:t>Non-Consolida</w:t>
      </w:r>
      <w:r>
        <w:rPr>
          <w:rFonts w:eastAsia="Times New Roman"/>
          <w:b/>
          <w:bCs/>
          <w:i/>
          <w:iCs/>
          <w:color w:val="000000"/>
          <w:sz w:val="20"/>
          <w:szCs w:val="20"/>
        </w:rPr>
        <w:t>ted VIEs</w:t>
      </w:r>
    </w:p>
    <w:p w:rsidR="00000000" w:rsidRDefault="00C56D69">
      <w:pPr>
        <w:divId w:val="783573888"/>
        <w:rPr>
          <w:rFonts w:eastAsia="Times New Roman"/>
        </w:rPr>
      </w:pPr>
      <w:r>
        <w:rPr>
          <w:rFonts w:eastAsia="Times New Roman"/>
          <w:color w:val="000000"/>
          <w:sz w:val="20"/>
          <w:szCs w:val="20"/>
        </w:rPr>
        <w:t xml:space="preserve">As of September 30, 2022 and December 31, 2021 respectively, the Company held approximately $2.3 billion and $2.1 billion of investment assets in the form of equity interests issued by non-corporate legal entities determined under the guidance to </w:t>
      </w:r>
      <w:r>
        <w:rPr>
          <w:rFonts w:eastAsia="Times New Roman"/>
          <w:color w:val="000000"/>
          <w:sz w:val="20"/>
          <w:szCs w:val="20"/>
        </w:rPr>
        <w:t xml:space="preserve">be VIEs, such as limited partnerships and limited liability companies, including CLOs, hedge funds, private equity funds and real estate-related funds. As an equity investor, the Company is considered to have a variable interest in each of these VIEs as a </w:t>
      </w:r>
      <w:r>
        <w:rPr>
          <w:rFonts w:eastAsia="Times New Roman"/>
          <w:color w:val="000000"/>
          <w:sz w:val="20"/>
          <w:szCs w:val="20"/>
        </w:rPr>
        <w:t>result of its participation in the risks and/or rewards these funds were designed to create by their defined portfolio objectives and strategies. Primarily through qualitative assessment, including consideration of related party interests or other financia</w:t>
      </w:r>
      <w:r>
        <w:rPr>
          <w:rFonts w:eastAsia="Times New Roman"/>
          <w:color w:val="000000"/>
          <w:sz w:val="20"/>
          <w:szCs w:val="20"/>
        </w:rPr>
        <w:t>l arrangements, if any, the Company was not identified as primary beneficiary of any of these VIEs, largely due to its inability to direct the activities that most significantly impact their economic performance. Consequently, the Company continues to refl</w:t>
      </w:r>
      <w:r>
        <w:rPr>
          <w:rFonts w:eastAsia="Times New Roman"/>
          <w:color w:val="000000"/>
          <w:sz w:val="20"/>
          <w:szCs w:val="20"/>
        </w:rPr>
        <w:t xml:space="preserve">ect these equity interests in the consolidated balance sheets as other equity investments and applies the equity method of accounting for these positions. The net assets of these non-consolidated VIEs are approximately $278.9 billion and $245.6 billion as </w:t>
      </w:r>
      <w:r>
        <w:rPr>
          <w:rFonts w:eastAsia="Times New Roman"/>
          <w:color w:val="000000"/>
          <w:sz w:val="20"/>
          <w:szCs w:val="20"/>
        </w:rPr>
        <w:t>of September 30, 2022 and December 31, 2021 respectively. The Company’s maximum exposure to loss from its direct involvement with these VIEs is the carrying value of its investment of $2.3 billion and $2.1 billion and approximately $1.3 billion and $1.2 bi</w:t>
      </w:r>
      <w:r>
        <w:rPr>
          <w:rFonts w:eastAsia="Times New Roman"/>
          <w:color w:val="000000"/>
          <w:sz w:val="20"/>
          <w:szCs w:val="20"/>
        </w:rPr>
        <w:t>llion of unfunded commitments as of September 30, 2022 and December 31, 2021, respectively. The Company has no further economic interest in these VIEs in the form of guarantees, derivatives, credit enhancements or similar instruments and obligations.</w:t>
      </w:r>
    </w:p>
    <w:p w:rsidR="00000000" w:rsidRDefault="00C56D69">
      <w:pPr>
        <w:jc w:val="both"/>
        <w:divId w:val="1316446762"/>
        <w:rPr>
          <w:rFonts w:eastAsia="Times New Roman"/>
        </w:rPr>
      </w:pPr>
      <w:r>
        <w:rPr>
          <w:rFonts w:eastAsia="Times New Roman"/>
          <w:b/>
          <w:bCs/>
          <w:i/>
          <w:iCs/>
          <w:color w:val="000000"/>
          <w:sz w:val="20"/>
          <w:szCs w:val="20"/>
        </w:rPr>
        <w:t>Non-C</w:t>
      </w:r>
      <w:r>
        <w:rPr>
          <w:rFonts w:eastAsia="Times New Roman"/>
          <w:b/>
          <w:bCs/>
          <w:i/>
          <w:iCs/>
          <w:color w:val="000000"/>
          <w:sz w:val="20"/>
          <w:szCs w:val="20"/>
        </w:rPr>
        <w:t>onsolidated AB-Sponsored Investment Products</w:t>
      </w:r>
    </w:p>
    <w:p w:rsidR="00000000" w:rsidRDefault="00C56D69">
      <w:pPr>
        <w:divId w:val="2144956934"/>
        <w:rPr>
          <w:rFonts w:eastAsia="Times New Roman"/>
        </w:rPr>
      </w:pPr>
      <w:r>
        <w:rPr>
          <w:rFonts w:eastAsia="Times New Roman"/>
          <w:color w:val="000000"/>
          <w:sz w:val="20"/>
          <w:szCs w:val="20"/>
        </w:rPr>
        <w:t>As of September 30, 2022 and December 31, 2021, the net assets of investment products sponsored by AB that are non-consolidated VIEs are approximately $39.9 billion and $68.9 billion, respectively. The Company’s</w:t>
      </w:r>
      <w:r>
        <w:rPr>
          <w:rFonts w:eastAsia="Times New Roman"/>
          <w:color w:val="000000"/>
          <w:sz w:val="20"/>
          <w:szCs w:val="20"/>
        </w:rPr>
        <w:t xml:space="preserve"> maximum exposure to loss from its direct involvement with these VIEs is its investment of $5 million and $9 million as of September 30, 2022 and December 31, 2021. The Company has no further commitments to or economic interest in these VIEs.</w:t>
      </w:r>
    </w:p>
    <w:p w:rsidR="00000000" w:rsidRDefault="00C56D69">
      <w:pPr>
        <w:divId w:val="2142846812"/>
        <w:rPr>
          <w:rFonts w:eastAsia="Times New Roman"/>
        </w:rPr>
      </w:pPr>
      <w:r>
        <w:rPr>
          <w:rFonts w:eastAsia="Times New Roman"/>
          <w:color w:val="000000"/>
          <w:sz w:val="20"/>
          <w:szCs w:val="20"/>
          <w:u w:val="single"/>
        </w:rPr>
        <w:t>Assumption Up</w:t>
      </w:r>
      <w:r>
        <w:rPr>
          <w:rFonts w:eastAsia="Times New Roman"/>
          <w:color w:val="000000"/>
          <w:sz w:val="20"/>
          <w:szCs w:val="20"/>
          <w:u w:val="single"/>
        </w:rPr>
        <w:t>dates</w:t>
      </w:r>
    </w:p>
    <w:p w:rsidR="00000000" w:rsidRDefault="00C56D69">
      <w:pPr>
        <w:divId w:val="1068962419"/>
        <w:rPr>
          <w:rFonts w:eastAsia="Times New Roman"/>
        </w:rPr>
      </w:pPr>
      <w:r>
        <w:rPr>
          <w:rFonts w:eastAsia="Times New Roman"/>
          <w:color w:val="000000"/>
          <w:sz w:val="20"/>
          <w:szCs w:val="20"/>
        </w:rPr>
        <w:t>The Company conducts its annual review of its assumptions during the third quarter of each year. The annual review encompasses assumptions underlying the valuation of unearned revenue liabilities, embedded derivatives for our insurance business, liab</w:t>
      </w:r>
      <w:r>
        <w:rPr>
          <w:rFonts w:eastAsia="Times New Roman"/>
          <w:color w:val="000000"/>
          <w:sz w:val="20"/>
          <w:szCs w:val="20"/>
        </w:rPr>
        <w:t>ilities for future policyholder benefits, DAC and DSI assets.</w:t>
      </w:r>
    </w:p>
    <w:p w:rsidR="00000000" w:rsidRDefault="00C56D69">
      <w:pPr>
        <w:divId w:val="1395155806"/>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believes may have a signi</w:t>
      </w:r>
      <w:r>
        <w:rPr>
          <w:rFonts w:eastAsia="Times New Roman"/>
          <w:color w:val="000000"/>
          <w:sz w:val="20"/>
          <w:szCs w:val="20"/>
        </w:rPr>
        <w:t>ficant impact to the carrying value of product liabilities and assets and consequently materially impact its earnings in the period of the change.</w:t>
      </w:r>
    </w:p>
    <w:p w:rsidR="00000000" w:rsidRDefault="00C56D69">
      <w:pPr>
        <w:divId w:val="533806701"/>
        <w:rPr>
          <w:rFonts w:eastAsia="Times New Roman"/>
        </w:rPr>
      </w:pPr>
      <w:r>
        <w:rPr>
          <w:rFonts w:eastAsia="Times New Roman"/>
          <w:color w:val="000000"/>
          <w:sz w:val="20"/>
          <w:szCs w:val="20"/>
        </w:rPr>
        <w:t>The net impact of assumption changes in the three and nine months ended September 30, 2022 decreased policy c</w:t>
      </w:r>
      <w:r>
        <w:rPr>
          <w:rFonts w:eastAsia="Times New Roman"/>
          <w:color w:val="000000"/>
          <w:sz w:val="20"/>
          <w:szCs w:val="20"/>
        </w:rPr>
        <w:t xml:space="preserve">harges and fee income by $23 million, decreased policyholders’ benefits by $243 million, increased interest credited </w:t>
      </w:r>
    </w:p>
    <w:p w:rsidR="00000000" w:rsidRDefault="00C56D69">
      <w:pPr>
        <w:jc w:val="center"/>
        <w:divId w:val="131871082"/>
        <w:rPr>
          <w:rFonts w:eastAsia="Times New Roman"/>
        </w:rPr>
      </w:pPr>
      <w:r>
        <w:rPr>
          <w:rFonts w:eastAsia="Times New Roman"/>
          <w:color w:val="000000"/>
          <w:sz w:val="20"/>
          <w:szCs w:val="20"/>
        </w:rPr>
        <w:t>15</w:t>
      </w:r>
    </w:p>
    <w:p w:rsidR="00000000" w:rsidRDefault="00C56D69">
      <w:pPr>
        <w:rPr>
          <w:rFonts w:eastAsia="Times New Roman"/>
        </w:rPr>
      </w:pPr>
      <w:r>
        <w:rPr>
          <w:rFonts w:eastAsia="Times New Roman"/>
        </w:rPr>
        <w:pict>
          <v:rect id="_x0000_i1041" style="width:0;height:1.5pt" o:hralign="center" o:hrstd="t" o:hr="t" fillcolor="#a0a0a0" stroked="f"/>
        </w:pict>
      </w:r>
    </w:p>
    <w:p w:rsidR="00000000" w:rsidRDefault="00C56D69">
      <w:pPr>
        <w:divId w:val="201098208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592351596"/>
        <w:rPr>
          <w:rFonts w:eastAsia="Times New Roman"/>
        </w:rPr>
      </w:pPr>
      <w:r>
        <w:rPr>
          <w:rFonts w:eastAsia="Times New Roman"/>
          <w:b/>
          <w:bCs/>
          <w:color w:val="000000"/>
          <w:sz w:val="20"/>
          <w:szCs w:val="20"/>
        </w:rPr>
        <w:t>EQUITABLE HOLDINGS, I</w:t>
      </w:r>
      <w:r>
        <w:rPr>
          <w:rFonts w:eastAsia="Times New Roman"/>
          <w:b/>
          <w:bCs/>
          <w:color w:val="000000"/>
          <w:sz w:val="20"/>
          <w:szCs w:val="20"/>
        </w:rPr>
        <w:t>NC.</w:t>
      </w:r>
    </w:p>
    <w:p w:rsidR="00000000" w:rsidRDefault="00C56D69">
      <w:pPr>
        <w:jc w:val="center"/>
        <w:divId w:val="159235159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592351596"/>
        <w:rPr>
          <w:rFonts w:eastAsia="Times New Roman"/>
        </w:rPr>
      </w:pPr>
    </w:p>
    <w:p w:rsidR="00000000" w:rsidRDefault="00C56D69">
      <w:pPr>
        <w:divId w:val="1782871197"/>
        <w:rPr>
          <w:rFonts w:eastAsia="Times New Roman"/>
        </w:rPr>
      </w:pPr>
      <w:r>
        <w:rPr>
          <w:rFonts w:eastAsia="Times New Roman"/>
          <w:color w:val="000000"/>
          <w:sz w:val="20"/>
          <w:szCs w:val="20"/>
        </w:rPr>
        <w:t xml:space="preserve">to policyholder account balances by $1 million, increased net derivative losses by $80 million and decreased amortization of DAC by $43 million. This resulted in an increase in income </w:t>
      </w:r>
      <w:r>
        <w:rPr>
          <w:rFonts w:eastAsia="Times New Roman"/>
          <w:color w:val="000000"/>
          <w:sz w:val="20"/>
          <w:szCs w:val="20"/>
        </w:rPr>
        <w:t xml:space="preserve">(loss) from operations, before income taxes of $182 million and increased net income (loss) by $144 million. </w:t>
      </w:r>
    </w:p>
    <w:p w:rsidR="00000000" w:rsidRDefault="00C56D69">
      <w:pPr>
        <w:divId w:val="1473710708"/>
        <w:rPr>
          <w:rFonts w:eastAsia="Times New Roman"/>
        </w:rPr>
      </w:pPr>
      <w:r>
        <w:rPr>
          <w:rFonts w:eastAsia="Times New Roman"/>
          <w:color w:val="000000"/>
          <w:sz w:val="20"/>
          <w:szCs w:val="20"/>
        </w:rPr>
        <w:t>The net impact of assumption changes in the three and nine months ended September 30, 2021 decreased policy charges and fee income by $28 million,</w:t>
      </w:r>
      <w:r>
        <w:rPr>
          <w:rFonts w:eastAsia="Times New Roman"/>
          <w:color w:val="000000"/>
          <w:sz w:val="20"/>
          <w:szCs w:val="20"/>
        </w:rPr>
        <w:t xml:space="preserve"> decreased policyholders’ benefits by $62 million, increased net derivative gains by $200 million and decreased amortization of DAC by $58 million. This resulted in a decrease in income (loss) from operations, before income taxes of $108 million and decrea</w:t>
      </w:r>
      <w:r>
        <w:rPr>
          <w:rFonts w:eastAsia="Times New Roman"/>
          <w:color w:val="000000"/>
          <w:sz w:val="20"/>
          <w:szCs w:val="20"/>
        </w:rPr>
        <w:t>sed net income (loss) by $85 million. As part of this annual assumption update the reference interest rate utilized in our GAAP fair value calculations was updated from the LIBOR swap curve to the US Treasury curve due to the impending cessation of LIBOR a</w:t>
      </w:r>
      <w:r>
        <w:rPr>
          <w:rFonts w:eastAsia="Times New Roman"/>
          <w:color w:val="000000"/>
          <w:sz w:val="20"/>
          <w:szCs w:val="20"/>
        </w:rPr>
        <w:t>nd our GAAP fair value liability risk margins were increased, resulting in little impact to overall valuation as our view regarding market participant pricing of our guarantees has not changed at this time.</w:t>
      </w:r>
    </w:p>
    <w:p w:rsidR="00000000" w:rsidRDefault="00C56D69">
      <w:pPr>
        <w:divId w:val="485585454"/>
        <w:rPr>
          <w:rFonts w:eastAsia="Times New Roman"/>
        </w:rPr>
      </w:pPr>
      <w:r>
        <w:rPr>
          <w:rFonts w:eastAsia="Times New Roman"/>
          <w:color w:val="000000"/>
          <w:sz w:val="20"/>
          <w:szCs w:val="20"/>
          <w:u w:val="single"/>
        </w:rPr>
        <w:t xml:space="preserve">Model Changes </w:t>
      </w:r>
    </w:p>
    <w:p w:rsidR="00000000" w:rsidRDefault="00C56D69">
      <w:pPr>
        <w:divId w:val="2128428250"/>
        <w:rPr>
          <w:rFonts w:eastAsia="Times New Roman"/>
        </w:rPr>
      </w:pPr>
      <w:r>
        <w:rPr>
          <w:rFonts w:eastAsia="Times New Roman"/>
          <w:color w:val="000000"/>
          <w:sz w:val="20"/>
          <w:szCs w:val="20"/>
        </w:rPr>
        <w:t>There were no material model chang</w:t>
      </w:r>
      <w:r>
        <w:rPr>
          <w:rFonts w:eastAsia="Times New Roman"/>
          <w:color w:val="000000"/>
          <w:sz w:val="20"/>
          <w:szCs w:val="20"/>
        </w:rPr>
        <w:t xml:space="preserve">es in the first nine months of 2021 and 2022. </w:t>
      </w:r>
    </w:p>
    <w:p w:rsidR="00000000" w:rsidRDefault="00C56D69">
      <w:pPr>
        <w:divId w:val="398864627"/>
        <w:rPr>
          <w:rFonts w:eastAsia="Times New Roman"/>
        </w:rPr>
      </w:pPr>
    </w:p>
    <w:p w:rsidR="00000000" w:rsidRDefault="00C56D69">
      <w:pPr>
        <w:divId w:val="2068797581"/>
        <w:rPr>
          <w:rFonts w:eastAsia="Times New Roman"/>
        </w:rPr>
      </w:pPr>
      <w:r>
        <w:rPr>
          <w:rFonts w:eastAsia="Times New Roman"/>
          <w:b/>
          <w:bCs/>
          <w:color w:val="000000"/>
          <w:sz w:val="20"/>
          <w:szCs w:val="20"/>
        </w:rPr>
        <w:t>3)    INVESTMENTS</w:t>
      </w:r>
    </w:p>
    <w:p w:rsidR="00000000" w:rsidRDefault="00C56D69">
      <w:pPr>
        <w:divId w:val="782727718"/>
        <w:rPr>
          <w:rFonts w:eastAsia="Times New Roman"/>
        </w:rPr>
      </w:pPr>
      <w:r>
        <w:rPr>
          <w:rFonts w:eastAsia="Times New Roman"/>
          <w:color w:val="000000"/>
          <w:sz w:val="20"/>
          <w:szCs w:val="20"/>
          <w:u w:val="single"/>
        </w:rPr>
        <w:t>Fixed Maturities AFS</w:t>
      </w:r>
    </w:p>
    <w:p w:rsidR="00000000" w:rsidRDefault="00C56D69">
      <w:pPr>
        <w:divId w:val="1013844168"/>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interest receivable because t</w:t>
      </w:r>
      <w:r>
        <w:rPr>
          <w:rFonts w:eastAsia="Times New Roman"/>
          <w:color w:val="000000"/>
          <w:sz w:val="20"/>
          <w:szCs w:val="20"/>
        </w:rPr>
        <w:t>he Company elected to present accrued interest receivable within other assets. Accrued interest receivable on AFS fixed maturities as of September 30, 2022 and December 31, 2021 was $604 million and $506 million, respectively. There was no accrued interest</w:t>
      </w:r>
      <w:r>
        <w:rPr>
          <w:rFonts w:eastAsia="Times New Roman"/>
          <w:color w:val="000000"/>
          <w:sz w:val="20"/>
          <w:szCs w:val="20"/>
        </w:rPr>
        <w:t xml:space="preserve"> written off for AFS fixed maturities for the three and nine months ended September 30, 2022 and 2021.</w:t>
      </w:r>
    </w:p>
    <w:p w:rsidR="00000000" w:rsidRDefault="00C56D69">
      <w:pPr>
        <w:divId w:val="1530534756"/>
        <w:rPr>
          <w:rFonts w:eastAsia="Times New Roman"/>
        </w:rPr>
      </w:pPr>
      <w:r>
        <w:rPr>
          <w:rFonts w:eastAsia="Times New Roman"/>
          <w:color w:val="000000"/>
          <w:sz w:val="20"/>
          <w:szCs w:val="20"/>
        </w:rPr>
        <w:t xml:space="preserve">The following tables provide information relating to the Company’s fixed maturities classified as AFS. </w:t>
      </w:r>
    </w:p>
    <w:p w:rsidR="00000000" w:rsidRDefault="00C56D69">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3590"/>
        <w:gridCol w:w="37"/>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C56D69">
            <w:pPr>
              <w:jc w:val="center"/>
              <w:rPr>
                <w:rFonts w:eastAsia="Times New Roman"/>
              </w:rPr>
            </w:pPr>
          </w:p>
        </w:tc>
        <w:tc>
          <w:tcPr>
            <w:tcW w:w="23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divId w:val="1233274339"/>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divId w:val="911890927"/>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divId w:val="909967987"/>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52,643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divId w:val="248664378"/>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divId w:val="864946406"/>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at September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75,320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10,785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64,600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December 31, 2021: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divId w:val="2056733085"/>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divId w:val="1180969031"/>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50,172 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52,511 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divId w:val="1144466497"/>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13,056 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15,385 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divId w:val="1454446978"/>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divId w:val="214321416"/>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1,124 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5,934 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divId w:val="833107671"/>
        <w:rPr>
          <w:rFonts w:eastAsia="Times New Roman"/>
        </w:rPr>
      </w:pPr>
      <w:r>
        <w:rPr>
          <w:rFonts w:eastAsia="Times New Roman"/>
          <w:color w:val="000000"/>
          <w:sz w:val="20"/>
          <w:szCs w:val="20"/>
        </w:rPr>
        <w:t>16</w:t>
      </w:r>
    </w:p>
    <w:p w:rsidR="00000000" w:rsidRDefault="00C56D69">
      <w:pPr>
        <w:rPr>
          <w:rFonts w:eastAsia="Times New Roman"/>
        </w:rPr>
      </w:pPr>
      <w:r>
        <w:rPr>
          <w:rFonts w:eastAsia="Times New Roman"/>
        </w:rPr>
        <w:pict>
          <v:rect id="_x0000_i1042" style="width:0;height:1.5pt" o:hralign="center" o:hrstd="t" o:hr="t" fillcolor="#a0a0a0" stroked="f"/>
        </w:pict>
      </w:r>
    </w:p>
    <w:p w:rsidR="00000000" w:rsidRDefault="00C56D69">
      <w:pPr>
        <w:divId w:val="53746852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907375256"/>
        <w:rPr>
          <w:rFonts w:eastAsia="Times New Roman"/>
        </w:rPr>
      </w:pPr>
      <w:r>
        <w:rPr>
          <w:rFonts w:eastAsia="Times New Roman"/>
          <w:b/>
          <w:bCs/>
          <w:color w:val="000000"/>
          <w:sz w:val="20"/>
          <w:szCs w:val="20"/>
        </w:rPr>
        <w:t>EQUITABLE HOLDINGS, INC.</w:t>
      </w:r>
    </w:p>
    <w:p w:rsidR="00000000" w:rsidRDefault="00C56D69">
      <w:pPr>
        <w:jc w:val="center"/>
        <w:divId w:val="190737525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907375256"/>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592"/>
        <w:gridCol w:w="36"/>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C56D69">
            <w:pPr>
              <w:jc w:val="center"/>
              <w:rPr>
                <w:rFonts w:eastAsia="Times New Roman"/>
              </w:rPr>
            </w:pPr>
          </w:p>
        </w:tc>
        <w:tc>
          <w:tcPr>
            <w:tcW w:w="23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divId w:val="876938661"/>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divId w:val="216429972"/>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at December 31,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73,429 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78,216 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270"/>
        <w:divId w:val="255944830"/>
        <w:rPr>
          <w:rFonts w:eastAsia="Times New Roman"/>
        </w:rPr>
      </w:pPr>
      <w:r>
        <w:rPr>
          <w:rFonts w:eastAsia="Times New Roman"/>
          <w:color w:val="000000"/>
          <w:sz w:val="18"/>
          <w:szCs w:val="18"/>
        </w:rPr>
        <w:t>______________</w:t>
      </w:r>
    </w:p>
    <w:p w:rsidR="00000000" w:rsidRDefault="00C56D69">
      <w:pPr>
        <w:ind w:hanging="270"/>
        <w:divId w:val="1132405634"/>
        <w:rPr>
          <w:rFonts w:eastAsia="Times New Roman"/>
        </w:rPr>
      </w:pPr>
      <w:r>
        <w:rPr>
          <w:rFonts w:eastAsia="Times New Roman"/>
          <w:color w:val="000000"/>
          <w:sz w:val="18"/>
          <w:szCs w:val="18"/>
        </w:rPr>
        <w:t>(1)Corporate fixed maturities include both public and private issues.</w:t>
      </w:r>
    </w:p>
    <w:p w:rsidR="00000000" w:rsidRDefault="00C56D69">
      <w:pPr>
        <w:ind w:hanging="270"/>
        <w:divId w:val="953634751"/>
        <w:rPr>
          <w:rFonts w:eastAsia="Times New Roman"/>
        </w:rPr>
      </w:pPr>
      <w:r>
        <w:rPr>
          <w:rFonts w:eastAsia="Times New Roman"/>
          <w:color w:val="000000"/>
          <w:sz w:val="18"/>
          <w:szCs w:val="18"/>
        </w:rPr>
        <w:t>(2)Includes publicly traded agency pass-thr</w:t>
      </w:r>
      <w:r>
        <w:rPr>
          <w:rFonts w:eastAsia="Times New Roman"/>
          <w:color w:val="000000"/>
          <w:sz w:val="18"/>
          <w:szCs w:val="18"/>
        </w:rPr>
        <w:t>ough securities and collateralized obligations.</w:t>
      </w:r>
    </w:p>
    <w:p w:rsidR="00000000" w:rsidRDefault="00C56D69">
      <w:pPr>
        <w:ind w:hanging="270"/>
        <w:divId w:val="1835485321"/>
        <w:rPr>
          <w:rFonts w:eastAsia="Times New Roman"/>
        </w:rPr>
      </w:pPr>
      <w:r>
        <w:rPr>
          <w:rFonts w:eastAsia="Times New Roman"/>
          <w:color w:val="000000"/>
          <w:sz w:val="18"/>
          <w:szCs w:val="18"/>
        </w:rPr>
        <w:t>(3)</w:t>
      </w:r>
      <w:r>
        <w:rPr>
          <w:rFonts w:eastAsia="Times New Roman"/>
          <w:color w:val="000000"/>
          <w:sz w:val="18"/>
          <w:szCs w:val="18"/>
        </w:rPr>
        <w:t>Includes credit-tranched securities collateralized by sub-prime mortgages, credit risk transfer securities and other asset types.</w:t>
      </w:r>
    </w:p>
    <w:p w:rsidR="00000000" w:rsidRDefault="00C56D69">
      <w:pPr>
        <w:divId w:val="1161391176"/>
        <w:rPr>
          <w:rFonts w:eastAsia="Times New Roman"/>
        </w:rPr>
      </w:pPr>
      <w:r>
        <w:rPr>
          <w:rFonts w:eastAsia="Times New Roman"/>
          <w:color w:val="000000"/>
          <w:sz w:val="20"/>
          <w:szCs w:val="20"/>
        </w:rPr>
        <w:t>The contractual maturities of AFS fixed maturities as of September 30, 2022 are shown in the table below. Bonds not due at a s</w:t>
      </w:r>
      <w:r>
        <w:rPr>
          <w:rFonts w:eastAsia="Times New Roman"/>
          <w:color w:val="000000"/>
          <w:sz w:val="20"/>
          <w:szCs w:val="20"/>
        </w:rPr>
        <w:t>ingle maturity date have been included in the table in the final year of maturity. Actual maturities may differ from contractual maturities because borrowers may have the right to call or prepay obligations with or without call or prepayment penalties.</w:t>
      </w:r>
    </w:p>
    <w:p w:rsidR="00000000" w:rsidRDefault="00C56D69">
      <w:pPr>
        <w:jc w:val="center"/>
        <w:rPr>
          <w:rFonts w:eastAsia="Times New Roman"/>
        </w:rPr>
      </w:pPr>
      <w:r>
        <w:rPr>
          <w:rFonts w:eastAsia="Times New Roman"/>
          <w:b/>
          <w:bCs/>
          <w:color w:val="000000"/>
          <w:sz w:val="20"/>
          <w:szCs w:val="20"/>
        </w:rPr>
        <w:t>Con</w:t>
      </w:r>
      <w:r>
        <w:rPr>
          <w:rFonts w:eastAsia="Times New Roman"/>
          <w:b/>
          <w:bCs/>
          <w:color w:val="000000"/>
          <w:sz w:val="20"/>
          <w:szCs w:val="20"/>
        </w:rPr>
        <w:t>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4"/>
        <w:gridCol w:w="38"/>
        <w:gridCol w:w="121"/>
        <w:gridCol w:w="994"/>
        <w:gridCol w:w="36"/>
        <w:gridCol w:w="36"/>
        <w:gridCol w:w="36"/>
        <w:gridCol w:w="36"/>
        <w:gridCol w:w="121"/>
        <w:gridCol w:w="958"/>
        <w:gridCol w:w="36"/>
      </w:tblGrid>
      <w:tr w:rsidR="00000000">
        <w:trPr>
          <w:divId w:val="2098554100"/>
          <w:jc w:val="center"/>
        </w:trPr>
        <w:tc>
          <w:tcPr>
            <w:tcW w:w="50" w:type="pct"/>
            <w:vAlign w:val="center"/>
            <w:hideMark/>
          </w:tcPr>
          <w:p w:rsidR="00000000" w:rsidRDefault="00C56D69">
            <w:pPr>
              <w:jc w:val="center"/>
              <w:rPr>
                <w:rFonts w:eastAsia="Times New Roman"/>
              </w:rPr>
            </w:pPr>
          </w:p>
        </w:tc>
        <w:tc>
          <w:tcPr>
            <w:tcW w:w="354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09855410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r>
      <w:tr w:rsidR="00000000">
        <w:trPr>
          <w:divId w:val="209855410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09855410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98554100"/>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98554100"/>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18,743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61,644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52,086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3,824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98554100"/>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at September 30, 2022</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75,298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64,600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270"/>
        <w:divId w:val="2117171508"/>
        <w:rPr>
          <w:rFonts w:eastAsia="Times New Roman"/>
        </w:rPr>
      </w:pPr>
    </w:p>
    <w:p w:rsidR="00000000" w:rsidRDefault="00C56D69">
      <w:pPr>
        <w:divId w:val="1686443851"/>
        <w:rPr>
          <w:rFonts w:eastAsia="Times New Roman"/>
        </w:rPr>
      </w:pPr>
      <w:r>
        <w:rPr>
          <w:rFonts w:eastAsia="Times New Roman"/>
          <w:color w:val="000000"/>
          <w:sz w:val="20"/>
          <w:szCs w:val="20"/>
        </w:rPr>
        <w:t>The following table shows proceeds from sales, gross gains (losses) from sales and allowance for credit losses for AFS fixed maturities for the three and nine months ended September 30, 2022 and 2021:</w:t>
      </w:r>
    </w:p>
    <w:p w:rsidR="00000000" w:rsidRDefault="00C56D69">
      <w:pPr>
        <w:jc w:val="center"/>
        <w:rPr>
          <w:rFonts w:eastAsia="Times New Roman"/>
        </w:rPr>
      </w:pPr>
      <w:r>
        <w:rPr>
          <w:rFonts w:eastAsia="Times New Roman"/>
          <w:b/>
          <w:bCs/>
          <w:color w:val="000000"/>
          <w:sz w:val="20"/>
          <w:szCs w:val="20"/>
        </w:rPr>
        <w:t>Proceeds from Sales, Gross Gains (Losses) from Sales an</w:t>
      </w:r>
      <w:r>
        <w:rPr>
          <w:rFonts w:eastAsia="Times New Roman"/>
          <w:b/>
          <w:bCs/>
          <w:color w:val="000000"/>
          <w:sz w:val="20"/>
          <w:szCs w:val="20"/>
        </w:rPr>
        <w:t>d Allowance for Credit and Intent to Sell Losses for AFS Fixed Maturities</w:t>
      </w:r>
    </w:p>
    <w:p w:rsidR="00000000" w:rsidRDefault="00C56D69">
      <w:pPr>
        <w:divId w:val="4529456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895"/>
        <w:gridCol w:w="37"/>
        <w:gridCol w:w="120"/>
        <w:gridCol w:w="594"/>
        <w:gridCol w:w="36"/>
        <w:gridCol w:w="36"/>
        <w:gridCol w:w="36"/>
        <w:gridCol w:w="36"/>
        <w:gridCol w:w="120"/>
        <w:gridCol w:w="594"/>
        <w:gridCol w:w="36"/>
        <w:gridCol w:w="36"/>
        <w:gridCol w:w="36"/>
        <w:gridCol w:w="36"/>
        <w:gridCol w:w="120"/>
        <w:gridCol w:w="600"/>
        <w:gridCol w:w="36"/>
        <w:gridCol w:w="36"/>
        <w:gridCol w:w="36"/>
        <w:gridCol w:w="36"/>
        <w:gridCol w:w="120"/>
        <w:gridCol w:w="600"/>
        <w:gridCol w:w="36"/>
      </w:tblGrid>
      <w:tr w:rsidR="00000000">
        <w:trPr>
          <w:divId w:val="1950971657"/>
        </w:trPr>
        <w:tc>
          <w:tcPr>
            <w:tcW w:w="50" w:type="pct"/>
            <w:vAlign w:val="center"/>
            <w:hideMark/>
          </w:tcPr>
          <w:p w:rsidR="00000000" w:rsidRDefault="00C56D69">
            <w:pPr>
              <w:rPr>
                <w:rFonts w:eastAsia="Times New Roman"/>
              </w:rPr>
            </w:pPr>
          </w:p>
        </w:tc>
        <w:tc>
          <w:tcPr>
            <w:tcW w:w="30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950971657"/>
        </w:trPr>
        <w:tc>
          <w:tcPr>
            <w:tcW w:w="0" w:type="auto"/>
            <w:gridSpan w:val="3"/>
            <w:tcMar>
              <w:top w:w="30" w:type="dxa"/>
              <w:left w:w="20" w:type="dxa"/>
              <w:bottom w:w="30" w:type="dxa"/>
              <w:right w:w="20" w:type="dxa"/>
            </w:tcMar>
            <w:vAlign w:val="bottom"/>
            <w:hideMark/>
          </w:tcPr>
          <w:p w:rsidR="00000000" w:rsidRDefault="00C56D69">
            <w:pPr>
              <w:spacing w:after="100"/>
              <w:divId w:val="136656036"/>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1950971657"/>
        </w:trPr>
        <w:tc>
          <w:tcPr>
            <w:tcW w:w="0" w:type="auto"/>
            <w:gridSpan w:val="3"/>
            <w:tcMar>
              <w:top w:w="30" w:type="dxa"/>
              <w:left w:w="20" w:type="dxa"/>
              <w:bottom w:w="30" w:type="dxa"/>
              <w:right w:w="20" w:type="dxa"/>
            </w:tcMar>
            <w:vAlign w:val="bottom"/>
            <w:hideMark/>
          </w:tcPr>
          <w:p w:rsidR="00000000" w:rsidRDefault="00C56D69">
            <w:pPr>
              <w:spacing w:after="100"/>
              <w:divId w:val="244649421"/>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1950971657"/>
        </w:trPr>
        <w:tc>
          <w:tcPr>
            <w:tcW w:w="0" w:type="auto"/>
            <w:gridSpan w:val="3"/>
            <w:tcMar>
              <w:top w:w="30" w:type="dxa"/>
              <w:left w:w="20" w:type="dxa"/>
              <w:bottom w:w="30" w:type="dxa"/>
              <w:right w:w="20" w:type="dxa"/>
            </w:tcMar>
            <w:vAlign w:val="bottom"/>
            <w:hideMark/>
          </w:tcPr>
          <w:p w:rsidR="00000000" w:rsidRDefault="00C56D69">
            <w:pPr>
              <w:spacing w:after="100"/>
              <w:divId w:val="2023627131"/>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950971657"/>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Proceeds from sales</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3,701 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11,640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20,776 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097165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1,019 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097165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0971657"/>
          <w:trHeight w:val="24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5097165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change in Allowance for Credit and Intent to Sell losses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980647190"/>
        <w:rPr>
          <w:rFonts w:eastAsia="Times New Roman"/>
        </w:rPr>
      </w:pPr>
    </w:p>
    <w:p w:rsidR="00000000" w:rsidRDefault="00C56D69">
      <w:pPr>
        <w:divId w:val="1562329942"/>
        <w:rPr>
          <w:rFonts w:eastAsia="Times New Roman"/>
        </w:rPr>
      </w:pPr>
      <w:r>
        <w:rPr>
          <w:rFonts w:eastAsia="Times New Roman"/>
          <w:color w:val="000000"/>
          <w:sz w:val="20"/>
          <w:szCs w:val="20"/>
        </w:rPr>
        <w:t>The following table sets forth the amount of credit loss impairments on AFS fixed maturities held by the Company a</w:t>
      </w:r>
      <w:r>
        <w:rPr>
          <w:rFonts w:eastAsia="Times New Roman"/>
          <w:color w:val="000000"/>
          <w:sz w:val="20"/>
          <w:szCs w:val="20"/>
        </w:rPr>
        <w:t>t the dates indicated and the corresponding changes in such amounts.</w:t>
      </w:r>
    </w:p>
    <w:p w:rsidR="00000000" w:rsidRDefault="00C56D69">
      <w:pPr>
        <w:jc w:val="center"/>
        <w:divId w:val="1749879963"/>
        <w:rPr>
          <w:rFonts w:eastAsia="Times New Roman"/>
        </w:rPr>
      </w:pPr>
    </w:p>
    <w:p w:rsidR="00000000" w:rsidRDefault="00C56D69">
      <w:pPr>
        <w:jc w:val="center"/>
        <w:divId w:val="1749879963"/>
        <w:rPr>
          <w:rFonts w:eastAsia="Times New Roman"/>
        </w:rPr>
      </w:pPr>
      <w:r>
        <w:rPr>
          <w:rFonts w:eastAsia="Times New Roman"/>
          <w:color w:val="000000"/>
          <w:sz w:val="20"/>
          <w:szCs w:val="20"/>
        </w:rPr>
        <w:t>17</w:t>
      </w:r>
    </w:p>
    <w:p w:rsidR="00000000" w:rsidRDefault="00C56D69">
      <w:pPr>
        <w:rPr>
          <w:rFonts w:eastAsia="Times New Roman"/>
        </w:rPr>
      </w:pPr>
      <w:r>
        <w:rPr>
          <w:rFonts w:eastAsia="Times New Roman"/>
        </w:rPr>
        <w:pict>
          <v:rect id="_x0000_i1043" style="width:0;height:1.5pt" o:hralign="center" o:hrstd="t" o:hr="t" fillcolor="#a0a0a0" stroked="f"/>
        </w:pict>
      </w:r>
    </w:p>
    <w:p w:rsidR="00000000" w:rsidRDefault="00C56D69">
      <w:pPr>
        <w:divId w:val="3474343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63846356"/>
        <w:rPr>
          <w:rFonts w:eastAsia="Times New Roman"/>
        </w:rPr>
      </w:pPr>
      <w:r>
        <w:rPr>
          <w:rFonts w:eastAsia="Times New Roman"/>
          <w:b/>
          <w:bCs/>
          <w:color w:val="000000"/>
          <w:sz w:val="20"/>
          <w:szCs w:val="20"/>
        </w:rPr>
        <w:t>EQUITABLE HOLDINGS, INC.</w:t>
      </w:r>
    </w:p>
    <w:p w:rsidR="00000000" w:rsidRDefault="00C56D69">
      <w:pPr>
        <w:jc w:val="center"/>
        <w:divId w:val="63846356"/>
        <w:rPr>
          <w:rFonts w:eastAsia="Times New Roman"/>
        </w:rPr>
      </w:pPr>
      <w:r>
        <w:rPr>
          <w:rFonts w:eastAsia="Times New Roman"/>
          <w:b/>
          <w:bCs/>
          <w:color w:val="000000"/>
          <w:sz w:val="20"/>
          <w:szCs w:val="20"/>
        </w:rPr>
        <w:t>Notes to Consolidated Financial Statements (</w:t>
      </w:r>
      <w:r>
        <w:rPr>
          <w:rFonts w:eastAsia="Times New Roman"/>
          <w:b/>
          <w:bCs/>
          <w:color w:val="000000"/>
          <w:sz w:val="20"/>
          <w:szCs w:val="20"/>
        </w:rPr>
        <w:t>Unaudited), Continued</w:t>
      </w:r>
    </w:p>
    <w:p w:rsidR="00000000" w:rsidRDefault="00C56D69">
      <w:pPr>
        <w:jc w:val="center"/>
        <w:divId w:val="63846356"/>
        <w:rPr>
          <w:rFonts w:eastAsia="Times New Roman"/>
        </w:rPr>
      </w:pPr>
    </w:p>
    <w:p w:rsidR="00000000" w:rsidRDefault="00C56D69">
      <w:pPr>
        <w:jc w:val="center"/>
        <w:rPr>
          <w:rFonts w:eastAsia="Times New Roman"/>
        </w:rPr>
      </w:pPr>
      <w:r>
        <w:rPr>
          <w:rFonts w:eastAsia="Times New Roman"/>
          <w:b/>
          <w:bCs/>
          <w:color w:val="000000"/>
          <w:sz w:val="20"/>
          <w:szCs w:val="20"/>
        </w:rPr>
        <w:t>AFS Fixed Maturities - Credit and Intent to Sell Loss Impairments</w:t>
      </w:r>
    </w:p>
    <w:p w:rsidR="00000000" w:rsidRDefault="00C56D69">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12"/>
        <w:gridCol w:w="37"/>
        <w:gridCol w:w="120"/>
        <w:gridCol w:w="607"/>
        <w:gridCol w:w="36"/>
        <w:gridCol w:w="36"/>
        <w:gridCol w:w="36"/>
        <w:gridCol w:w="36"/>
        <w:gridCol w:w="120"/>
        <w:gridCol w:w="607"/>
        <w:gridCol w:w="36"/>
        <w:gridCol w:w="36"/>
        <w:gridCol w:w="36"/>
        <w:gridCol w:w="36"/>
        <w:gridCol w:w="120"/>
        <w:gridCol w:w="549"/>
        <w:gridCol w:w="36"/>
        <w:gridCol w:w="36"/>
        <w:gridCol w:w="36"/>
        <w:gridCol w:w="36"/>
        <w:gridCol w:w="120"/>
        <w:gridCol w:w="608"/>
        <w:gridCol w:w="36"/>
      </w:tblGrid>
      <w:tr w:rsidR="00000000">
        <w:trPr>
          <w:divId w:val="768431942"/>
        </w:trPr>
        <w:tc>
          <w:tcPr>
            <w:tcW w:w="50" w:type="pct"/>
            <w:vAlign w:val="center"/>
            <w:hideMark/>
          </w:tcPr>
          <w:p w:rsidR="00000000" w:rsidRDefault="00C56D69">
            <w:pPr>
              <w:jc w:val="center"/>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76843194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768431942"/>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768431942"/>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768431942"/>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beginning of period</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Recognized impairments on securities impaired to fair value this period (1)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Additional credit losses this period on securities previously impaired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6843194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at September 30,</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811336424"/>
        <w:rPr>
          <w:rFonts w:eastAsia="Times New Roman"/>
        </w:rPr>
      </w:pPr>
      <w:r>
        <w:rPr>
          <w:rFonts w:eastAsia="Times New Roman"/>
          <w:color w:val="000000"/>
          <w:sz w:val="18"/>
          <w:szCs w:val="18"/>
        </w:rPr>
        <w:t>______________</w:t>
      </w:r>
    </w:p>
    <w:p w:rsidR="00000000" w:rsidRDefault="00C56D69">
      <w:pPr>
        <w:ind w:hanging="270"/>
        <w:divId w:val="405104759"/>
        <w:rPr>
          <w:rFonts w:eastAsia="Times New Roman"/>
        </w:rPr>
      </w:pPr>
      <w:r>
        <w:rPr>
          <w:rFonts w:eastAsia="Times New Roman"/>
          <w:color w:val="000000"/>
          <w:sz w:val="18"/>
          <w:szCs w:val="18"/>
        </w:rPr>
        <w:t>(1)</w:t>
      </w: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p w:rsidR="00000000" w:rsidRDefault="00C56D69">
      <w:pPr>
        <w:ind w:hanging="270"/>
        <w:divId w:val="938945791"/>
        <w:rPr>
          <w:rFonts w:eastAsia="Times New Roman"/>
        </w:rPr>
      </w:pPr>
      <w:r>
        <w:rPr>
          <w:rFonts w:eastAsia="Times New Roman"/>
          <w:color w:val="000000"/>
          <w:sz w:val="18"/>
          <w:szCs w:val="18"/>
        </w:rPr>
        <w:t>(2)Amounts refle</w:t>
      </w:r>
      <w:r>
        <w:rPr>
          <w:rFonts w:eastAsia="Times New Roman"/>
          <w:color w:val="000000"/>
          <w:sz w:val="18"/>
          <w:szCs w:val="18"/>
        </w:rPr>
        <w:t>cted as of three and nine months ended September 30, 2022 represent AFS fixed maturities in an unrealized loss position, which the Company intends to sell in anticipation of the EQUI-VEST Transaction. For additional details on the EQUI-VEST Transaction, se</w:t>
      </w:r>
      <w:r>
        <w:rPr>
          <w:rFonts w:eastAsia="Times New Roman"/>
          <w:color w:val="000000"/>
          <w:sz w:val="18"/>
          <w:szCs w:val="18"/>
        </w:rPr>
        <w:t xml:space="preserve">e Note </w:t>
      </w:r>
      <w:r>
        <w:rPr>
          <w:rFonts w:eastAsia="Times New Roman"/>
          <w:color w:val="000000"/>
          <w:sz w:val="20"/>
          <w:szCs w:val="20"/>
        </w:rPr>
        <w:t>16 of the Notes to the Consolidated Financial Statements.</w:t>
      </w:r>
    </w:p>
    <w:p w:rsidR="00000000" w:rsidRDefault="00C56D69">
      <w:pPr>
        <w:ind w:firstLine="90"/>
        <w:divId w:val="1338077875"/>
        <w:rPr>
          <w:rFonts w:eastAsia="Times New Roman"/>
        </w:rPr>
      </w:pPr>
    </w:p>
    <w:p w:rsidR="00000000" w:rsidRDefault="00C56D69">
      <w:pPr>
        <w:divId w:val="1649944081"/>
        <w:rPr>
          <w:rFonts w:eastAsia="Times New Roman"/>
        </w:rPr>
      </w:pPr>
      <w:r>
        <w:rPr>
          <w:rFonts w:eastAsia="Times New Roman"/>
          <w:color w:val="000000"/>
          <w:sz w:val="20"/>
          <w:szCs w:val="20"/>
        </w:rPr>
        <w:t>The tables that follow below present a roll-forward of net unrealized investment gains (losses) recognized in AOCI.</w:t>
      </w:r>
    </w:p>
    <w:p w:rsidR="00000000" w:rsidRDefault="00C56D69">
      <w:pPr>
        <w:jc w:val="center"/>
        <w:divId w:val="1819299605"/>
        <w:rPr>
          <w:rFonts w:eastAsia="Times New Roman"/>
        </w:rPr>
      </w:pPr>
    </w:p>
    <w:p w:rsidR="00000000" w:rsidRDefault="00C56D69">
      <w:pPr>
        <w:jc w:val="center"/>
        <w:divId w:val="1819299605"/>
        <w:rPr>
          <w:rFonts w:eastAsia="Times New Roman"/>
        </w:rPr>
      </w:pPr>
      <w:r>
        <w:rPr>
          <w:rFonts w:eastAsia="Times New Roman"/>
          <w:color w:val="000000"/>
          <w:sz w:val="20"/>
          <w:szCs w:val="20"/>
        </w:rPr>
        <w:t>18</w:t>
      </w:r>
    </w:p>
    <w:p w:rsidR="00000000" w:rsidRDefault="00C56D69">
      <w:pPr>
        <w:rPr>
          <w:rFonts w:eastAsia="Times New Roman"/>
        </w:rPr>
      </w:pPr>
      <w:r>
        <w:rPr>
          <w:rFonts w:eastAsia="Times New Roman"/>
        </w:rPr>
        <w:pict>
          <v:rect id="_x0000_i1044" style="width:0;height:1.5pt" o:hralign="center" o:hrstd="t" o:hr="t" fillcolor="#a0a0a0" stroked="f"/>
        </w:pict>
      </w:r>
    </w:p>
    <w:p w:rsidR="00000000" w:rsidRDefault="00C56D69">
      <w:pPr>
        <w:divId w:val="1242327333"/>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626034341"/>
        <w:rPr>
          <w:rFonts w:eastAsia="Times New Roman"/>
        </w:rPr>
      </w:pPr>
      <w:r>
        <w:rPr>
          <w:rFonts w:eastAsia="Times New Roman"/>
          <w:b/>
          <w:bCs/>
          <w:color w:val="000000"/>
          <w:sz w:val="20"/>
          <w:szCs w:val="20"/>
        </w:rPr>
        <w:t>EQUITABLE HOLDINGS, INC.</w:t>
      </w:r>
    </w:p>
    <w:p w:rsidR="00000000" w:rsidRDefault="00C56D69">
      <w:pPr>
        <w:jc w:val="center"/>
        <w:divId w:val="1626034341"/>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626034341"/>
        <w:rPr>
          <w:rFonts w:eastAsia="Times New Roman"/>
        </w:rPr>
      </w:pPr>
    </w:p>
    <w:p w:rsidR="00000000" w:rsidRDefault="00C56D69">
      <w:pPr>
        <w:jc w:val="center"/>
        <w:divId w:val="1963807104"/>
        <w:rPr>
          <w:rFonts w:eastAsia="Times New Roman"/>
        </w:rPr>
      </w:pPr>
      <w:r>
        <w:rPr>
          <w:rFonts w:eastAsia="Times New Roman"/>
          <w:b/>
          <w:bCs/>
          <w:color w:val="000000"/>
          <w:sz w:val="20"/>
          <w:szCs w:val="20"/>
        </w:rPr>
        <w:t>Net Unrealized Gains (Losses) on AFS Fixed Maturit</w:t>
      </w:r>
      <w:r>
        <w:rPr>
          <w:rFonts w:eastAsia="Times New Roman"/>
          <w:b/>
          <w:bCs/>
          <w:color w:val="000000"/>
          <w:sz w:val="20"/>
          <w:szCs w:val="20"/>
        </w:rPr>
        <w:t>ies</w:t>
      </w:r>
    </w:p>
    <w:p w:rsidR="00000000" w:rsidRDefault="00C56D69">
      <w:pPr>
        <w:divId w:val="943534711"/>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3090"/>
        <w:gridCol w:w="38"/>
        <w:gridCol w:w="121"/>
        <w:gridCol w:w="783"/>
        <w:gridCol w:w="36"/>
        <w:gridCol w:w="36"/>
        <w:gridCol w:w="36"/>
        <w:gridCol w:w="36"/>
        <w:gridCol w:w="120"/>
        <w:gridCol w:w="604"/>
        <w:gridCol w:w="36"/>
        <w:gridCol w:w="36"/>
        <w:gridCol w:w="36"/>
        <w:gridCol w:w="36"/>
        <w:gridCol w:w="121"/>
        <w:gridCol w:w="918"/>
        <w:gridCol w:w="36"/>
        <w:gridCol w:w="36"/>
        <w:gridCol w:w="36"/>
        <w:gridCol w:w="36"/>
        <w:gridCol w:w="121"/>
        <w:gridCol w:w="662"/>
        <w:gridCol w:w="36"/>
        <w:gridCol w:w="36"/>
        <w:gridCol w:w="36"/>
        <w:gridCol w:w="36"/>
        <w:gridCol w:w="121"/>
        <w:gridCol w:w="931"/>
        <w:gridCol w:w="36"/>
      </w:tblGrid>
      <w:tr w:rsidR="00000000">
        <w:trPr>
          <w:divId w:val="255291243"/>
        </w:trPr>
        <w:tc>
          <w:tcPr>
            <w:tcW w:w="50" w:type="pct"/>
            <w:vAlign w:val="center"/>
            <w:hideMark/>
          </w:tcPr>
          <w:p w:rsidR="00000000" w:rsidRDefault="00C56D69">
            <w:pPr>
              <w:rPr>
                <w:rFonts w:eastAsia="Times New Roman"/>
              </w:rPr>
            </w:pPr>
          </w:p>
        </w:tc>
        <w:tc>
          <w:tcPr>
            <w:tcW w:w="197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255291243"/>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55291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July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(6,965)</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1,180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(4,833)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(4,045)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(4,045)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(10,698)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(7,311)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Height w:val="30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July 1, 2021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Balance, September 30, 2021</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(381)</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(763)</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291243"/>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29124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281763029"/>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9"/>
        <w:gridCol w:w="3089"/>
        <w:gridCol w:w="38"/>
        <w:gridCol w:w="121"/>
        <w:gridCol w:w="782"/>
        <w:gridCol w:w="36"/>
        <w:gridCol w:w="36"/>
        <w:gridCol w:w="36"/>
        <w:gridCol w:w="36"/>
        <w:gridCol w:w="120"/>
        <w:gridCol w:w="578"/>
        <w:gridCol w:w="36"/>
        <w:gridCol w:w="36"/>
        <w:gridCol w:w="36"/>
        <w:gridCol w:w="36"/>
        <w:gridCol w:w="121"/>
        <w:gridCol w:w="917"/>
        <w:gridCol w:w="36"/>
        <w:gridCol w:w="36"/>
        <w:gridCol w:w="36"/>
        <w:gridCol w:w="36"/>
        <w:gridCol w:w="121"/>
        <w:gridCol w:w="662"/>
        <w:gridCol w:w="36"/>
        <w:gridCol w:w="36"/>
        <w:gridCol w:w="36"/>
        <w:gridCol w:w="36"/>
        <w:gridCol w:w="121"/>
        <w:gridCol w:w="935"/>
        <w:gridCol w:w="36"/>
      </w:tblGrid>
      <w:tr w:rsidR="00000000">
        <w:trPr>
          <w:divId w:val="1541629880"/>
        </w:trPr>
        <w:tc>
          <w:tcPr>
            <w:tcW w:w="50" w:type="pct"/>
            <w:vAlign w:val="center"/>
            <w:hideMark/>
          </w:tcPr>
          <w:p w:rsidR="00000000" w:rsidRDefault="00C56D69">
            <w:pPr>
              <w:rPr>
                <w:rFonts w:eastAsia="Times New Roman"/>
              </w:rPr>
            </w:pPr>
          </w:p>
        </w:tc>
        <w:tc>
          <w:tcPr>
            <w:tcW w:w="198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5416298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5416298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541629880"/>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(782)</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(418)</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(757)</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4162988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(16,359)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(16,359)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41629880"/>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41629880"/>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41629880"/>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541629880"/>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41629880"/>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41629880"/>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1,942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divId w:val="334577818"/>
        <w:rPr>
          <w:rFonts w:eastAsia="Times New Roman"/>
        </w:rPr>
      </w:pPr>
    </w:p>
    <w:p w:rsidR="00000000" w:rsidRDefault="00C56D69">
      <w:pPr>
        <w:jc w:val="center"/>
        <w:divId w:val="334577818"/>
        <w:rPr>
          <w:rFonts w:eastAsia="Times New Roman"/>
        </w:rPr>
      </w:pPr>
      <w:r>
        <w:rPr>
          <w:rFonts w:eastAsia="Times New Roman"/>
          <w:color w:val="000000"/>
          <w:sz w:val="20"/>
          <w:szCs w:val="20"/>
        </w:rPr>
        <w:t>19</w:t>
      </w:r>
    </w:p>
    <w:p w:rsidR="00000000" w:rsidRDefault="00C56D69">
      <w:pPr>
        <w:rPr>
          <w:rFonts w:eastAsia="Times New Roman"/>
        </w:rPr>
      </w:pPr>
      <w:r>
        <w:rPr>
          <w:rFonts w:eastAsia="Times New Roman"/>
        </w:rPr>
        <w:pict>
          <v:rect id="_x0000_i1045" style="width:0;height:1.5pt" o:hralign="center" o:hrstd="t" o:hr="t" fillcolor="#a0a0a0" stroked="f"/>
        </w:pict>
      </w:r>
    </w:p>
    <w:p w:rsidR="00000000" w:rsidRDefault="00C56D69">
      <w:pPr>
        <w:divId w:val="55281263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360161111"/>
        <w:rPr>
          <w:rFonts w:eastAsia="Times New Roman"/>
        </w:rPr>
      </w:pPr>
      <w:r>
        <w:rPr>
          <w:rFonts w:eastAsia="Times New Roman"/>
          <w:b/>
          <w:bCs/>
          <w:color w:val="000000"/>
          <w:sz w:val="20"/>
          <w:szCs w:val="20"/>
        </w:rPr>
        <w:t>EQUITABLE HOLDINGS, INC.</w:t>
      </w:r>
    </w:p>
    <w:p w:rsidR="00000000" w:rsidRDefault="00C56D69">
      <w:pPr>
        <w:jc w:val="center"/>
        <w:divId w:val="1360161111"/>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360161111"/>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8"/>
        <w:gridCol w:w="3215"/>
        <w:gridCol w:w="37"/>
        <w:gridCol w:w="120"/>
        <w:gridCol w:w="779"/>
        <w:gridCol w:w="36"/>
        <w:gridCol w:w="36"/>
        <w:gridCol w:w="36"/>
        <w:gridCol w:w="36"/>
        <w:gridCol w:w="120"/>
        <w:gridCol w:w="733"/>
        <w:gridCol w:w="36"/>
        <w:gridCol w:w="36"/>
        <w:gridCol w:w="36"/>
        <w:gridCol w:w="36"/>
        <w:gridCol w:w="120"/>
        <w:gridCol w:w="734"/>
        <w:gridCol w:w="36"/>
        <w:gridCol w:w="36"/>
        <w:gridCol w:w="36"/>
        <w:gridCol w:w="36"/>
        <w:gridCol w:w="120"/>
        <w:gridCol w:w="735"/>
        <w:gridCol w:w="36"/>
        <w:gridCol w:w="36"/>
        <w:gridCol w:w="36"/>
        <w:gridCol w:w="36"/>
        <w:gridCol w:w="120"/>
        <w:gridCol w:w="773"/>
        <w:gridCol w:w="36"/>
      </w:tblGrid>
      <w:tr w:rsidR="00000000">
        <w:trPr>
          <w:divId w:val="1451587681"/>
        </w:trPr>
        <w:tc>
          <w:tcPr>
            <w:tcW w:w="50" w:type="pct"/>
            <w:vAlign w:val="center"/>
            <w:hideMark/>
          </w:tcPr>
          <w:p w:rsidR="00000000" w:rsidRDefault="00C56D69">
            <w:pPr>
              <w:jc w:val="center"/>
              <w:rPr>
                <w:rFonts w:eastAsia="Times New Roman"/>
              </w:rPr>
            </w:pPr>
          </w:p>
        </w:tc>
        <w:tc>
          <w:tcPr>
            <w:tcW w:w="198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(10,698)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(7,311)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(3,231)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(3,231)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51587681"/>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5158768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435512467"/>
        <w:rPr>
          <w:rFonts w:eastAsia="Times New Roman"/>
        </w:rPr>
      </w:pPr>
      <w:r>
        <w:rPr>
          <w:rFonts w:eastAsia="Times New Roman"/>
          <w:color w:val="000000"/>
          <w:sz w:val="18"/>
          <w:szCs w:val="18"/>
        </w:rPr>
        <w:t>______</w:t>
      </w:r>
      <w:r>
        <w:rPr>
          <w:rFonts w:eastAsia="Times New Roman"/>
          <w:color w:val="000000"/>
          <w:sz w:val="18"/>
          <w:szCs w:val="18"/>
        </w:rPr>
        <w:t>_______</w:t>
      </w:r>
    </w:p>
    <w:p w:rsidR="00000000" w:rsidRDefault="00C56D69">
      <w:pPr>
        <w:ind w:hanging="360"/>
        <w:divId w:val="1203522700"/>
        <w:rPr>
          <w:rFonts w:eastAsia="Times New Roman"/>
        </w:rPr>
      </w:pPr>
      <w:r>
        <w:rPr>
          <w:rFonts w:eastAsia="Times New Roman"/>
          <w:color w:val="000000"/>
          <w:sz w:val="18"/>
          <w:szCs w:val="18"/>
        </w:rPr>
        <w:t>(1) Effective January 1, 2021, certain preferred stock have been reclassified to other equity investments.</w:t>
      </w:r>
    </w:p>
    <w:p w:rsidR="00000000" w:rsidRDefault="00C56D69">
      <w:pPr>
        <w:ind w:hanging="360"/>
        <w:divId w:val="759718731"/>
        <w:rPr>
          <w:rFonts w:eastAsia="Times New Roman"/>
        </w:rPr>
      </w:pPr>
    </w:p>
    <w:p w:rsidR="00000000" w:rsidRDefault="00C56D69">
      <w:pPr>
        <w:divId w:val="1731731845"/>
        <w:rPr>
          <w:rFonts w:eastAsia="Times New Roman"/>
        </w:rPr>
      </w:pPr>
      <w:r>
        <w:rPr>
          <w:rFonts w:eastAsia="Times New Roman"/>
          <w:color w:val="000000"/>
          <w:sz w:val="20"/>
          <w:szCs w:val="20"/>
        </w:rPr>
        <w:t>The following tables disclose the fair values and gross unrealized losses of the 5,220 issues as of September 30, 2022 and the 2,060 issues as of December 31, 2021 that are not deemed to have credit losses, aggregated by investment category and length of t</w:t>
      </w:r>
      <w:r>
        <w:rPr>
          <w:rFonts w:eastAsia="Times New Roman"/>
          <w:color w:val="000000"/>
          <w:sz w:val="20"/>
          <w:szCs w:val="20"/>
        </w:rPr>
        <w:t xml:space="preserve">ime that individual securities have been in a continuous unrealized loss position for the specified periods at the dates indicated. </w:t>
      </w:r>
    </w:p>
    <w:p w:rsidR="00000000" w:rsidRDefault="00C56D69">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0"/>
        <w:gridCol w:w="2869"/>
        <w:gridCol w:w="39"/>
        <w:gridCol w:w="120"/>
        <w:gridCol w:w="600"/>
        <w:gridCol w:w="36"/>
        <w:gridCol w:w="36"/>
        <w:gridCol w:w="36"/>
        <w:gridCol w:w="36"/>
        <w:gridCol w:w="121"/>
        <w:gridCol w:w="698"/>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127285243"/>
        </w:trPr>
        <w:tc>
          <w:tcPr>
            <w:tcW w:w="50" w:type="pct"/>
            <w:vAlign w:val="center"/>
            <w:hideMark/>
          </w:tcPr>
          <w:p w:rsidR="00000000" w:rsidRDefault="00C56D69">
            <w:pPr>
              <w:jc w:val="center"/>
              <w:rPr>
                <w:rFonts w:eastAsia="Times New Roman"/>
              </w:rPr>
            </w:pPr>
          </w:p>
        </w:tc>
        <w:tc>
          <w:tcPr>
            <w:tcW w:w="182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12728524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r>
      <w:tr w:rsidR="00000000">
        <w:trPr>
          <w:divId w:val="12728524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2728524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33,987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8,512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at September 30,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51,412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8,893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59,360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10,783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Height w:val="22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December 31, 2021: </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1,633 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12,204 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3,865 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3,903 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7285243"/>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72852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at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664091977"/>
        <w:rPr>
          <w:rFonts w:eastAsia="Times New Roman"/>
        </w:rPr>
      </w:pPr>
    </w:p>
    <w:p w:rsidR="00000000" w:rsidRDefault="00C56D69">
      <w:pPr>
        <w:jc w:val="center"/>
        <w:divId w:val="915742836"/>
        <w:rPr>
          <w:rFonts w:eastAsia="Times New Roman"/>
        </w:rPr>
      </w:pPr>
    </w:p>
    <w:p w:rsidR="00000000" w:rsidRDefault="00C56D69">
      <w:pPr>
        <w:jc w:val="center"/>
        <w:divId w:val="915742836"/>
        <w:rPr>
          <w:rFonts w:eastAsia="Times New Roman"/>
        </w:rPr>
      </w:pPr>
      <w:r>
        <w:rPr>
          <w:rFonts w:eastAsia="Times New Roman"/>
          <w:color w:val="000000"/>
          <w:sz w:val="20"/>
          <w:szCs w:val="20"/>
        </w:rPr>
        <w:t>20</w:t>
      </w:r>
    </w:p>
    <w:p w:rsidR="00000000" w:rsidRDefault="00C56D69">
      <w:pPr>
        <w:rPr>
          <w:rFonts w:eastAsia="Times New Roman"/>
        </w:rPr>
      </w:pPr>
      <w:r>
        <w:rPr>
          <w:rFonts w:eastAsia="Times New Roman"/>
        </w:rPr>
        <w:pict>
          <v:rect id="_x0000_i1046" style="width:0;height:1.5pt" o:hralign="center" o:hrstd="t" o:hr="t" fillcolor="#a0a0a0" stroked="f"/>
        </w:pict>
      </w:r>
    </w:p>
    <w:p w:rsidR="00000000" w:rsidRDefault="00C56D69">
      <w:pPr>
        <w:divId w:val="197067144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2030596417"/>
        <w:rPr>
          <w:rFonts w:eastAsia="Times New Roman"/>
        </w:rPr>
      </w:pPr>
      <w:r>
        <w:rPr>
          <w:rFonts w:eastAsia="Times New Roman"/>
          <w:b/>
          <w:bCs/>
          <w:color w:val="000000"/>
          <w:sz w:val="20"/>
          <w:szCs w:val="20"/>
        </w:rPr>
        <w:t>EQUITABLE HOLDINGS, INC.</w:t>
      </w:r>
    </w:p>
    <w:p w:rsidR="00000000" w:rsidRDefault="00C56D69">
      <w:pPr>
        <w:jc w:val="center"/>
        <w:divId w:val="2030596417"/>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2030596417"/>
        <w:rPr>
          <w:rFonts w:eastAsia="Times New Roman"/>
        </w:rPr>
      </w:pPr>
    </w:p>
    <w:p w:rsidR="00000000" w:rsidRDefault="00C56D69">
      <w:pPr>
        <w:ind w:firstLine="90"/>
        <w:divId w:val="2080931773"/>
        <w:rPr>
          <w:rFonts w:eastAsia="Times New Roman"/>
        </w:rPr>
      </w:pPr>
    </w:p>
    <w:p w:rsidR="00000000" w:rsidRDefault="00C56D69">
      <w:pPr>
        <w:divId w:val="836458525"/>
        <w:rPr>
          <w:rFonts w:eastAsia="Times New Roman"/>
        </w:rPr>
      </w:pPr>
      <w:r>
        <w:rPr>
          <w:rFonts w:eastAsia="Times New Roman"/>
          <w:color w:val="000000"/>
          <w:sz w:val="20"/>
          <w:szCs w:val="20"/>
        </w:rPr>
        <w:t>The Company’s investments in fixed maturities do not include concentrations of credi</w:t>
      </w:r>
      <w:r>
        <w:rPr>
          <w:rFonts w:eastAsia="Times New Roman"/>
          <w:color w:val="000000"/>
          <w:sz w:val="20"/>
          <w:szCs w:val="20"/>
        </w:rPr>
        <w:t>t risk of any single issuer greater than 10% of the consolidated equity of the Company, other than securities of the U.S. government, U.S. government agencies, and certain securities guaranteed by the U.S. government. The Company maintains a diversified po</w:t>
      </w:r>
      <w:r>
        <w:rPr>
          <w:rFonts w:eastAsia="Times New Roman"/>
          <w:color w:val="000000"/>
          <w:sz w:val="20"/>
          <w:szCs w:val="20"/>
        </w:rPr>
        <w:t>rtfolio of corporate securities across industries and issuers and does not have exposure to any single issuer in excess of 0.6% of total corporate securities. The largest exposures to a single issuer of corporate securities held as of September 30, 2022 an</w:t>
      </w:r>
      <w:r>
        <w:rPr>
          <w:rFonts w:eastAsia="Times New Roman"/>
          <w:color w:val="000000"/>
          <w:sz w:val="20"/>
          <w:szCs w:val="20"/>
        </w:rPr>
        <w:t>d December 31, 2021 were $275 million and $322 million, respectively, representing 5.7% and 2.5% of the consolidated equity of the Company.</w:t>
      </w:r>
    </w:p>
    <w:p w:rsidR="00000000" w:rsidRDefault="00C56D69">
      <w:pPr>
        <w:divId w:val="1914660011"/>
        <w:rPr>
          <w:rFonts w:eastAsia="Times New Roman"/>
        </w:rPr>
      </w:pPr>
      <w:r>
        <w:rPr>
          <w:rFonts w:eastAsia="Times New Roman"/>
          <w:color w:val="000000"/>
          <w:sz w:val="20"/>
          <w:szCs w:val="20"/>
        </w:rPr>
        <w:t>Corporate high yield securities, consisting primarily of public high yield bonds, are classified as other than inves</w:t>
      </w:r>
      <w:r>
        <w:rPr>
          <w:rFonts w:eastAsia="Times New Roman"/>
          <w:color w:val="000000"/>
          <w:sz w:val="20"/>
          <w:szCs w:val="20"/>
        </w:rPr>
        <w:t>tment grade by the various rating agencies, i.e., a rating below Baa3/BBB- or the NAIC designation of 3 (medium investment grade), 4 or 5 (below investment grade) or 6 (in or near default). As of September 30, 2022 and December 31, 2021, respectively, appr</w:t>
      </w:r>
      <w:r>
        <w:rPr>
          <w:rFonts w:eastAsia="Times New Roman"/>
          <w:color w:val="000000"/>
          <w:sz w:val="20"/>
          <w:szCs w:val="20"/>
        </w:rPr>
        <w:t>oximately $2.9 billion and $2.9 billion, or 3.9% and 3.9%, of the $75.3 billion and $73.4 billion aggregate amortized cost of fixed maturities held by the Company were considered to be other than investment grade. These securities had gross unrealized loss</w:t>
      </w:r>
      <w:r>
        <w:rPr>
          <w:rFonts w:eastAsia="Times New Roman"/>
          <w:color w:val="000000"/>
          <w:sz w:val="20"/>
          <w:szCs w:val="20"/>
        </w:rPr>
        <w:t>es of $242 million and $18 million as of September 30, 2022 and December 31, 2021, respectively.</w:t>
      </w:r>
    </w:p>
    <w:p w:rsidR="00000000" w:rsidRDefault="00C56D69">
      <w:pPr>
        <w:divId w:val="590620963"/>
        <w:rPr>
          <w:rFonts w:eastAsia="Times New Roman"/>
        </w:rPr>
      </w:pPr>
      <w:r>
        <w:rPr>
          <w:rFonts w:eastAsia="Times New Roman"/>
          <w:color w:val="000000"/>
          <w:sz w:val="20"/>
          <w:szCs w:val="20"/>
        </w:rPr>
        <w:t>As of September 30, 2022 and December 31, 2021, respectively, the $1,890 million and $91 million of gross unrealized losses of twelve months or more were prima</w:t>
      </w:r>
      <w:r>
        <w:rPr>
          <w:rFonts w:eastAsia="Times New Roman"/>
          <w:color w:val="000000"/>
          <w:sz w:val="20"/>
          <w:szCs w:val="20"/>
        </w:rPr>
        <w:t>rily concentrated in corporate securities. In accordance with the policy described in Note 2 of the Notes to these Consolidated Financial Statements, the Company concluded that an adjustment to allowance for credit losses for these securities was not warra</w:t>
      </w:r>
      <w:r>
        <w:rPr>
          <w:rFonts w:eastAsia="Times New Roman"/>
          <w:color w:val="000000"/>
          <w:sz w:val="20"/>
          <w:szCs w:val="20"/>
        </w:rPr>
        <w:t>nted at either September 30, 2022 or December 31, 2021. As of September 30, 2022 and December 31, 2021, the Company did not intend to sell the securities nor will it likely be required to dispose of the securities before the anticipated recovery of their r</w:t>
      </w:r>
      <w:r>
        <w:rPr>
          <w:rFonts w:eastAsia="Times New Roman"/>
          <w:color w:val="000000"/>
          <w:sz w:val="20"/>
          <w:szCs w:val="20"/>
        </w:rPr>
        <w:t>emaining amortized cost basis.</w:t>
      </w:r>
    </w:p>
    <w:p w:rsidR="00000000" w:rsidRDefault="00C56D69">
      <w:pPr>
        <w:divId w:val="995256908"/>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September 30, 2022, the Company determined that the unrealized loss was pr</w:t>
      </w:r>
      <w:r>
        <w:rPr>
          <w:rFonts w:eastAsia="Times New Roman"/>
          <w:color w:val="000000"/>
          <w:sz w:val="20"/>
          <w:szCs w:val="20"/>
        </w:rPr>
        <w:t>imarily due to increases in interest rates, credit spreads and changes in credit ratings.</w:t>
      </w:r>
    </w:p>
    <w:p w:rsidR="00000000" w:rsidRDefault="00C56D69">
      <w:pPr>
        <w:divId w:val="288047920"/>
        <w:rPr>
          <w:rFonts w:eastAsia="Times New Roman"/>
        </w:rPr>
      </w:pPr>
      <w:r>
        <w:rPr>
          <w:rFonts w:eastAsia="Times New Roman"/>
          <w:color w:val="000000"/>
          <w:sz w:val="20"/>
          <w:szCs w:val="20"/>
          <w:u w:val="single"/>
        </w:rPr>
        <w:t>Mortgage Loans on Real Estate</w:t>
      </w:r>
    </w:p>
    <w:p w:rsidR="00000000" w:rsidRDefault="00C56D69">
      <w:pPr>
        <w:divId w:val="838933932"/>
        <w:rPr>
          <w:rFonts w:eastAsia="Times New Roman"/>
        </w:rPr>
      </w:pPr>
      <w:r>
        <w:rPr>
          <w:rFonts w:eastAsia="Times New Roman"/>
          <w:color w:val="000000"/>
          <w:sz w:val="20"/>
          <w:szCs w:val="20"/>
        </w:rPr>
        <w:t>Accrued interest receivable on commercial and agricultural mortgage loans as of September 30, 2022 and December 31, 2021 was $63 million</w:t>
      </w:r>
      <w:r>
        <w:rPr>
          <w:rFonts w:eastAsia="Times New Roman"/>
          <w:color w:val="000000"/>
          <w:sz w:val="20"/>
          <w:szCs w:val="20"/>
        </w:rPr>
        <w:t xml:space="preserve"> and $57 million, respectively. There was no accrued interest written off for commercial and agricultural mortgage loans for the nine months ended September 30, 2022 and 2021.</w:t>
      </w:r>
    </w:p>
    <w:p w:rsidR="00000000" w:rsidRDefault="00C56D69">
      <w:pPr>
        <w:divId w:val="1499734092"/>
        <w:rPr>
          <w:rFonts w:eastAsia="Times New Roman"/>
        </w:rPr>
      </w:pPr>
      <w:r>
        <w:rPr>
          <w:rFonts w:eastAsia="Times New Roman"/>
          <w:color w:val="000000"/>
          <w:sz w:val="20"/>
          <w:szCs w:val="20"/>
        </w:rPr>
        <w:t>As of September 30, 2022, the Company had no loans for which foreclosure was pro</w:t>
      </w:r>
      <w:r>
        <w:rPr>
          <w:rFonts w:eastAsia="Times New Roman"/>
          <w:color w:val="000000"/>
          <w:sz w:val="20"/>
          <w:szCs w:val="20"/>
        </w:rPr>
        <w:t>bable included within the individually assessed mortgage loans, and accordingly had no associated allowance for credit losses.</w:t>
      </w:r>
    </w:p>
    <w:p w:rsidR="00000000" w:rsidRDefault="00C56D69">
      <w:pPr>
        <w:divId w:val="141434137"/>
        <w:rPr>
          <w:rFonts w:eastAsia="Times New Roman"/>
        </w:rPr>
      </w:pPr>
      <w:r>
        <w:rPr>
          <w:rFonts w:eastAsia="Times New Roman"/>
          <w:color w:val="000000"/>
          <w:sz w:val="20"/>
          <w:szCs w:val="20"/>
          <w:u w:val="single"/>
        </w:rPr>
        <w:t>Allowance for Credit Losses on Mortgage Loans</w:t>
      </w:r>
    </w:p>
    <w:p w:rsidR="00000000" w:rsidRDefault="00C56D69">
      <w:pPr>
        <w:divId w:val="1276135771"/>
        <w:rPr>
          <w:rFonts w:eastAsia="Times New Roman"/>
        </w:rPr>
      </w:pPr>
      <w:r>
        <w:rPr>
          <w:rFonts w:eastAsia="Times New Roman"/>
          <w:color w:val="000000"/>
          <w:sz w:val="20"/>
          <w:szCs w:val="20"/>
        </w:rPr>
        <w:t>The change in the allowance for credit losses for commercial mortgage loans and agricultural mortgage loans during the nine months ended September 30, 2022 and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27"/>
        <w:gridCol w:w="37"/>
        <w:gridCol w:w="120"/>
        <w:gridCol w:w="561"/>
        <w:gridCol w:w="36"/>
        <w:gridCol w:w="36"/>
        <w:gridCol w:w="36"/>
        <w:gridCol w:w="36"/>
        <w:gridCol w:w="120"/>
        <w:gridCol w:w="562"/>
        <w:gridCol w:w="36"/>
        <w:gridCol w:w="36"/>
        <w:gridCol w:w="36"/>
        <w:gridCol w:w="36"/>
        <w:gridCol w:w="120"/>
        <w:gridCol w:w="562"/>
        <w:gridCol w:w="36"/>
        <w:gridCol w:w="36"/>
        <w:gridCol w:w="36"/>
        <w:gridCol w:w="36"/>
        <w:gridCol w:w="120"/>
        <w:gridCol w:w="563"/>
        <w:gridCol w:w="36"/>
        <w:gridCol w:w="36"/>
        <w:gridCol w:w="36"/>
        <w:gridCol w:w="36"/>
      </w:tblGrid>
      <w:tr w:rsidR="00000000">
        <w:trPr>
          <w:divId w:val="1569345929"/>
        </w:trPr>
        <w:tc>
          <w:tcPr>
            <w:tcW w:w="50" w:type="pct"/>
            <w:vAlign w:val="center"/>
            <w:hideMark/>
          </w:tcPr>
          <w:p w:rsidR="00000000" w:rsidRDefault="00C56D69">
            <w:pPr>
              <w:rPr>
                <w:rFonts w:eastAsia="Times New Roman"/>
              </w:rPr>
            </w:pPr>
          </w:p>
        </w:tc>
        <w:tc>
          <w:tcPr>
            <w:tcW w:w="30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56934592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C56D69">
            <w:pPr>
              <w:spacing w:after="100"/>
              <w:jc w:val="center"/>
              <w:rPr>
                <w:rFonts w:eastAsia="Times New Roman"/>
              </w:rPr>
            </w:pPr>
          </w:p>
        </w:tc>
      </w:tr>
      <w:tr w:rsidR="00000000">
        <w:trPr>
          <w:divId w:val="156934592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r>
      <w:tr w:rsidR="00000000">
        <w:trPr>
          <w:divId w:val="156934592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569345929"/>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Allowance for credit losses on 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569345929"/>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Commercial mortgages: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56934592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 xml:space="preserve">Balance, beginning of period </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1569345929"/>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center"/>
        <w:divId w:val="154879133"/>
        <w:rPr>
          <w:rFonts w:eastAsia="Times New Roman"/>
        </w:rPr>
      </w:pPr>
    </w:p>
    <w:p w:rsidR="00000000" w:rsidRDefault="00C56D69">
      <w:pPr>
        <w:jc w:val="center"/>
        <w:divId w:val="154879133"/>
        <w:rPr>
          <w:rFonts w:eastAsia="Times New Roman"/>
        </w:rPr>
      </w:pPr>
      <w:r>
        <w:rPr>
          <w:rFonts w:eastAsia="Times New Roman"/>
          <w:color w:val="000000"/>
          <w:sz w:val="20"/>
          <w:szCs w:val="20"/>
        </w:rPr>
        <w:t>21</w:t>
      </w:r>
    </w:p>
    <w:p w:rsidR="00000000" w:rsidRDefault="00C56D69">
      <w:pPr>
        <w:rPr>
          <w:rFonts w:eastAsia="Times New Roman"/>
        </w:rPr>
      </w:pPr>
      <w:r>
        <w:rPr>
          <w:rFonts w:eastAsia="Times New Roman"/>
        </w:rPr>
        <w:pict>
          <v:rect id="_x0000_i1047" style="width:0;height:1.5pt" o:hralign="center" o:hrstd="t" o:hr="t" fillcolor="#a0a0a0" stroked="f"/>
        </w:pict>
      </w:r>
    </w:p>
    <w:p w:rsidR="00000000" w:rsidRDefault="00C56D69">
      <w:pPr>
        <w:divId w:val="125863220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243294817"/>
        <w:rPr>
          <w:rFonts w:eastAsia="Times New Roman"/>
        </w:rPr>
      </w:pPr>
      <w:r>
        <w:rPr>
          <w:rFonts w:eastAsia="Times New Roman"/>
          <w:b/>
          <w:bCs/>
          <w:color w:val="000000"/>
          <w:sz w:val="20"/>
          <w:szCs w:val="20"/>
        </w:rPr>
        <w:t>EQUITABLE HOLDINGS, INC.</w:t>
      </w:r>
    </w:p>
    <w:p w:rsidR="00000000" w:rsidRDefault="00C56D69">
      <w:pPr>
        <w:jc w:val="center"/>
        <w:divId w:val="1243294817"/>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24329481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928"/>
        <w:gridCol w:w="36"/>
        <w:gridCol w:w="120"/>
        <w:gridCol w:w="562"/>
        <w:gridCol w:w="36"/>
        <w:gridCol w:w="36"/>
        <w:gridCol w:w="36"/>
        <w:gridCol w:w="36"/>
        <w:gridCol w:w="120"/>
        <w:gridCol w:w="562"/>
        <w:gridCol w:w="36"/>
        <w:gridCol w:w="36"/>
        <w:gridCol w:w="36"/>
        <w:gridCol w:w="36"/>
        <w:gridCol w:w="120"/>
        <w:gridCol w:w="562"/>
        <w:gridCol w:w="36"/>
        <w:gridCol w:w="36"/>
        <w:gridCol w:w="36"/>
        <w:gridCol w:w="36"/>
        <w:gridCol w:w="120"/>
        <w:gridCol w:w="563"/>
        <w:gridCol w:w="36"/>
        <w:gridCol w:w="36"/>
        <w:gridCol w:w="36"/>
        <w:gridCol w:w="36"/>
      </w:tblGrid>
      <w:tr w:rsidR="00000000">
        <w:trPr>
          <w:divId w:val="420762360"/>
        </w:trPr>
        <w:tc>
          <w:tcPr>
            <w:tcW w:w="50" w:type="pct"/>
            <w:vAlign w:val="center"/>
            <w:hideMark/>
          </w:tcPr>
          <w:p w:rsidR="00000000" w:rsidRDefault="00C56D69">
            <w:pPr>
              <w:jc w:val="center"/>
              <w:rPr>
                <w:rFonts w:eastAsia="Times New Roman"/>
              </w:rPr>
            </w:pPr>
          </w:p>
        </w:tc>
        <w:tc>
          <w:tcPr>
            <w:tcW w:w="30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2076236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C56D69">
            <w:pPr>
              <w:spacing w:after="100"/>
              <w:jc w:val="center"/>
              <w:rPr>
                <w:rFonts w:eastAsia="Times New Roman"/>
              </w:rPr>
            </w:pPr>
          </w:p>
        </w:tc>
      </w:tr>
      <w:tr w:rsidR="00000000">
        <w:trPr>
          <w:divId w:val="42076236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r>
      <w:tr w:rsidR="00000000">
        <w:trPr>
          <w:divId w:val="42076236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207623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 xml:space="preserve">Agricultural mortgages: </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2076236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r w:rsidR="00000000">
        <w:trPr>
          <w:divId w:val="420762360"/>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207623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allowance for credit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r>
    </w:tbl>
    <w:p w:rsidR="00000000" w:rsidRDefault="00C56D69">
      <w:pPr>
        <w:ind w:hanging="360"/>
        <w:divId w:val="518011040"/>
        <w:rPr>
          <w:rFonts w:eastAsia="Times New Roman"/>
        </w:rPr>
      </w:pPr>
    </w:p>
    <w:p w:rsidR="00000000" w:rsidRDefault="00C56D69">
      <w:pPr>
        <w:divId w:val="1951357483"/>
        <w:rPr>
          <w:rFonts w:eastAsia="Times New Roman"/>
        </w:rPr>
      </w:pPr>
      <w:r>
        <w:rPr>
          <w:rFonts w:eastAsia="Times New Roman"/>
          <w:color w:val="000000"/>
          <w:sz w:val="20"/>
          <w:szCs w:val="20"/>
        </w:rPr>
        <w:t>The change in the allowance for credit losses is attributable to:</w:t>
      </w:r>
    </w:p>
    <w:p w:rsidR="00000000" w:rsidRDefault="00C56D69">
      <w:pPr>
        <w:ind w:hanging="360"/>
        <w:jc w:val="both"/>
        <w:divId w:val="1368212569"/>
        <w:rPr>
          <w:rFonts w:eastAsia="Times New Roman"/>
        </w:rPr>
      </w:pPr>
      <w:r>
        <w:rPr>
          <w:rFonts w:eastAsia="Times New Roman"/>
          <w:color w:val="000000"/>
          <w:sz w:val="20"/>
          <w:szCs w:val="20"/>
        </w:rPr>
        <w:t>•</w:t>
      </w:r>
      <w:r>
        <w:rPr>
          <w:rFonts w:eastAsia="Times New Roman"/>
          <w:color w:val="000000"/>
          <w:sz w:val="20"/>
          <w:szCs w:val="20"/>
        </w:rPr>
        <w:t>increases/decreases in the loan balance due to new originations, maturing mortgages, and loan amortization; and</w:t>
      </w:r>
    </w:p>
    <w:p w:rsidR="00000000" w:rsidRDefault="00C56D69">
      <w:pPr>
        <w:ind w:hanging="360"/>
        <w:divId w:val="568883685"/>
        <w:rPr>
          <w:rFonts w:eastAsia="Times New Roman"/>
        </w:rPr>
      </w:pPr>
      <w:r>
        <w:rPr>
          <w:rFonts w:eastAsia="Times New Roman"/>
          <w:color w:val="000000"/>
          <w:sz w:val="20"/>
          <w:szCs w:val="20"/>
        </w:rPr>
        <w:t>•changes in credit quality.</w:t>
      </w:r>
    </w:p>
    <w:p w:rsidR="00000000" w:rsidRDefault="00C56D69">
      <w:pPr>
        <w:divId w:val="1900820746"/>
        <w:rPr>
          <w:rFonts w:eastAsia="Times New Roman"/>
        </w:rPr>
      </w:pPr>
      <w:r>
        <w:rPr>
          <w:rFonts w:eastAsia="Times New Roman"/>
          <w:color w:val="000000"/>
          <w:sz w:val="20"/>
          <w:szCs w:val="20"/>
          <w:u w:val="single"/>
        </w:rPr>
        <w:t>Credit Quality Information</w:t>
      </w:r>
    </w:p>
    <w:p w:rsidR="00000000" w:rsidRDefault="00C56D69">
      <w:pPr>
        <w:divId w:val="1002703537"/>
        <w:rPr>
          <w:rFonts w:eastAsia="Times New Roman"/>
        </w:rPr>
      </w:pPr>
      <w:r>
        <w:rPr>
          <w:rFonts w:eastAsia="Times New Roman"/>
          <w:color w:val="000000"/>
          <w:sz w:val="20"/>
          <w:szCs w:val="20"/>
        </w:rPr>
        <w:t>The following tables summarize the Company’s mortgage loans segregated by risk rating exp</w:t>
      </w:r>
      <w:r>
        <w:rPr>
          <w:rFonts w:eastAsia="Times New Roman"/>
          <w:color w:val="000000"/>
          <w:sz w:val="20"/>
          <w:szCs w:val="20"/>
        </w:rPr>
        <w:t>osure as of September 30, 2022 and December 31, 2021.</w:t>
      </w:r>
    </w:p>
    <w:p w:rsidR="00000000" w:rsidRDefault="00C56D69">
      <w:pPr>
        <w:divId w:val="942420039"/>
        <w:rPr>
          <w:rFonts w:eastAsia="Times New Roman"/>
        </w:rPr>
      </w:pPr>
    </w:p>
    <w:p w:rsidR="00000000" w:rsidRDefault="00C56D69">
      <w:pPr>
        <w:jc w:val="center"/>
        <w:rPr>
          <w:rFonts w:eastAsia="Times New Roman"/>
        </w:rPr>
      </w:pPr>
      <w:r>
        <w:rPr>
          <w:rFonts w:eastAsia="Times New Roman"/>
          <w:b/>
          <w:bCs/>
          <w:color w:val="000000"/>
          <w:sz w:val="20"/>
          <w:szCs w:val="20"/>
        </w:rPr>
        <w:t>Loan to Value (“LTV”) Ratios (1)</w:t>
      </w:r>
    </w:p>
    <w:tbl>
      <w:tblPr>
        <w:tblW w:w="4956" w:type="pct"/>
        <w:jc w:val="center"/>
        <w:tblCellMar>
          <w:top w:w="15" w:type="dxa"/>
          <w:left w:w="15" w:type="dxa"/>
          <w:bottom w:w="15" w:type="dxa"/>
          <w:right w:w="15" w:type="dxa"/>
        </w:tblCellMar>
        <w:tblLook w:val="04A0" w:firstRow="1" w:lastRow="0" w:firstColumn="1" w:lastColumn="0" w:noHBand="0" w:noVBand="1"/>
      </w:tblPr>
      <w:tblGrid>
        <w:gridCol w:w="52"/>
        <w:gridCol w:w="1167"/>
        <w:gridCol w:w="38"/>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1"/>
        <w:gridCol w:w="36"/>
        <w:gridCol w:w="36"/>
        <w:gridCol w:w="36"/>
        <w:gridCol w:w="36"/>
        <w:gridCol w:w="121"/>
        <w:gridCol w:w="666"/>
        <w:gridCol w:w="36"/>
        <w:gridCol w:w="36"/>
        <w:gridCol w:w="36"/>
        <w:gridCol w:w="36"/>
        <w:gridCol w:w="120"/>
        <w:gridCol w:w="600"/>
        <w:gridCol w:w="36"/>
      </w:tblGrid>
      <w:tr w:rsidR="00000000">
        <w:trPr>
          <w:divId w:val="1422095141"/>
          <w:jc w:val="center"/>
        </w:trPr>
        <w:tc>
          <w:tcPr>
            <w:tcW w:w="50" w:type="pct"/>
            <w:vAlign w:val="center"/>
            <w:hideMark/>
          </w:tcPr>
          <w:p w:rsidR="00000000" w:rsidRDefault="00C56D69">
            <w:pPr>
              <w:jc w:val="center"/>
              <w:rPr>
                <w:rFonts w:eastAsia="Times New Roman"/>
              </w:rPr>
            </w:pPr>
          </w:p>
        </w:tc>
        <w:tc>
          <w:tcPr>
            <w:tcW w:w="11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422095141"/>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September 30, 2022</w:t>
            </w:r>
          </w:p>
        </w:tc>
      </w:tr>
      <w:tr w:rsidR="00000000">
        <w:trPr>
          <w:divId w:val="1422095141"/>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422095141"/>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1422095141"/>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422095141"/>
          <w:jc w:val="center"/>
        </w:trPr>
        <w:tc>
          <w:tcPr>
            <w:tcW w:w="0" w:type="auto"/>
            <w:gridSpan w:val="3"/>
            <w:tcMar>
              <w:top w:w="30" w:type="dxa"/>
              <w:left w:w="20" w:type="dxa"/>
              <w:bottom w:w="30" w:type="dxa"/>
              <w:right w:w="20" w:type="dxa"/>
            </w:tcMar>
            <w:vAlign w:val="bottom"/>
            <w:hideMark/>
          </w:tcPr>
          <w:p w:rsidR="00000000" w:rsidRDefault="00C56D69">
            <w:pPr>
              <w:spacing w:after="100"/>
              <w:divId w:val="937712487"/>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22095141"/>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422095141"/>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2,206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8,770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CCEE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13,174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2209514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22095141"/>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422095141"/>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422095141"/>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1422095141"/>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22095141"/>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41178352"/>
        <w:rPr>
          <w:rFonts w:eastAsia="Times New Roman"/>
        </w:rPr>
      </w:pPr>
    </w:p>
    <w:p w:rsidR="00000000" w:rsidRDefault="00C56D69">
      <w:pPr>
        <w:jc w:val="center"/>
        <w:divId w:val="41178352"/>
        <w:rPr>
          <w:rFonts w:eastAsia="Times New Roman"/>
        </w:rPr>
      </w:pPr>
      <w:r>
        <w:rPr>
          <w:rFonts w:eastAsia="Times New Roman"/>
          <w:color w:val="000000"/>
          <w:sz w:val="20"/>
          <w:szCs w:val="20"/>
        </w:rPr>
        <w:t>22</w:t>
      </w:r>
    </w:p>
    <w:p w:rsidR="00000000" w:rsidRDefault="00C56D69">
      <w:pPr>
        <w:rPr>
          <w:rFonts w:eastAsia="Times New Roman"/>
        </w:rPr>
      </w:pPr>
      <w:r>
        <w:rPr>
          <w:rFonts w:eastAsia="Times New Roman"/>
        </w:rPr>
        <w:pict>
          <v:rect id="_x0000_i1048" style="width:0;height:1.5pt" o:hralign="center" o:hrstd="t" o:hr="t" fillcolor="#a0a0a0" stroked="f"/>
        </w:pict>
      </w:r>
    </w:p>
    <w:p w:rsidR="00000000" w:rsidRDefault="00C56D69">
      <w:pPr>
        <w:divId w:val="195409677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497183036"/>
        <w:rPr>
          <w:rFonts w:eastAsia="Times New Roman"/>
        </w:rPr>
      </w:pPr>
      <w:r>
        <w:rPr>
          <w:rFonts w:eastAsia="Times New Roman"/>
          <w:b/>
          <w:bCs/>
          <w:color w:val="000000"/>
          <w:sz w:val="20"/>
          <w:szCs w:val="20"/>
        </w:rPr>
        <w:t>EQU</w:t>
      </w:r>
      <w:r>
        <w:rPr>
          <w:rFonts w:eastAsia="Times New Roman"/>
          <w:b/>
          <w:bCs/>
          <w:color w:val="000000"/>
          <w:sz w:val="20"/>
          <w:szCs w:val="20"/>
        </w:rPr>
        <w:t>ITABLE HOLDINGS, INC.</w:t>
      </w:r>
    </w:p>
    <w:p w:rsidR="00000000" w:rsidRDefault="00C56D69">
      <w:pPr>
        <w:jc w:val="center"/>
        <w:divId w:val="149718303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497183036"/>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4"/>
        <w:gridCol w:w="1105"/>
        <w:gridCol w:w="37"/>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1"/>
        <w:gridCol w:w="36"/>
        <w:gridCol w:w="36"/>
        <w:gridCol w:w="36"/>
        <w:gridCol w:w="36"/>
        <w:gridCol w:w="121"/>
        <w:gridCol w:w="666"/>
        <w:gridCol w:w="36"/>
        <w:gridCol w:w="36"/>
        <w:gridCol w:w="36"/>
        <w:gridCol w:w="36"/>
        <w:gridCol w:w="120"/>
        <w:gridCol w:w="600"/>
        <w:gridCol w:w="36"/>
      </w:tblGrid>
      <w:tr w:rsidR="00000000">
        <w:trPr>
          <w:divId w:val="8534776"/>
          <w:jc w:val="center"/>
        </w:trPr>
        <w:tc>
          <w:tcPr>
            <w:tcW w:w="50" w:type="pct"/>
            <w:vAlign w:val="center"/>
            <w:hideMark/>
          </w:tcPr>
          <w:p w:rsidR="00000000" w:rsidRDefault="00C56D69">
            <w:pPr>
              <w:jc w:val="center"/>
              <w:rPr>
                <w:rFonts w:eastAsia="Times New Roman"/>
              </w:rPr>
            </w:pPr>
          </w:p>
        </w:tc>
        <w:tc>
          <w:tcPr>
            <w:tcW w:w="11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8534776"/>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September 30, 2022</w:t>
            </w:r>
          </w:p>
        </w:tc>
      </w:tr>
      <w:tr w:rsidR="00000000">
        <w:trPr>
          <w:divId w:val="853477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 Basis by Origination Year</w:t>
            </w:r>
          </w:p>
        </w:tc>
      </w:tr>
      <w:tr w:rsidR="00000000">
        <w:trPr>
          <w:divId w:val="853477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853477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C56D69">
        <w:trPr>
          <w:divId w:val="8534776"/>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2,223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3,743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8534776"/>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2,874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9,814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8534776"/>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913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8534776"/>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8534776"/>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6,184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15,771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bl>
    <w:p w:rsidR="00000000" w:rsidRDefault="00C56D69">
      <w:pPr>
        <w:divId w:val="1675305624"/>
        <w:rPr>
          <w:rFonts w:eastAsia="Times New Roman"/>
        </w:rPr>
      </w:pPr>
    </w:p>
    <w:p w:rsidR="00000000" w:rsidRDefault="00C56D69">
      <w:pPr>
        <w:divId w:val="647637170"/>
        <w:rPr>
          <w:rFonts w:eastAsia="Times New Roman"/>
        </w:rPr>
      </w:pPr>
    </w:p>
    <w:p w:rsidR="00000000" w:rsidRDefault="00C56D69">
      <w:pPr>
        <w:jc w:val="center"/>
        <w:rPr>
          <w:rFonts w:eastAsia="Times New Roman"/>
        </w:rPr>
      </w:pPr>
      <w:r>
        <w:rPr>
          <w:rFonts w:eastAsia="Times New Roman"/>
          <w:b/>
          <w:bCs/>
          <w:color w:val="000000"/>
          <w:sz w:val="20"/>
          <w:szCs w:val="20"/>
        </w:rPr>
        <w:t>Debt Service Coverage Ratios (“DSC”) (2</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624849982"/>
          <w:jc w:val="center"/>
        </w:trPr>
        <w:tc>
          <w:tcPr>
            <w:tcW w:w="50" w:type="pct"/>
            <w:vAlign w:val="center"/>
            <w:hideMark/>
          </w:tcPr>
          <w:p w:rsidR="00000000" w:rsidRDefault="00C56D69">
            <w:pPr>
              <w:jc w:val="center"/>
              <w:rPr>
                <w:rFonts w:eastAsia="Times New Roman"/>
              </w:rPr>
            </w:pPr>
          </w:p>
        </w:tc>
        <w:tc>
          <w:tcPr>
            <w:tcW w:w="11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624849982"/>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September 30, 2022</w:t>
            </w:r>
          </w:p>
        </w:tc>
      </w:tr>
      <w:tr w:rsidR="00000000">
        <w:trPr>
          <w:divId w:val="62484998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 Basis by Origination Year</w:t>
            </w:r>
          </w:p>
        </w:tc>
      </w:tr>
      <w:tr w:rsidR="00000000">
        <w:trPr>
          <w:divId w:val="62484998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62484998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624849982"/>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624849982"/>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62484998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w:t>
            </w:r>
            <w:r>
              <w:rPr>
                <w:rFonts w:eastAsia="Times New Roman"/>
                <w:color w:val="000000"/>
                <w:sz w:val="20"/>
                <w:szCs w:val="20"/>
              </w:rPr>
              <w:t>to 1.8x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25"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25"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5,138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13,174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62484998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624849982"/>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624849982"/>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w:t>
            </w:r>
            <w:r>
              <w:rPr>
                <w:rFonts w:eastAsia="Times New Roman"/>
                <w:color w:val="000000"/>
                <w:sz w:val="20"/>
                <w:szCs w:val="20"/>
              </w:rPr>
              <w:t>to 2.0x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929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2,597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624849982"/>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24849982"/>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624849982"/>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5,742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1,375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2,845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624849982"/>
          <w:jc w:val="center"/>
        </w:trPr>
        <w:tc>
          <w:tcPr>
            <w:tcW w:w="0" w:type="auto"/>
            <w:gridSpan w:val="3"/>
            <w:shd w:val="clear" w:color="auto" w:fill="FFFF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bl>
    <w:p w:rsidR="00000000" w:rsidRDefault="00C56D69">
      <w:pPr>
        <w:jc w:val="center"/>
        <w:divId w:val="473908459"/>
        <w:rPr>
          <w:rFonts w:eastAsia="Times New Roman"/>
        </w:rPr>
      </w:pPr>
    </w:p>
    <w:p w:rsidR="00000000" w:rsidRDefault="00C56D69">
      <w:pPr>
        <w:jc w:val="center"/>
        <w:divId w:val="473908459"/>
        <w:rPr>
          <w:rFonts w:eastAsia="Times New Roman"/>
        </w:rPr>
      </w:pPr>
      <w:r>
        <w:rPr>
          <w:rFonts w:eastAsia="Times New Roman"/>
          <w:color w:val="000000"/>
          <w:sz w:val="20"/>
          <w:szCs w:val="20"/>
        </w:rPr>
        <w:t>23</w:t>
      </w:r>
    </w:p>
    <w:p w:rsidR="00000000" w:rsidRDefault="00C56D69">
      <w:pPr>
        <w:rPr>
          <w:rFonts w:eastAsia="Times New Roman"/>
        </w:rPr>
      </w:pPr>
      <w:r>
        <w:rPr>
          <w:rFonts w:eastAsia="Times New Roman"/>
        </w:rPr>
        <w:pict>
          <v:rect id="_x0000_i1049" style="width:0;height:1.5pt" o:hralign="center" o:hrstd="t" o:hr="t" fillcolor="#a0a0a0" stroked="f"/>
        </w:pict>
      </w:r>
    </w:p>
    <w:p w:rsidR="00000000" w:rsidRDefault="00C56D69">
      <w:pPr>
        <w:divId w:val="38430487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342582056"/>
        <w:rPr>
          <w:rFonts w:eastAsia="Times New Roman"/>
        </w:rPr>
      </w:pPr>
      <w:r>
        <w:rPr>
          <w:rFonts w:eastAsia="Times New Roman"/>
          <w:b/>
          <w:bCs/>
          <w:color w:val="000000"/>
          <w:sz w:val="20"/>
          <w:szCs w:val="20"/>
        </w:rPr>
        <w:t>EQUITABLE HOLDINGS, INC.</w:t>
      </w:r>
    </w:p>
    <w:p w:rsidR="00000000" w:rsidRDefault="00C56D69">
      <w:pPr>
        <w:jc w:val="center"/>
        <w:divId w:val="134258205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342582056"/>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720"/>
        <w:gridCol w:w="37"/>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397"/>
        <w:gridCol w:w="36"/>
        <w:gridCol w:w="36"/>
        <w:gridCol w:w="36"/>
        <w:gridCol w:w="36"/>
        <w:gridCol w:w="120"/>
        <w:gridCol w:w="600"/>
        <w:gridCol w:w="36"/>
      </w:tblGrid>
      <w:tr w:rsidR="00000000">
        <w:trPr>
          <w:divId w:val="1012145526"/>
          <w:jc w:val="center"/>
        </w:trPr>
        <w:tc>
          <w:tcPr>
            <w:tcW w:w="50" w:type="pct"/>
            <w:vAlign w:val="center"/>
            <w:hideMark/>
          </w:tcPr>
          <w:p w:rsidR="00000000" w:rsidRDefault="00C56D69">
            <w:pPr>
              <w:jc w:val="center"/>
              <w:rPr>
                <w:rFonts w:eastAsia="Times New Roman"/>
              </w:rPr>
            </w:pPr>
          </w:p>
        </w:tc>
        <w:tc>
          <w:tcPr>
            <w:tcW w:w="11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C56D69">
        <w:trPr>
          <w:divId w:val="1012145526"/>
          <w:jc w:val="center"/>
        </w:trPr>
        <w:tc>
          <w:tcPr>
            <w:tcW w:w="0" w:type="auto"/>
            <w:gridSpan w:val="3"/>
            <w:shd w:val="clear" w:color="auto" w:fill="CCEE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012145526"/>
          <w:jc w:val="center"/>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1,822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852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1,419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6,184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15,771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bl>
    <w:p w:rsidR="00000000" w:rsidRDefault="00C56D69">
      <w:pPr>
        <w:ind w:hanging="270"/>
        <w:divId w:val="928805307"/>
        <w:rPr>
          <w:rFonts w:eastAsia="Times New Roman"/>
        </w:rPr>
      </w:pPr>
      <w:r>
        <w:rPr>
          <w:rFonts w:eastAsia="Times New Roman"/>
          <w:color w:val="000000"/>
          <w:sz w:val="18"/>
          <w:szCs w:val="18"/>
        </w:rPr>
        <w:t xml:space="preserve">______________ </w:t>
      </w:r>
    </w:p>
    <w:p w:rsidR="00000000" w:rsidRDefault="00C56D69">
      <w:pPr>
        <w:ind w:hanging="270"/>
        <w:divId w:val="892696553"/>
        <w:rPr>
          <w:rFonts w:eastAsia="Times New Roman"/>
        </w:rPr>
      </w:pPr>
      <w:r>
        <w:rPr>
          <w:rFonts w:eastAsia="Times New Roman"/>
          <w:color w:val="000000"/>
          <w:sz w:val="18"/>
          <w:szCs w:val="18"/>
        </w:rPr>
        <w:t>(1)The LTV ratio is derived from current loan balance div</w:t>
      </w:r>
      <w:r>
        <w:rPr>
          <w:rFonts w:eastAsia="Times New Roman"/>
          <w:color w:val="000000"/>
          <w:sz w:val="18"/>
          <w:szCs w:val="18"/>
        </w:rPr>
        <w:t>ided by the fair value of the property. The fair value of the underlying commercial properties is updated annually for each mortgage loan.</w:t>
      </w:r>
    </w:p>
    <w:p w:rsidR="00000000" w:rsidRDefault="00C56D69">
      <w:pPr>
        <w:ind w:hanging="270"/>
        <w:divId w:val="1459254150"/>
        <w:rPr>
          <w:rFonts w:eastAsia="Times New Roman"/>
        </w:rPr>
      </w:pPr>
      <w:r>
        <w:rPr>
          <w:rFonts w:eastAsia="Times New Roman"/>
          <w:color w:val="000000"/>
          <w:sz w:val="18"/>
          <w:szCs w:val="18"/>
        </w:rPr>
        <w:t>(2)The DSC ratio is calculated using the most recently reported operating income results from property operations div</w:t>
      </w:r>
      <w:r>
        <w:rPr>
          <w:rFonts w:eastAsia="Times New Roman"/>
          <w:color w:val="000000"/>
          <w:sz w:val="18"/>
          <w:szCs w:val="18"/>
        </w:rPr>
        <w:t>ided by annual debt service.</w:t>
      </w:r>
    </w:p>
    <w:p w:rsidR="00000000" w:rsidRDefault="00C56D69">
      <w:pPr>
        <w:jc w:val="center"/>
        <w:rPr>
          <w:rFonts w:eastAsia="Times New Roman"/>
        </w:rPr>
      </w:pPr>
      <w:r>
        <w:rPr>
          <w:rFonts w:eastAsia="Times New Roman"/>
          <w:b/>
          <w:bCs/>
          <w:color w:val="000000"/>
          <w:sz w:val="20"/>
          <w:szCs w:val="20"/>
        </w:rPr>
        <w:t>LTV Ratios (1)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642615472"/>
          <w:jc w:val="center"/>
        </w:trPr>
        <w:tc>
          <w:tcPr>
            <w:tcW w:w="50" w:type="pct"/>
            <w:vAlign w:val="center"/>
            <w:hideMark/>
          </w:tcPr>
          <w:p w:rsidR="00000000" w:rsidRDefault="00C56D69">
            <w:pPr>
              <w:jc w:val="center"/>
              <w:rPr>
                <w:rFonts w:eastAsia="Times New Roman"/>
              </w:rPr>
            </w:pPr>
          </w:p>
        </w:tc>
        <w:tc>
          <w:tcPr>
            <w:tcW w:w="11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642615472"/>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December 31, 2021</w:t>
            </w:r>
          </w:p>
        </w:tc>
      </w:tr>
      <w:tr w:rsidR="00000000">
        <w:trPr>
          <w:divId w:val="164261547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Amortized Cost Basis by Origination Year</w:t>
            </w:r>
          </w:p>
        </w:tc>
      </w:tr>
      <w:tr w:rsidR="00000000">
        <w:trPr>
          <w:divId w:val="164261547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Total</w:t>
            </w:r>
          </w:p>
        </w:tc>
      </w:tr>
      <w:tr w:rsidR="00000000">
        <w:trPr>
          <w:divId w:val="164261547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642615472"/>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42615472"/>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1,286 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2,533 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7,351 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972 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2,501 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4261547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42615472"/>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1642615472"/>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642615472"/>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1,747 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2,992 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2,144 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1,554 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578 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2,871 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8,472 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989 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2,518 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642615472"/>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bl>
    <w:p w:rsidR="00000000" w:rsidRDefault="00C56D69">
      <w:pPr>
        <w:divId w:val="1106148216"/>
        <w:rPr>
          <w:rFonts w:eastAsia="Times New Roman"/>
        </w:rPr>
      </w:pPr>
    </w:p>
    <w:p w:rsidR="00000000" w:rsidRDefault="00C56D69">
      <w:pPr>
        <w:jc w:val="center"/>
        <w:rPr>
          <w:rFonts w:eastAsia="Times New Roman"/>
        </w:rPr>
      </w:pPr>
      <w:r>
        <w:rPr>
          <w:rFonts w:eastAsia="Times New Roman"/>
          <w:b/>
          <w:bCs/>
          <w:color w:val="000000"/>
          <w:sz w:val="20"/>
          <w:szCs w:val="20"/>
        </w:rPr>
        <w:t>DSC Ratios (2)</w:t>
      </w: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808"/>
        <w:gridCol w:w="37"/>
        <w:gridCol w:w="47"/>
        <w:gridCol w:w="506"/>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94"/>
        <w:gridCol w:w="666"/>
        <w:gridCol w:w="36"/>
        <w:gridCol w:w="36"/>
        <w:gridCol w:w="36"/>
        <w:gridCol w:w="36"/>
        <w:gridCol w:w="94"/>
        <w:gridCol w:w="666"/>
        <w:gridCol w:w="36"/>
        <w:gridCol w:w="36"/>
        <w:gridCol w:w="36"/>
        <w:gridCol w:w="36"/>
        <w:gridCol w:w="49"/>
        <w:gridCol w:w="472"/>
        <w:gridCol w:w="36"/>
      </w:tblGrid>
      <w:tr w:rsidR="00000000">
        <w:trPr>
          <w:divId w:val="22748086"/>
          <w:jc w:val="center"/>
        </w:trPr>
        <w:tc>
          <w:tcPr>
            <w:tcW w:w="50" w:type="pct"/>
            <w:vAlign w:val="center"/>
            <w:hideMark/>
          </w:tcPr>
          <w:p w:rsidR="00000000" w:rsidRDefault="00C56D69">
            <w:pPr>
              <w:jc w:val="center"/>
              <w:rPr>
                <w:rFonts w:eastAsia="Times New Roman"/>
              </w:rPr>
            </w:pPr>
          </w:p>
        </w:tc>
        <w:tc>
          <w:tcPr>
            <w:tcW w:w="11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2748086"/>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December 31, 2021</w:t>
            </w:r>
          </w:p>
        </w:tc>
      </w:tr>
      <w:tr w:rsidR="00000000">
        <w:trPr>
          <w:divId w:val="2274808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Amortized Cost Basis by Origination Year</w:t>
            </w:r>
          </w:p>
        </w:tc>
      </w:tr>
      <w:tr w:rsidR="00000000">
        <w:trPr>
          <w:divId w:val="2274808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Total</w:t>
            </w:r>
          </w:p>
        </w:tc>
      </w:tr>
      <w:tr w:rsidR="00000000">
        <w:trPr>
          <w:divId w:val="2274808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2748086"/>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748086"/>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460734192"/>
        <w:rPr>
          <w:rFonts w:eastAsia="Times New Roman"/>
        </w:rPr>
      </w:pPr>
    </w:p>
    <w:p w:rsidR="00000000" w:rsidRDefault="00C56D69">
      <w:pPr>
        <w:jc w:val="center"/>
        <w:divId w:val="460734192"/>
        <w:rPr>
          <w:rFonts w:eastAsia="Times New Roman"/>
        </w:rPr>
      </w:pPr>
      <w:r>
        <w:rPr>
          <w:rFonts w:eastAsia="Times New Roman"/>
          <w:color w:val="000000"/>
          <w:sz w:val="20"/>
          <w:szCs w:val="20"/>
        </w:rPr>
        <w:t>24</w:t>
      </w:r>
    </w:p>
    <w:p w:rsidR="00000000" w:rsidRDefault="00C56D69">
      <w:pPr>
        <w:rPr>
          <w:rFonts w:eastAsia="Times New Roman"/>
        </w:rPr>
      </w:pPr>
      <w:r>
        <w:rPr>
          <w:rFonts w:eastAsia="Times New Roman"/>
        </w:rPr>
        <w:pict>
          <v:rect id="_x0000_i1050" style="width:0;height:1.5pt" o:hralign="center" o:hrstd="t" o:hr="t" fillcolor="#a0a0a0" stroked="f"/>
        </w:pict>
      </w:r>
    </w:p>
    <w:p w:rsidR="00000000" w:rsidRDefault="00C56D69">
      <w:pPr>
        <w:divId w:val="174590875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666203947"/>
        <w:rPr>
          <w:rFonts w:eastAsia="Times New Roman"/>
        </w:rPr>
      </w:pPr>
      <w:r>
        <w:rPr>
          <w:rFonts w:eastAsia="Times New Roman"/>
          <w:b/>
          <w:bCs/>
          <w:color w:val="000000"/>
          <w:sz w:val="20"/>
          <w:szCs w:val="20"/>
        </w:rPr>
        <w:t>EQUITABLE HOLDINGS, INC.</w:t>
      </w:r>
    </w:p>
    <w:p w:rsidR="00000000" w:rsidRDefault="00C56D69">
      <w:pPr>
        <w:jc w:val="center"/>
        <w:divId w:val="666203947"/>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666203947"/>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714"/>
        <w:gridCol w:w="37"/>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397"/>
        <w:gridCol w:w="36"/>
        <w:gridCol w:w="36"/>
        <w:gridCol w:w="36"/>
        <w:gridCol w:w="36"/>
        <w:gridCol w:w="120"/>
        <w:gridCol w:w="600"/>
        <w:gridCol w:w="36"/>
      </w:tblGrid>
      <w:tr w:rsidR="00000000">
        <w:trPr>
          <w:divId w:val="1894392808"/>
          <w:jc w:val="center"/>
        </w:trPr>
        <w:tc>
          <w:tcPr>
            <w:tcW w:w="50" w:type="pct"/>
            <w:vAlign w:val="center"/>
            <w:hideMark/>
          </w:tcPr>
          <w:p w:rsidR="00000000" w:rsidRDefault="00C56D69">
            <w:pPr>
              <w:jc w:val="center"/>
              <w:rPr>
                <w:rFonts w:eastAsia="Times New Roman"/>
              </w:rPr>
            </w:pPr>
          </w:p>
        </w:tc>
        <w:tc>
          <w:tcPr>
            <w:tcW w:w="11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C56D69">
        <w:trPr>
          <w:divId w:val="1894392808"/>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1,243 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2,235 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6,088 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1,952 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25"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701 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25"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267 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25"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1894392808"/>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94392808"/>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894392808"/>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w:t>
            </w:r>
            <w:r>
              <w:rPr>
                <w:rFonts w:eastAsia="Times New Roman"/>
                <w:color w:val="000000"/>
                <w:sz w:val="20"/>
                <w:szCs w:val="20"/>
              </w:rPr>
              <w:t>to 1.2x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000000">
        <w:trPr>
          <w:divId w:val="1894392808"/>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94392808"/>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894392808"/>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1,307 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794 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2,445 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6,482 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1,361 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1.2x </w:t>
            </w:r>
            <w:r>
              <w:rPr>
                <w:rFonts w:eastAsia="Times New Roman"/>
                <w:color w:val="000000"/>
                <w:sz w:val="20"/>
                <w:szCs w:val="20"/>
              </w:rPr>
              <w:t>to 1.5x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2,484 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CCEEFF"/>
            <w:tcMar>
              <w:top w:w="30" w:type="dxa"/>
              <w:left w:w="140"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r>
      <w:tr w:rsidR="00C56D69">
        <w:trPr>
          <w:divId w:val="1894392808"/>
          <w:jc w:val="center"/>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r>
    </w:tbl>
    <w:p w:rsidR="00000000" w:rsidRDefault="00C56D69">
      <w:pPr>
        <w:ind w:hanging="270"/>
        <w:divId w:val="2132940455"/>
        <w:rPr>
          <w:rFonts w:eastAsia="Times New Roman"/>
        </w:rPr>
      </w:pPr>
      <w:r>
        <w:rPr>
          <w:rFonts w:eastAsia="Times New Roman"/>
          <w:color w:val="000000"/>
          <w:sz w:val="18"/>
          <w:szCs w:val="18"/>
        </w:rPr>
        <w:t xml:space="preserve">______________ </w:t>
      </w:r>
    </w:p>
    <w:p w:rsidR="00000000" w:rsidRDefault="00C56D69">
      <w:pPr>
        <w:ind w:hanging="270"/>
        <w:divId w:val="634064039"/>
        <w:rPr>
          <w:rFonts w:eastAsia="Times New Roman"/>
        </w:rPr>
      </w:pPr>
      <w:r>
        <w:rPr>
          <w:rFonts w:eastAsia="Times New Roman"/>
          <w:color w:val="000000"/>
          <w:sz w:val="18"/>
          <w:szCs w:val="18"/>
        </w:rPr>
        <w:t>(1)The LTV ratio is derived from current loan balance div</w:t>
      </w:r>
      <w:r>
        <w:rPr>
          <w:rFonts w:eastAsia="Times New Roman"/>
          <w:color w:val="000000"/>
          <w:sz w:val="18"/>
          <w:szCs w:val="18"/>
        </w:rPr>
        <w:t>ided by the fair value of the property. The fair value of the underlying commercial properties is updated annually for each mortgage loan.</w:t>
      </w:r>
    </w:p>
    <w:p w:rsidR="00000000" w:rsidRDefault="00C56D69">
      <w:pPr>
        <w:ind w:hanging="270"/>
        <w:divId w:val="1627732973"/>
        <w:rPr>
          <w:rFonts w:eastAsia="Times New Roman"/>
        </w:rPr>
      </w:pPr>
      <w:r>
        <w:rPr>
          <w:rFonts w:eastAsia="Times New Roman"/>
          <w:color w:val="000000"/>
          <w:sz w:val="18"/>
          <w:szCs w:val="18"/>
        </w:rPr>
        <w:t>(2)The DSC ratio is calculated using the most recently reported operating income results from property operations div</w:t>
      </w:r>
      <w:r>
        <w:rPr>
          <w:rFonts w:eastAsia="Times New Roman"/>
          <w:color w:val="000000"/>
          <w:sz w:val="18"/>
          <w:szCs w:val="18"/>
        </w:rPr>
        <w:t>ided by annual debt service.</w:t>
      </w:r>
    </w:p>
    <w:p w:rsidR="00000000" w:rsidRDefault="00C56D69">
      <w:pPr>
        <w:divId w:val="319848200"/>
        <w:rPr>
          <w:rFonts w:eastAsia="Times New Roman"/>
        </w:rPr>
      </w:pPr>
      <w:r>
        <w:rPr>
          <w:rFonts w:eastAsia="Times New Roman"/>
          <w:color w:val="000000"/>
          <w:sz w:val="20"/>
          <w:szCs w:val="20"/>
          <w:u w:val="single"/>
        </w:rPr>
        <w:t>Past-Due and Nonaccrual Mortgage Loan Status</w:t>
      </w:r>
    </w:p>
    <w:p w:rsidR="00000000" w:rsidRDefault="00C56D69">
      <w:pPr>
        <w:divId w:val="2067727281"/>
        <w:rPr>
          <w:rFonts w:eastAsia="Times New Roman"/>
        </w:rPr>
      </w:pPr>
      <w:r>
        <w:rPr>
          <w:rFonts w:eastAsia="Times New Roman"/>
          <w:color w:val="000000"/>
          <w:sz w:val="20"/>
          <w:szCs w:val="20"/>
        </w:rPr>
        <w:t>The following table provides information relating to the aging analysis of past-due mortgage loans as of September 30, 2022 and December 31, 2021, respectively.</w:t>
      </w:r>
    </w:p>
    <w:p w:rsidR="00000000" w:rsidRDefault="00C56D69">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718675744"/>
        </w:trPr>
        <w:tc>
          <w:tcPr>
            <w:tcW w:w="50" w:type="pct"/>
            <w:vAlign w:val="center"/>
            <w:hideMark/>
          </w:tcPr>
          <w:p w:rsidR="00000000" w:rsidRDefault="00C56D69">
            <w:pPr>
              <w:jc w:val="center"/>
              <w:rPr>
                <w:rFonts w:eastAsia="Times New Roman"/>
              </w:rPr>
            </w:pPr>
          </w:p>
        </w:tc>
        <w:tc>
          <w:tcPr>
            <w:tcW w:w="121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1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9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718675744"/>
          <w:trHeight w:val="24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718675744"/>
          <w:trHeight w:val="24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r>
      <w:tr w:rsidR="00000000">
        <w:trPr>
          <w:divId w:val="718675744"/>
          <w:trHeight w:val="76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C56D69">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C56D69">
            <w:pPr>
              <w:spacing w:after="100"/>
              <w:rPr>
                <w:rFonts w:eastAsia="Times New Roman"/>
              </w:rPr>
            </w:pPr>
          </w:p>
        </w:tc>
        <w:tc>
          <w:tcPr>
            <w:tcW w:w="0" w:type="auto"/>
            <w:gridSpan w:val="3"/>
            <w:vMerge/>
            <w:tcBorders>
              <w:top w:val="single" w:sz="4" w:space="0" w:color="000000"/>
            </w:tcBorders>
            <w:vAlign w:val="center"/>
            <w:hideMark/>
          </w:tcPr>
          <w:p w:rsidR="00000000" w:rsidRDefault="00C56D69">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vMerge/>
            <w:tcBorders>
              <w:bottom w:val="single" w:sz="8" w:space="0" w:color="000000"/>
            </w:tcBorders>
            <w:vAlign w:val="center"/>
            <w:hideMark/>
          </w:tcPr>
          <w:p w:rsidR="00000000" w:rsidRDefault="00C56D69">
            <w:pPr>
              <w:spacing w:after="100"/>
              <w:rPr>
                <w:rFonts w:eastAsia="Times New Roman"/>
              </w:rPr>
            </w:pPr>
          </w:p>
        </w:tc>
      </w:tr>
      <w:tr w:rsidR="00000000">
        <w:trPr>
          <w:divId w:val="718675744"/>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71867574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71867574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71867574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71867574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718675744"/>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15,771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718675744"/>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757291414"/>
        <w:rPr>
          <w:rFonts w:eastAsia="Times New Roman"/>
        </w:rPr>
      </w:pPr>
    </w:p>
    <w:p w:rsidR="00000000" w:rsidRDefault="00C56D69">
      <w:pPr>
        <w:jc w:val="center"/>
        <w:divId w:val="757291414"/>
        <w:rPr>
          <w:rFonts w:eastAsia="Times New Roman"/>
        </w:rPr>
      </w:pPr>
      <w:r>
        <w:rPr>
          <w:rFonts w:eastAsia="Times New Roman"/>
          <w:color w:val="000000"/>
          <w:sz w:val="20"/>
          <w:szCs w:val="20"/>
        </w:rPr>
        <w:t>25</w:t>
      </w:r>
    </w:p>
    <w:p w:rsidR="00000000" w:rsidRDefault="00C56D69">
      <w:pPr>
        <w:rPr>
          <w:rFonts w:eastAsia="Times New Roman"/>
        </w:rPr>
      </w:pPr>
      <w:r>
        <w:rPr>
          <w:rFonts w:eastAsia="Times New Roman"/>
        </w:rPr>
        <w:pict>
          <v:rect id="_x0000_i1051" style="width:0;height:1.5pt" o:hralign="center" o:hrstd="t" o:hr="t" fillcolor="#a0a0a0" stroked="f"/>
        </w:pict>
      </w:r>
    </w:p>
    <w:p w:rsidR="00000000" w:rsidRDefault="00C56D69">
      <w:pPr>
        <w:divId w:val="130778177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93022205"/>
        <w:rPr>
          <w:rFonts w:eastAsia="Times New Roman"/>
        </w:rPr>
      </w:pPr>
      <w:r>
        <w:rPr>
          <w:rFonts w:eastAsia="Times New Roman"/>
          <w:b/>
          <w:bCs/>
          <w:color w:val="000000"/>
          <w:sz w:val="20"/>
          <w:szCs w:val="20"/>
        </w:rPr>
        <w:t>E</w:t>
      </w:r>
      <w:r>
        <w:rPr>
          <w:rFonts w:eastAsia="Times New Roman"/>
          <w:b/>
          <w:bCs/>
          <w:color w:val="000000"/>
          <w:sz w:val="20"/>
          <w:szCs w:val="20"/>
        </w:rPr>
        <w:t>QUITABLE HOLDINGS, INC.</w:t>
      </w:r>
    </w:p>
    <w:p w:rsidR="00000000" w:rsidRDefault="00C56D69">
      <w:pPr>
        <w:jc w:val="center"/>
        <w:divId w:val="99302220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9930222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922"/>
        <w:gridCol w:w="37"/>
        <w:gridCol w:w="120"/>
        <w:gridCol w:w="263"/>
        <w:gridCol w:w="36"/>
        <w:gridCol w:w="36"/>
        <w:gridCol w:w="36"/>
        <w:gridCol w:w="36"/>
        <w:gridCol w:w="120"/>
        <w:gridCol w:w="250"/>
        <w:gridCol w:w="36"/>
        <w:gridCol w:w="36"/>
        <w:gridCol w:w="36"/>
        <w:gridCol w:w="36"/>
        <w:gridCol w:w="120"/>
        <w:gridCol w:w="250"/>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0"/>
        <w:gridCol w:w="250"/>
        <w:gridCol w:w="36"/>
        <w:gridCol w:w="36"/>
        <w:gridCol w:w="36"/>
        <w:gridCol w:w="36"/>
        <w:gridCol w:w="120"/>
        <w:gridCol w:w="600"/>
        <w:gridCol w:w="36"/>
        <w:gridCol w:w="36"/>
        <w:gridCol w:w="36"/>
        <w:gridCol w:w="36"/>
        <w:gridCol w:w="120"/>
        <w:gridCol w:w="280"/>
        <w:gridCol w:w="36"/>
        <w:gridCol w:w="36"/>
        <w:gridCol w:w="36"/>
        <w:gridCol w:w="36"/>
        <w:gridCol w:w="120"/>
        <w:gridCol w:w="426"/>
        <w:gridCol w:w="36"/>
      </w:tblGrid>
      <w:tr w:rsidR="00000000">
        <w:trPr>
          <w:divId w:val="228417772"/>
        </w:trPr>
        <w:tc>
          <w:tcPr>
            <w:tcW w:w="50" w:type="pct"/>
            <w:vAlign w:val="center"/>
            <w:hideMark/>
          </w:tcPr>
          <w:p w:rsidR="00000000" w:rsidRDefault="00C56D69">
            <w:pPr>
              <w:jc w:val="center"/>
              <w:rPr>
                <w:rFonts w:eastAsia="Times New Roman"/>
              </w:rPr>
            </w:pPr>
          </w:p>
        </w:tc>
        <w:tc>
          <w:tcPr>
            <w:tcW w:w="121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1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9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4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2841777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8417772"/>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228417772"/>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228417772"/>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2,628 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228417772"/>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14,079 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270"/>
        <w:divId w:val="1893151697"/>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C56D69">
      <w:pPr>
        <w:ind w:hanging="360"/>
        <w:divId w:val="2102990719"/>
        <w:rPr>
          <w:rFonts w:eastAsia="Times New Roman"/>
        </w:rPr>
      </w:pPr>
      <w:r>
        <w:rPr>
          <w:rFonts w:eastAsia="Times New Roman"/>
          <w:color w:val="000000"/>
          <w:sz w:val="18"/>
          <w:szCs w:val="18"/>
        </w:rPr>
        <w:t xml:space="preserve">(1)Amounts presented at amortized cost basis. </w:t>
      </w:r>
    </w:p>
    <w:p w:rsidR="00000000" w:rsidRDefault="00C56D69">
      <w:pPr>
        <w:divId w:val="1602568932"/>
        <w:rPr>
          <w:rFonts w:eastAsia="Times New Roman"/>
        </w:rPr>
      </w:pPr>
      <w:r>
        <w:rPr>
          <w:rFonts w:eastAsia="Times New Roman"/>
          <w:color w:val="000000"/>
          <w:sz w:val="20"/>
          <w:szCs w:val="20"/>
        </w:rPr>
        <w:t>As of September 30, 2022 and December 31, 2021, the carrying values of problem mortgage loans that had been classified as non-accrual loans were $13 million and $14 million, respectively.</w:t>
      </w:r>
    </w:p>
    <w:p w:rsidR="00000000" w:rsidRDefault="00C56D69">
      <w:pPr>
        <w:divId w:val="1360593270"/>
        <w:rPr>
          <w:rFonts w:eastAsia="Times New Roman"/>
        </w:rPr>
      </w:pPr>
      <w:r>
        <w:rPr>
          <w:rFonts w:eastAsia="Times New Roman"/>
          <w:color w:val="000000"/>
          <w:sz w:val="20"/>
          <w:szCs w:val="20"/>
          <w:u w:val="single"/>
        </w:rPr>
        <w:t>Troubled Debt Res</w:t>
      </w:r>
      <w:r>
        <w:rPr>
          <w:rFonts w:eastAsia="Times New Roman"/>
          <w:color w:val="000000"/>
          <w:sz w:val="20"/>
          <w:szCs w:val="20"/>
          <w:u w:val="single"/>
        </w:rPr>
        <w:t xml:space="preserve">tructuring </w:t>
      </w:r>
    </w:p>
    <w:p w:rsidR="00000000" w:rsidRDefault="00C56D69">
      <w:pPr>
        <w:divId w:val="42411441"/>
        <w:rPr>
          <w:rFonts w:eastAsia="Times New Roman"/>
        </w:rPr>
      </w:pPr>
      <w:r>
        <w:rPr>
          <w:rFonts w:eastAsia="Times New Roman"/>
          <w:color w:val="000000"/>
          <w:sz w:val="20"/>
          <w:szCs w:val="20"/>
        </w:rPr>
        <w:t xml:space="preserve">During the three and nine months ended September 30, 2022 and 2021, the Company identified an immaterial amount of TDRs. </w:t>
      </w:r>
    </w:p>
    <w:p w:rsidR="00000000" w:rsidRDefault="00C56D69">
      <w:pPr>
        <w:divId w:val="316610800"/>
        <w:rPr>
          <w:rFonts w:eastAsia="Times New Roman"/>
        </w:rPr>
      </w:pPr>
      <w:r>
        <w:rPr>
          <w:rFonts w:eastAsia="Times New Roman"/>
          <w:color w:val="000000"/>
          <w:sz w:val="20"/>
          <w:szCs w:val="20"/>
          <w:u w:val="single"/>
        </w:rPr>
        <w:t>Equity Securities</w:t>
      </w:r>
    </w:p>
    <w:p w:rsidR="00000000" w:rsidRDefault="00C56D69">
      <w:pPr>
        <w:divId w:val="1006665278"/>
        <w:rPr>
          <w:rFonts w:eastAsia="Times New Roman"/>
        </w:rPr>
      </w:pPr>
      <w:r>
        <w:rPr>
          <w:rFonts w:eastAsia="Times New Roman"/>
          <w:color w:val="000000"/>
          <w:sz w:val="20"/>
          <w:szCs w:val="20"/>
        </w:rPr>
        <w:t xml:space="preserve">The table below presents a breakdown of unrealized and realized gains and (losses) on equity securities </w:t>
      </w:r>
      <w:r>
        <w:rPr>
          <w:rFonts w:eastAsia="Times New Roman"/>
          <w:color w:val="000000"/>
          <w:sz w:val="20"/>
          <w:szCs w:val="20"/>
        </w:rPr>
        <w:t>during the three and nine months ended September 30, 2022 and 2021.</w:t>
      </w:r>
    </w:p>
    <w:p w:rsidR="00000000" w:rsidRDefault="00C56D69">
      <w:pPr>
        <w:jc w:val="center"/>
        <w:rPr>
          <w:rFonts w:eastAsia="Times New Roman"/>
        </w:rPr>
      </w:pPr>
      <w:r>
        <w:rPr>
          <w:rFonts w:eastAsia="Times New Roman"/>
          <w:b/>
          <w:bCs/>
          <w:color w:val="000000"/>
          <w:sz w:val="20"/>
          <w:szCs w:val="20"/>
        </w:rPr>
        <w:t xml:space="preserve">Unrealized and Realized Gains (Losses) from Equity Securities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15"/>
        <w:gridCol w:w="36"/>
        <w:gridCol w:w="120"/>
        <w:gridCol w:w="562"/>
        <w:gridCol w:w="36"/>
        <w:gridCol w:w="36"/>
        <w:gridCol w:w="36"/>
        <w:gridCol w:w="36"/>
        <w:gridCol w:w="120"/>
        <w:gridCol w:w="562"/>
        <w:gridCol w:w="36"/>
        <w:gridCol w:w="120"/>
        <w:gridCol w:w="728"/>
        <w:gridCol w:w="36"/>
        <w:gridCol w:w="36"/>
        <w:gridCol w:w="36"/>
        <w:gridCol w:w="36"/>
        <w:gridCol w:w="120"/>
        <w:gridCol w:w="610"/>
        <w:gridCol w:w="36"/>
        <w:gridCol w:w="36"/>
        <w:gridCol w:w="36"/>
        <w:gridCol w:w="36"/>
        <w:gridCol w:w="36"/>
        <w:gridCol w:w="36"/>
        <w:gridCol w:w="36"/>
      </w:tblGrid>
      <w:tr w:rsidR="00000000">
        <w:trPr>
          <w:divId w:val="1333752079"/>
        </w:trPr>
        <w:tc>
          <w:tcPr>
            <w:tcW w:w="50" w:type="pct"/>
            <w:vAlign w:val="center"/>
            <w:hideMark/>
          </w:tcPr>
          <w:p w:rsidR="00000000" w:rsidRDefault="00C56D69">
            <w:pPr>
              <w:jc w:val="center"/>
              <w:rPr>
                <w:rFonts w:eastAsia="Times New Roman"/>
              </w:rPr>
            </w:pPr>
          </w:p>
        </w:tc>
        <w:tc>
          <w:tcPr>
            <w:tcW w:w="29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333752079"/>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2015721403"/>
        <w:rPr>
          <w:rFonts w:eastAsia="Times New Roman"/>
        </w:rPr>
      </w:pPr>
      <w:r>
        <w:rPr>
          <w:rFonts w:eastAsia="Times New Roman"/>
          <w:color w:val="000000"/>
          <w:sz w:val="20"/>
          <w:szCs w:val="20"/>
          <w:u w:val="single"/>
        </w:rPr>
        <w:t>Trading Securities</w:t>
      </w:r>
    </w:p>
    <w:p w:rsidR="00000000" w:rsidRDefault="00C56D69">
      <w:pPr>
        <w:divId w:val="1508863680"/>
        <w:rPr>
          <w:rFonts w:eastAsia="Times New Roman"/>
        </w:rPr>
      </w:pPr>
      <w:r>
        <w:rPr>
          <w:rFonts w:eastAsia="Times New Roman"/>
          <w:color w:val="000000"/>
          <w:sz w:val="20"/>
          <w:szCs w:val="20"/>
        </w:rPr>
        <w:t xml:space="preserve">As of September 30, 2022 and December 31, 2021, </w:t>
      </w:r>
      <w:r>
        <w:rPr>
          <w:rFonts w:eastAsia="Times New Roman"/>
          <w:color w:val="000000"/>
          <w:sz w:val="20"/>
          <w:szCs w:val="20"/>
        </w:rPr>
        <w:t>respectively, the fair value of the Company’s trading securities was $631 million and $631 million. As of September 30, 2022 and December 31, 2021, respectively, trading securities included the General Account’s investment in Separate Accounts had carrying</w:t>
      </w:r>
      <w:r>
        <w:rPr>
          <w:rFonts w:eastAsia="Times New Roman"/>
          <w:color w:val="000000"/>
          <w:sz w:val="20"/>
          <w:szCs w:val="20"/>
        </w:rPr>
        <w:t xml:space="preserve"> values of $34 million and $45 million.</w:t>
      </w:r>
    </w:p>
    <w:p w:rsidR="00000000" w:rsidRDefault="00C56D69">
      <w:pPr>
        <w:divId w:val="1904565311"/>
        <w:rPr>
          <w:rFonts w:eastAsia="Times New Roman"/>
        </w:rPr>
      </w:pPr>
      <w:r>
        <w:rPr>
          <w:rFonts w:eastAsia="Times New Roman"/>
          <w:color w:val="000000"/>
          <w:sz w:val="20"/>
          <w:szCs w:val="20"/>
        </w:rPr>
        <w:t>The table below shows a breakdown of net investment income (loss) from trading securities during the three and nine months ended September 30, 2022 and 2021.</w:t>
      </w:r>
    </w:p>
    <w:p w:rsidR="00000000" w:rsidRDefault="00C56D69">
      <w:pPr>
        <w:jc w:val="center"/>
        <w:rPr>
          <w:rFonts w:eastAsia="Times New Roman"/>
        </w:rPr>
      </w:pPr>
      <w:r>
        <w:rPr>
          <w:rFonts w:eastAsia="Times New Roman"/>
          <w:b/>
          <w:bCs/>
          <w:color w:val="000000"/>
          <w:sz w:val="20"/>
          <w:szCs w:val="20"/>
        </w:rPr>
        <w:t>Net Investment Income (Loss) from Trading Securities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4880"/>
        <w:gridCol w:w="36"/>
        <w:gridCol w:w="120"/>
        <w:gridCol w:w="572"/>
        <w:gridCol w:w="36"/>
        <w:gridCol w:w="36"/>
        <w:gridCol w:w="36"/>
        <w:gridCol w:w="36"/>
        <w:gridCol w:w="120"/>
        <w:gridCol w:w="521"/>
        <w:gridCol w:w="36"/>
        <w:gridCol w:w="36"/>
        <w:gridCol w:w="36"/>
        <w:gridCol w:w="36"/>
        <w:gridCol w:w="120"/>
        <w:gridCol w:w="573"/>
        <w:gridCol w:w="36"/>
        <w:gridCol w:w="36"/>
        <w:gridCol w:w="36"/>
        <w:gridCol w:w="36"/>
        <w:gridCol w:w="120"/>
        <w:gridCol w:w="523"/>
        <w:gridCol w:w="36"/>
        <w:gridCol w:w="36"/>
        <w:gridCol w:w="36"/>
        <w:gridCol w:w="36"/>
        <w:gridCol w:w="36"/>
        <w:gridCol w:w="36"/>
        <w:gridCol w:w="36"/>
      </w:tblGrid>
      <w:tr w:rsidR="00000000">
        <w:trPr>
          <w:divId w:val="2051880318"/>
        </w:trPr>
        <w:tc>
          <w:tcPr>
            <w:tcW w:w="50" w:type="pct"/>
            <w:vAlign w:val="center"/>
            <w:hideMark/>
          </w:tcPr>
          <w:p w:rsidR="00000000" w:rsidRDefault="00C56D69">
            <w:pPr>
              <w:jc w:val="center"/>
              <w:rPr>
                <w:rFonts w:eastAsia="Times New Roman"/>
              </w:rPr>
            </w:pPr>
          </w:p>
        </w:tc>
        <w:tc>
          <w:tcPr>
            <w:tcW w:w="30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(57)</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(246)</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Unrealized and realized gains (losses) on trading securities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and dividend income from trading securities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5188031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 from trading securities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038090330"/>
        <w:rPr>
          <w:rFonts w:eastAsia="Times New Roman"/>
        </w:rPr>
      </w:pPr>
      <w:r>
        <w:rPr>
          <w:rFonts w:eastAsia="Times New Roman"/>
          <w:color w:val="000000"/>
          <w:sz w:val="20"/>
          <w:szCs w:val="20"/>
          <w:u w:val="single"/>
        </w:rPr>
        <w:t xml:space="preserve">Fixed maturities, at fair value using the fair value option </w:t>
      </w:r>
    </w:p>
    <w:p w:rsidR="00000000" w:rsidRDefault="00C56D69">
      <w:pPr>
        <w:divId w:val="233467240"/>
        <w:rPr>
          <w:rFonts w:eastAsia="Times New Roman"/>
        </w:rPr>
      </w:pPr>
      <w:r>
        <w:rPr>
          <w:rFonts w:eastAsia="Times New Roman"/>
          <w:color w:val="000000"/>
          <w:sz w:val="20"/>
          <w:szCs w:val="20"/>
        </w:rPr>
        <w:t>The table below shows a breakdown of net inv</w:t>
      </w:r>
      <w:r>
        <w:rPr>
          <w:rFonts w:eastAsia="Times New Roman"/>
          <w:color w:val="000000"/>
          <w:sz w:val="20"/>
          <w:szCs w:val="20"/>
        </w:rPr>
        <w:t>estment income (loss) from fixed maturities, at fair value using the fair value option during the three and nine months ended September 30, 2022 and 2021.</w:t>
      </w:r>
    </w:p>
    <w:p w:rsidR="00000000" w:rsidRDefault="00C56D69">
      <w:pPr>
        <w:jc w:val="center"/>
        <w:divId w:val="1764690848"/>
        <w:rPr>
          <w:rFonts w:eastAsia="Times New Roman"/>
        </w:rPr>
      </w:pPr>
    </w:p>
    <w:p w:rsidR="00000000" w:rsidRDefault="00C56D69">
      <w:pPr>
        <w:jc w:val="center"/>
        <w:divId w:val="1764690848"/>
        <w:rPr>
          <w:rFonts w:eastAsia="Times New Roman"/>
        </w:rPr>
      </w:pPr>
      <w:r>
        <w:rPr>
          <w:rFonts w:eastAsia="Times New Roman"/>
          <w:color w:val="000000"/>
          <w:sz w:val="20"/>
          <w:szCs w:val="20"/>
        </w:rPr>
        <w:t>26</w:t>
      </w:r>
    </w:p>
    <w:p w:rsidR="00000000" w:rsidRDefault="00C56D69">
      <w:pPr>
        <w:rPr>
          <w:rFonts w:eastAsia="Times New Roman"/>
        </w:rPr>
      </w:pPr>
      <w:r>
        <w:rPr>
          <w:rFonts w:eastAsia="Times New Roman"/>
        </w:rPr>
        <w:pict>
          <v:rect id="_x0000_i1052" style="width:0;height:1.5pt" o:hralign="center" o:hrstd="t" o:hr="t" fillcolor="#a0a0a0" stroked="f"/>
        </w:pict>
      </w:r>
    </w:p>
    <w:p w:rsidR="00000000" w:rsidRDefault="00C56D69">
      <w:pPr>
        <w:divId w:val="230435496"/>
        <w:rPr>
          <w:rFonts w:eastAsia="Times New Roman"/>
        </w:rPr>
      </w:pPr>
    </w:p>
    <w:p w:rsidR="00000000" w:rsidRDefault="00C56D69">
      <w:pPr>
        <w:divId w:val="472337355"/>
        <w:rPr>
          <w:rFonts w:eastAsia="Times New Roman"/>
        </w:rPr>
      </w:pPr>
    </w:p>
    <w:p w:rsidR="00000000" w:rsidRDefault="00C56D69">
      <w:pPr>
        <w:jc w:val="center"/>
        <w:rPr>
          <w:rFonts w:eastAsia="Times New Roman"/>
        </w:rPr>
      </w:pPr>
      <w:r>
        <w:rPr>
          <w:rFonts w:eastAsia="Times New Roman"/>
          <w:b/>
          <w:bCs/>
          <w:color w:val="000000"/>
          <w:sz w:val="20"/>
          <w:szCs w:val="20"/>
        </w:rPr>
        <w:t>Net Investment Income (Loss) from Fixed Maturities, at F</w:t>
      </w:r>
      <w:r>
        <w:rPr>
          <w:rFonts w:eastAsia="Times New Roman"/>
          <w:b/>
          <w:bCs/>
          <w:color w:val="000000"/>
          <w:sz w:val="20"/>
          <w:szCs w:val="20"/>
        </w:rPr>
        <w:t>air Value using the Fair Value Option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4999"/>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3"/>
        <w:gridCol w:w="36"/>
      </w:tblGrid>
      <w:tr w:rsidR="00000000">
        <w:trPr>
          <w:divId w:val="823162358"/>
        </w:trPr>
        <w:tc>
          <w:tcPr>
            <w:tcW w:w="50" w:type="pct"/>
            <w:vAlign w:val="center"/>
            <w:hideMark/>
          </w:tcPr>
          <w:p w:rsidR="00000000" w:rsidRDefault="00C56D69">
            <w:pPr>
              <w:jc w:val="center"/>
              <w:rPr>
                <w:rFonts w:eastAsia="Times New Roman"/>
              </w:rPr>
            </w:pPr>
          </w:p>
        </w:tc>
        <w:tc>
          <w:tcPr>
            <w:tcW w:w="307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82316235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82316235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2021</w:t>
            </w:r>
          </w:p>
        </w:tc>
      </w:tr>
      <w:tr w:rsidR="00000000">
        <w:trPr>
          <w:divId w:val="82316235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823162358"/>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2316235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2316235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Unrealized and realized gains (losses) from fixed maturities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2316235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and dividend income from fixed maturities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2316235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 from fixed maturities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429662693"/>
        <w:rPr>
          <w:rFonts w:eastAsia="Times New Roman"/>
        </w:rPr>
      </w:pPr>
    </w:p>
    <w:p w:rsidR="00000000" w:rsidRDefault="00C56D69">
      <w:pPr>
        <w:divId w:val="1548908032"/>
        <w:rPr>
          <w:rFonts w:eastAsia="Times New Roman"/>
        </w:rPr>
      </w:pPr>
      <w:r>
        <w:rPr>
          <w:rFonts w:eastAsia="Times New Roman"/>
          <w:b/>
          <w:bCs/>
          <w:color w:val="000000"/>
          <w:sz w:val="20"/>
          <w:szCs w:val="20"/>
        </w:rPr>
        <w:t>4)     DERIVATIVES</w:t>
      </w:r>
    </w:p>
    <w:p w:rsidR="00000000" w:rsidRDefault="00C56D69">
      <w:pPr>
        <w:divId w:val="146287010"/>
        <w:rPr>
          <w:rFonts w:eastAsia="Times New Roman"/>
        </w:rPr>
      </w:pPr>
      <w:r>
        <w:rPr>
          <w:rFonts w:eastAsia="Times New Roman"/>
          <w:color w:val="000000"/>
          <w:sz w:val="20"/>
          <w:szCs w:val="20"/>
        </w:rPr>
        <w:t>The Company uses derivatives as part of its overall asset/liability risk management primarily to reduce exposures to equity marke</w:t>
      </w:r>
      <w:r>
        <w:rPr>
          <w:rFonts w:eastAsia="Times New Roman"/>
          <w:color w:val="000000"/>
          <w:sz w:val="20"/>
          <w:szCs w:val="20"/>
        </w:rPr>
        <w:t>t and interest rate risks. Derivative hedging strategies are designed to reduce these risks from an economic perspective and are all executed within the framework of a “Derivative Use Plan” approved by applicable states’ insurance law. Derivatives are gene</w:t>
      </w:r>
      <w:r>
        <w:rPr>
          <w:rFonts w:eastAsia="Times New Roman"/>
          <w:color w:val="000000"/>
          <w:sz w:val="20"/>
          <w:szCs w:val="20"/>
        </w:rPr>
        <w:t>rally not accounted for using hedge accounting, with the exception of TIPS and cash flow hedges, which are discussed further below. Operation of these hedging programs is based on models involving numerous estimates and assumptions, including, among others</w:t>
      </w:r>
      <w:r>
        <w:rPr>
          <w:rFonts w:eastAsia="Times New Roman"/>
          <w:color w:val="000000"/>
          <w:sz w:val="20"/>
          <w:szCs w:val="20"/>
        </w:rPr>
        <w:t>, mortality, lapse, surrender and withdrawal rates, election rates, fund performance, market volatility and interest rates. A wide range of derivative contracts are used in these hedging programs, including exchange traded equity, currency and interest rat</w:t>
      </w:r>
      <w:r>
        <w:rPr>
          <w:rFonts w:eastAsia="Times New Roman"/>
          <w:color w:val="000000"/>
          <w:sz w:val="20"/>
          <w:szCs w:val="20"/>
        </w:rPr>
        <w:t>e futures contracts, total return and/or other equity swaps, interest rate swap and floor contracts, bond and bond-index total return swaps, swaptions, variance swaps and equity options, credit and foreign exchange derivatives, as well as bond and repo tra</w:t>
      </w:r>
      <w:r>
        <w:rPr>
          <w:rFonts w:eastAsia="Times New Roman"/>
          <w:color w:val="000000"/>
          <w:sz w:val="20"/>
          <w:szCs w:val="20"/>
        </w:rPr>
        <w:t>nsactions to support the hedging. The derivative contracts are collectively managed in an effort to reduce the economic impact of unfavorable changes in guaranteed benefits’ exposures attributable to movements in capital markets. In addition, as part of it</w:t>
      </w:r>
      <w:r>
        <w:rPr>
          <w:rFonts w:eastAsia="Times New Roman"/>
          <w:color w:val="000000"/>
          <w:sz w:val="20"/>
          <w:szCs w:val="20"/>
        </w:rPr>
        <w:t>s hedging strategy, the Company targets an asset level for all variable annuity products at or above a CTE98 level under most economic scenarios (CTE is a statistical measure of tail risk which quantifies the total asset requirement to sustain a loss if an</w:t>
      </w:r>
      <w:r>
        <w:rPr>
          <w:rFonts w:eastAsia="Times New Roman"/>
          <w:color w:val="000000"/>
          <w:sz w:val="20"/>
          <w:szCs w:val="20"/>
        </w:rPr>
        <w:t xml:space="preserve"> event outside a given probability level has occurred. CTE98 denotes the financial resources a company would need to cover the average of the worst 2% of scenarios.) </w:t>
      </w:r>
    </w:p>
    <w:p w:rsidR="00000000" w:rsidRDefault="00C56D69">
      <w:pPr>
        <w:divId w:val="792597583"/>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C56D69">
      <w:pPr>
        <w:divId w:val="801189855"/>
        <w:rPr>
          <w:rFonts w:eastAsia="Times New Roman"/>
        </w:rPr>
      </w:pPr>
      <w:r>
        <w:rPr>
          <w:rFonts w:eastAsia="Times New Roman"/>
          <w:color w:val="000000"/>
          <w:sz w:val="20"/>
          <w:szCs w:val="20"/>
        </w:rPr>
        <w:t>The</w:t>
      </w:r>
      <w:r>
        <w:rPr>
          <w:rFonts w:eastAsia="Times New Roman"/>
          <w:color w:val="000000"/>
          <w:sz w:val="20"/>
          <w:szCs w:val="20"/>
        </w:rPr>
        <w:t xml:space="preserve"> Company has issued and continues to offer variable annuity products with GMxB features. The risk associated with the GMDB feature is that under-performance of the financial markets could result in GMDB benefits, in the event of death, being higher than wh</w:t>
      </w:r>
      <w:r>
        <w:rPr>
          <w:rFonts w:eastAsia="Times New Roman"/>
          <w:color w:val="000000"/>
          <w:sz w:val="20"/>
          <w:szCs w:val="20"/>
        </w:rPr>
        <w:t>at accumulated policyholders’ account balances would support. The risk associated with the GMIB feature is that under-performance of the financial markets could result in the present value of GMIB, in the event of annuitization, being higher than what accu</w:t>
      </w:r>
      <w:r>
        <w:rPr>
          <w:rFonts w:eastAsia="Times New Roman"/>
          <w:color w:val="000000"/>
          <w:sz w:val="20"/>
          <w:szCs w:val="20"/>
        </w:rPr>
        <w:t>mulated policyholders’ account balances would support, taking into account the relationship between current annuity purchase rates and the GMIB guaranteed annuity purchase rates. The risk associated with products that have a GMxB derivative features liabil</w:t>
      </w:r>
      <w:r>
        <w:rPr>
          <w:rFonts w:eastAsia="Times New Roman"/>
          <w:color w:val="000000"/>
          <w:sz w:val="20"/>
          <w:szCs w:val="20"/>
        </w:rPr>
        <w:t xml:space="preserve">ity is that under-performance of the financial markets could result in the GMxB derivative features’ benefits being higher than what accumulated policyholders’ account balances would support. </w:t>
      </w:r>
    </w:p>
    <w:p w:rsidR="00000000" w:rsidRDefault="00C56D69">
      <w:pPr>
        <w:divId w:val="365177548"/>
        <w:rPr>
          <w:rFonts w:eastAsia="Times New Roman"/>
        </w:rPr>
      </w:pPr>
      <w:r>
        <w:rPr>
          <w:rFonts w:eastAsia="Times New Roman"/>
          <w:color w:val="000000"/>
          <w:sz w:val="20"/>
          <w:szCs w:val="20"/>
        </w:rPr>
        <w:t xml:space="preserve">For GMxB features, the Company retains certain risks including </w:t>
      </w:r>
      <w:r>
        <w:rPr>
          <w:rFonts w:eastAsia="Times New Roman"/>
          <w:color w:val="000000"/>
          <w:sz w:val="20"/>
          <w:szCs w:val="20"/>
        </w:rPr>
        <w:t xml:space="preserve">basis, credit spread and some volatility risk and risk associated with actual experience versus expected actuarial assumptions for mortality, lapse and surrender, withdrawal and policyholder election rates, among other things. The derivative contracts are </w:t>
      </w:r>
      <w:r>
        <w:rPr>
          <w:rFonts w:eastAsia="Times New Roman"/>
          <w:color w:val="000000"/>
          <w:sz w:val="20"/>
          <w:szCs w:val="20"/>
        </w:rPr>
        <w:t>managed to correlate with changes in the value of the GMxB features that result from financial markets movements. A portion of exposure to realized equity volatility is hedged using equity options and variance swaps and a portion of exposure to credit risk</w:t>
      </w:r>
      <w:r>
        <w:rPr>
          <w:rFonts w:eastAsia="Times New Roman"/>
          <w:color w:val="000000"/>
          <w:sz w:val="20"/>
          <w:szCs w:val="20"/>
        </w:rPr>
        <w:t xml:space="preserve"> is hedged using total return swaps on fixed income indices. Additionally, the Company is party to total return swaps for which the reference U.S. Treasury securities are contemporaneously purchased from the market and sold to the swap counterparty. As the</w:t>
      </w:r>
      <w:r>
        <w:rPr>
          <w:rFonts w:eastAsia="Times New Roman"/>
          <w:color w:val="000000"/>
          <w:sz w:val="20"/>
          <w:szCs w:val="20"/>
        </w:rPr>
        <w:t>se transactions result in a transfer of control of the U.S. Treasury securities to the swap counterparty, the Company derecognizes these securities with consequent gain or loss from the sale. The Company has also purchased reinsurance contracts to mitigate</w:t>
      </w:r>
      <w:r>
        <w:rPr>
          <w:rFonts w:eastAsia="Times New Roman"/>
          <w:color w:val="000000"/>
          <w:sz w:val="20"/>
          <w:szCs w:val="20"/>
        </w:rPr>
        <w:t xml:space="preserve"> the risks associated with GMDB features and the impact of potential market fluctuations on future policyholder elections of GMIB features contained in certain annuity contracts issued by the Company. The reinsurance of the GMIB features is accounted for a</w:t>
      </w:r>
      <w:r>
        <w:rPr>
          <w:rFonts w:eastAsia="Times New Roman"/>
          <w:color w:val="000000"/>
          <w:sz w:val="20"/>
          <w:szCs w:val="20"/>
        </w:rPr>
        <w:t xml:space="preserve">s a derivative. In addition, on June 1, 2021, we </w:t>
      </w:r>
    </w:p>
    <w:p w:rsidR="00000000" w:rsidRDefault="00C56D69">
      <w:pPr>
        <w:jc w:val="center"/>
        <w:divId w:val="2044205699"/>
        <w:rPr>
          <w:rFonts w:eastAsia="Times New Roman"/>
        </w:rPr>
      </w:pPr>
    </w:p>
    <w:p w:rsidR="00000000" w:rsidRDefault="00C56D69">
      <w:pPr>
        <w:jc w:val="center"/>
        <w:divId w:val="2044205699"/>
        <w:rPr>
          <w:rFonts w:eastAsia="Times New Roman"/>
        </w:rPr>
      </w:pPr>
      <w:r>
        <w:rPr>
          <w:rFonts w:eastAsia="Times New Roman"/>
          <w:color w:val="000000"/>
          <w:sz w:val="20"/>
          <w:szCs w:val="20"/>
        </w:rPr>
        <w:t>27</w:t>
      </w:r>
    </w:p>
    <w:p w:rsidR="00000000" w:rsidRDefault="00C56D69">
      <w:pPr>
        <w:rPr>
          <w:rFonts w:eastAsia="Times New Roman"/>
        </w:rPr>
      </w:pPr>
      <w:r>
        <w:rPr>
          <w:rFonts w:eastAsia="Times New Roman"/>
        </w:rPr>
        <w:pict>
          <v:rect id="_x0000_i1053" style="width:0;height:1.5pt" o:hralign="center" o:hrstd="t" o:hr="t" fillcolor="#a0a0a0" stroked="f"/>
        </w:pict>
      </w:r>
    </w:p>
    <w:p w:rsidR="00000000" w:rsidRDefault="00C56D69">
      <w:pPr>
        <w:divId w:val="13214437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77543208"/>
        <w:rPr>
          <w:rFonts w:eastAsia="Times New Roman"/>
        </w:rPr>
      </w:pPr>
      <w:r>
        <w:rPr>
          <w:rFonts w:eastAsia="Times New Roman"/>
          <w:b/>
          <w:bCs/>
          <w:color w:val="000000"/>
          <w:sz w:val="20"/>
          <w:szCs w:val="20"/>
        </w:rPr>
        <w:t>EQUITABLE HOLDINGS, INC.</w:t>
      </w:r>
    </w:p>
    <w:p w:rsidR="00000000" w:rsidRDefault="00C56D69">
      <w:pPr>
        <w:jc w:val="center"/>
        <w:divId w:val="177543208"/>
        <w:rPr>
          <w:rFonts w:eastAsia="Times New Roman"/>
        </w:rPr>
      </w:pPr>
      <w:r>
        <w:rPr>
          <w:rFonts w:eastAsia="Times New Roman"/>
          <w:b/>
          <w:bCs/>
          <w:color w:val="000000"/>
          <w:sz w:val="20"/>
          <w:szCs w:val="20"/>
        </w:rPr>
        <w:t>Notes to Consolidated Financial Statements (Unaudited), Contin</w:t>
      </w:r>
      <w:r>
        <w:rPr>
          <w:rFonts w:eastAsia="Times New Roman"/>
          <w:b/>
          <w:bCs/>
          <w:color w:val="000000"/>
          <w:sz w:val="20"/>
          <w:szCs w:val="20"/>
        </w:rPr>
        <w:t>ued</w:t>
      </w:r>
    </w:p>
    <w:p w:rsidR="00000000" w:rsidRDefault="00C56D69">
      <w:pPr>
        <w:jc w:val="center"/>
        <w:divId w:val="177543208"/>
        <w:rPr>
          <w:rFonts w:eastAsia="Times New Roman"/>
        </w:rPr>
      </w:pPr>
    </w:p>
    <w:p w:rsidR="00000000" w:rsidRDefault="00C56D69">
      <w:pPr>
        <w:divId w:val="1255867598"/>
        <w:rPr>
          <w:rFonts w:eastAsia="Times New Roman"/>
        </w:rPr>
      </w:pPr>
      <w:r>
        <w:rPr>
          <w:rFonts w:eastAsia="Times New Roman"/>
          <w:color w:val="000000"/>
          <w:sz w:val="20"/>
          <w:szCs w:val="20"/>
        </w:rPr>
        <w:t xml:space="preserve">ceded legacy variable annuity policies sold by Equitable Financial between 2006-2008 (the “Block”), comprised of non-New York “Accumulator” </w:t>
      </w:r>
      <w:r>
        <w:rPr>
          <w:rFonts w:eastAsia="Times New Roman"/>
          <w:color w:val="000000"/>
          <w:sz w:val="20"/>
          <w:szCs w:val="20"/>
        </w:rPr>
        <w:t>policies containing fixed rate GMIB and/or GMDB guarantees to CS Life. As this contract provides full risk transfer and thus has the same risk attributes as the underlying direct contracts, the benefits of this treaty are accounted for in the same manner a</w:t>
      </w:r>
      <w:r>
        <w:rPr>
          <w:rFonts w:eastAsia="Times New Roman"/>
          <w:color w:val="000000"/>
          <w:sz w:val="20"/>
          <w:szCs w:val="20"/>
        </w:rPr>
        <w:t>s the underlying gross reserves and therefore the Amounts Due from Reinsurers related to the GMIB with NLG are accounted for as an embedded derivative.</w:t>
      </w:r>
    </w:p>
    <w:p w:rsidR="00000000" w:rsidRDefault="00C56D69">
      <w:pPr>
        <w:divId w:val="1578779352"/>
        <w:rPr>
          <w:rFonts w:eastAsia="Times New Roman"/>
        </w:rPr>
      </w:pPr>
      <w:r>
        <w:rPr>
          <w:rFonts w:eastAsia="Times New Roman"/>
          <w:color w:val="000000"/>
          <w:sz w:val="20"/>
          <w:szCs w:val="20"/>
        </w:rPr>
        <w:t xml:space="preserve">The Company has in place an economic hedge program using U.S. Treasury futures to partially protect the </w:t>
      </w:r>
      <w:r>
        <w:rPr>
          <w:rFonts w:eastAsia="Times New Roman"/>
          <w:color w:val="000000"/>
          <w:sz w:val="20"/>
          <w:szCs w:val="20"/>
        </w:rPr>
        <w:t>overall profitability of future variable annuity sales against declining interest rates.</w:t>
      </w:r>
    </w:p>
    <w:p w:rsidR="00000000" w:rsidRDefault="00C56D69">
      <w:pPr>
        <w:divId w:val="1992443586"/>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rsidR="00000000" w:rsidRDefault="00C56D69">
      <w:pPr>
        <w:divId w:val="363948051"/>
        <w:rPr>
          <w:rFonts w:eastAsia="Times New Roman"/>
        </w:rPr>
      </w:pPr>
      <w:r>
        <w:rPr>
          <w:rFonts w:eastAsia="Times New Roman"/>
          <w:color w:val="000000"/>
          <w:sz w:val="20"/>
          <w:szCs w:val="20"/>
        </w:rPr>
        <w:t>The Company hedges crediting rates in the SCS variable annuity, SIO in the EQUI-VEST variable annuity series, MSO in the variable life insurance products and IUL insurance products. These products permit the contract owner to participate in the performance</w:t>
      </w:r>
      <w:r>
        <w:rPr>
          <w:rFonts w:eastAsia="Times New Roman"/>
          <w:color w:val="000000"/>
          <w:sz w:val="20"/>
          <w:szCs w:val="20"/>
        </w:rPr>
        <w:t xml:space="preserve"> of an index, ETF or commodity price movement up to a cap for a set period of time. They also contain a protection feature, in which the Company will absorb, up to a certain percentage, the loss of value in an index, ETF or commodity price, which varies by</w:t>
      </w:r>
      <w:r>
        <w:rPr>
          <w:rFonts w:eastAsia="Times New Roman"/>
          <w:color w:val="000000"/>
          <w:sz w:val="20"/>
          <w:szCs w:val="20"/>
        </w:rPr>
        <w:t xml:space="preserve"> product segment. </w:t>
      </w:r>
    </w:p>
    <w:p w:rsidR="00000000" w:rsidRDefault="00C56D69">
      <w:pPr>
        <w:divId w:val="1039740864"/>
        <w:rPr>
          <w:rFonts w:eastAsia="Times New Roman"/>
        </w:rPr>
      </w:pPr>
      <w:r>
        <w:rPr>
          <w:rFonts w:eastAsia="Times New Roman"/>
          <w:color w:val="000000"/>
          <w:sz w:val="20"/>
          <w:szCs w:val="20"/>
        </w:rPr>
        <w:t>In order to support the returns associated with these features, the Company enters into derivative contracts whose payouts, in combination with fixed income investments, emulate those of the index, ETF or commodity price, subject to caps</w:t>
      </w:r>
      <w:r>
        <w:rPr>
          <w:rFonts w:eastAsia="Times New Roman"/>
          <w:color w:val="000000"/>
          <w:sz w:val="20"/>
          <w:szCs w:val="20"/>
        </w:rPr>
        <w:t xml:space="preserve"> and buffers, thereby substantially reducing any exposure to market-related earnings volatility.</w:t>
      </w:r>
    </w:p>
    <w:p w:rsidR="00000000" w:rsidRDefault="00C56D69">
      <w:pPr>
        <w:divId w:val="2134253031"/>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C56D69">
      <w:pPr>
        <w:divId w:val="933435956"/>
        <w:rPr>
          <w:rFonts w:eastAsia="Times New Roman"/>
        </w:rPr>
      </w:pPr>
      <w:r>
        <w:rPr>
          <w:rFonts w:eastAsia="Times New Roman"/>
          <w:color w:val="000000"/>
          <w:sz w:val="20"/>
          <w:szCs w:val="20"/>
        </w:rPr>
        <w:t>The Company’s General Account</w:t>
      </w:r>
      <w:r>
        <w:rPr>
          <w:rFonts w:eastAsia="Times New Roman"/>
          <w:color w:val="000000"/>
          <w:sz w:val="20"/>
          <w:szCs w:val="20"/>
        </w:rPr>
        <w:t xml:space="preserve"> seed money investments in retail mutual funds expose us to market risk, including equity market risk which is partially hedged through equity-index futures contracts to minimize such risk.</w:t>
      </w:r>
    </w:p>
    <w:p w:rsidR="00000000" w:rsidRDefault="00C56D69">
      <w:pPr>
        <w:divId w:val="1049721793"/>
        <w:rPr>
          <w:rFonts w:eastAsia="Times New Roman"/>
        </w:rPr>
      </w:pPr>
      <w:r>
        <w:rPr>
          <w:rFonts w:eastAsia="Times New Roman"/>
          <w:color w:val="000000"/>
          <w:sz w:val="20"/>
          <w:szCs w:val="20"/>
          <w:u w:val="single"/>
        </w:rPr>
        <w:t xml:space="preserve">Derivatives Used for General Account Investment Portfolio </w:t>
      </w:r>
    </w:p>
    <w:p w:rsidR="00000000" w:rsidRDefault="00C56D69">
      <w:pPr>
        <w:divId w:val="1222404462"/>
        <w:rPr>
          <w:rFonts w:eastAsia="Times New Roman"/>
        </w:rPr>
      </w:pPr>
      <w:r>
        <w:rPr>
          <w:rFonts w:eastAsia="Times New Roman"/>
          <w:color w:val="000000"/>
          <w:sz w:val="20"/>
          <w:szCs w:val="20"/>
        </w:rPr>
        <w:t>The Com</w:t>
      </w:r>
      <w:r>
        <w:rPr>
          <w:rFonts w:eastAsia="Times New Roman"/>
          <w:color w:val="000000"/>
          <w:sz w:val="20"/>
          <w:szCs w:val="20"/>
        </w:rPr>
        <w:t>pany maintains a strategy in its General Account investment portfolio to replicate the credit exposure of fixed maturity securities otherwise permissible for investment under its investment guidelines through the sale of CDS. Under the terms of these swaps</w:t>
      </w:r>
      <w:r>
        <w:rPr>
          <w:rFonts w:eastAsia="Times New Roman"/>
          <w:color w:val="000000"/>
          <w:sz w:val="20"/>
          <w:szCs w:val="20"/>
        </w:rPr>
        <w:t>, the Company receives quarterly fixed premiums that, together with any initial amount paid or received at trade inception, replicate the credit spread otherwise currently obtainable by purchasing the referenced entity’s bonds of similar maturity. These cr</w:t>
      </w:r>
      <w:r>
        <w:rPr>
          <w:rFonts w:eastAsia="Times New Roman"/>
          <w:color w:val="000000"/>
          <w:sz w:val="20"/>
          <w:szCs w:val="20"/>
        </w:rPr>
        <w:t xml:space="preserve">edit derivatives generally have remaining terms of five years or less and are recorded at fair value with changes in fair value, including the yield component that emerges from initial amounts paid or received, reported in net derivative gains (losses). </w:t>
      </w:r>
    </w:p>
    <w:p w:rsidR="00000000" w:rsidRDefault="00C56D69">
      <w:pPr>
        <w:divId w:val="948511090"/>
        <w:rPr>
          <w:rFonts w:eastAsia="Times New Roman"/>
        </w:rPr>
      </w:pPr>
      <w:r>
        <w:rPr>
          <w:rFonts w:eastAsia="Times New Roman"/>
          <w:color w:val="000000"/>
          <w:sz w:val="20"/>
          <w:szCs w:val="20"/>
        </w:rPr>
        <w:t>T</w:t>
      </w:r>
      <w:r>
        <w:rPr>
          <w:rFonts w:eastAsia="Times New Roman"/>
          <w:color w:val="000000"/>
          <w:sz w:val="20"/>
          <w:szCs w:val="20"/>
        </w:rPr>
        <w:t>he Company manages its credit exposure taking into consideration both cash and derivatives based positions and selects the reference entities in its replicated credit exposures in a manner consistent with its selection of fixed maturities. In addition, the</w:t>
      </w:r>
      <w:r>
        <w:rPr>
          <w:rFonts w:eastAsia="Times New Roman"/>
          <w:color w:val="000000"/>
          <w:sz w:val="20"/>
          <w:szCs w:val="20"/>
        </w:rPr>
        <w:t xml:space="preserve"> Company generally transacts the sale of CDS in single name reference entities of investment grade credit quality and with counterparties subject to collateral posting requirements. If there is an event of default by the reference entity or other such cred</w:t>
      </w:r>
      <w:r>
        <w:rPr>
          <w:rFonts w:eastAsia="Times New Roman"/>
          <w:color w:val="000000"/>
          <w:sz w:val="20"/>
          <w:szCs w:val="20"/>
        </w:rPr>
        <w:t xml:space="preserve">it event as defined under the terms of the swap contract, the Company is obligated to perform under the credit derivative and, at its option, either pay the referenced amount of the contract less an auction-determined recovery amount or pay the referenced </w:t>
      </w:r>
      <w:r>
        <w:rPr>
          <w:rFonts w:eastAsia="Times New Roman"/>
          <w:color w:val="000000"/>
          <w:sz w:val="20"/>
          <w:szCs w:val="20"/>
        </w:rPr>
        <w:t>amount of the contract and receive in return the defaulted or similar security of the reference entity for recovery by sale at the contract settlement auction. The Company purchased CDS to mitigate its exposure to a reference entity through cash positions.</w:t>
      </w:r>
      <w:r>
        <w:rPr>
          <w:rFonts w:eastAsia="Times New Roman"/>
          <w:color w:val="000000"/>
          <w:sz w:val="20"/>
          <w:szCs w:val="20"/>
        </w:rPr>
        <w:t xml:space="preserve"> These positions do not replicate credit spreads.</w:t>
      </w:r>
    </w:p>
    <w:p w:rsidR="00000000" w:rsidRDefault="00C56D69">
      <w:pPr>
        <w:divId w:val="850220991"/>
        <w:rPr>
          <w:rFonts w:eastAsia="Times New Roman"/>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will have to perfor</w:t>
      </w:r>
      <w:r>
        <w:rPr>
          <w:rFonts w:eastAsia="Times New Roman"/>
          <w:color w:val="000000"/>
          <w:sz w:val="20"/>
          <w:szCs w:val="20"/>
        </w:rPr>
        <w:t>m under the CDS that it sold. The maximum potential amount of future payments the Company could be required to make under the credit derivatives sold is limited to the par value of the referenced securities which is the dollar or euro-equivalent of the der</w:t>
      </w:r>
      <w:r>
        <w:rPr>
          <w:rFonts w:eastAsia="Times New Roman"/>
          <w:color w:val="000000"/>
          <w:sz w:val="20"/>
          <w:szCs w:val="20"/>
        </w:rPr>
        <w:t>ivative’s notional amount. The Standard North American CDS Contract or Standard European Corporate Contract under which the Company executes these CDS sales transactions does not contain recourse provisions for recovery of amounts paid under the credit der</w:t>
      </w:r>
      <w:r>
        <w:rPr>
          <w:rFonts w:eastAsia="Times New Roman"/>
          <w:color w:val="000000"/>
          <w:sz w:val="20"/>
          <w:szCs w:val="20"/>
        </w:rPr>
        <w:t xml:space="preserve">ivative. </w:t>
      </w:r>
    </w:p>
    <w:p w:rsidR="00000000" w:rsidRDefault="00C56D69">
      <w:pPr>
        <w:divId w:val="1631126994"/>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result in payment of the given bond’s coupons and</w:t>
      </w:r>
      <w:r>
        <w:rPr>
          <w:rFonts w:eastAsia="Times New Roman"/>
          <w:color w:val="000000"/>
          <w:sz w:val="20"/>
          <w:szCs w:val="20"/>
        </w:rPr>
        <w:t xml:space="preserve"> principal at maturity in the bond’s specified currency to the swap counterparty in return for fixed dollar amounts. These swaps, when considered in combination with the bonds, together result in a net position that is </w:t>
      </w:r>
    </w:p>
    <w:p w:rsidR="00000000" w:rsidRDefault="00C56D69">
      <w:pPr>
        <w:jc w:val="center"/>
        <w:divId w:val="1253854969"/>
        <w:rPr>
          <w:rFonts w:eastAsia="Times New Roman"/>
        </w:rPr>
      </w:pPr>
    </w:p>
    <w:p w:rsidR="00000000" w:rsidRDefault="00C56D69">
      <w:pPr>
        <w:jc w:val="center"/>
        <w:divId w:val="1253854969"/>
        <w:rPr>
          <w:rFonts w:eastAsia="Times New Roman"/>
        </w:rPr>
      </w:pPr>
      <w:r>
        <w:rPr>
          <w:rFonts w:eastAsia="Times New Roman"/>
          <w:color w:val="000000"/>
          <w:sz w:val="20"/>
          <w:szCs w:val="20"/>
        </w:rPr>
        <w:t>28</w:t>
      </w:r>
    </w:p>
    <w:p w:rsidR="00000000" w:rsidRDefault="00C56D69">
      <w:pPr>
        <w:rPr>
          <w:rFonts w:eastAsia="Times New Roman"/>
        </w:rPr>
      </w:pPr>
      <w:r>
        <w:rPr>
          <w:rFonts w:eastAsia="Times New Roman"/>
        </w:rPr>
        <w:pict>
          <v:rect id="_x0000_i1054" style="width:0;height:1.5pt" o:hralign="center" o:hrstd="t" o:hr="t" fillcolor="#a0a0a0" stroked="f"/>
        </w:pict>
      </w:r>
    </w:p>
    <w:p w:rsidR="00000000" w:rsidRDefault="00C56D69">
      <w:pPr>
        <w:divId w:val="19072873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2001617875"/>
        <w:rPr>
          <w:rFonts w:eastAsia="Times New Roman"/>
        </w:rPr>
      </w:pPr>
      <w:r>
        <w:rPr>
          <w:rFonts w:eastAsia="Times New Roman"/>
          <w:b/>
          <w:bCs/>
          <w:color w:val="000000"/>
          <w:sz w:val="20"/>
          <w:szCs w:val="20"/>
        </w:rPr>
        <w:t>EQUITABLE HOLDINGS, INC.</w:t>
      </w:r>
    </w:p>
    <w:p w:rsidR="00000000" w:rsidRDefault="00C56D69">
      <w:pPr>
        <w:jc w:val="center"/>
        <w:divId w:val="200161787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2001617875"/>
        <w:rPr>
          <w:rFonts w:eastAsia="Times New Roman"/>
        </w:rPr>
      </w:pPr>
    </w:p>
    <w:p w:rsidR="00000000" w:rsidRDefault="00C56D69">
      <w:pPr>
        <w:divId w:val="342439849"/>
        <w:rPr>
          <w:rFonts w:eastAsia="Times New Roman"/>
        </w:rPr>
      </w:pPr>
      <w:r>
        <w:rPr>
          <w:rFonts w:eastAsia="Times New Roman"/>
          <w:color w:val="000000"/>
          <w:sz w:val="20"/>
          <w:szCs w:val="20"/>
        </w:rPr>
        <w:t>intended to replicate a dollar-denominated fixed-coupon cash bond with a yield h</w:t>
      </w:r>
      <w:r>
        <w:rPr>
          <w:rFonts w:eastAsia="Times New Roman"/>
          <w:color w:val="000000"/>
          <w:sz w:val="20"/>
          <w:szCs w:val="20"/>
        </w:rPr>
        <w:t xml:space="preserve">igher than a term-equivalent U.S. Treasury bond. </w:t>
      </w:r>
    </w:p>
    <w:p w:rsidR="00000000" w:rsidRDefault="00C56D69">
      <w:pPr>
        <w:divId w:val="1519806291"/>
        <w:rPr>
          <w:rFonts w:eastAsia="Times New Roman"/>
        </w:rPr>
      </w:pPr>
      <w:r>
        <w:rPr>
          <w:rFonts w:eastAsia="Times New Roman"/>
          <w:color w:val="000000"/>
          <w:sz w:val="20"/>
          <w:szCs w:val="20"/>
          <w:u w:val="single"/>
        </w:rPr>
        <w:t>Derivatives Utilized to Hedge Exposure to Foreign Currency Denominated Cash Flows</w:t>
      </w:r>
    </w:p>
    <w:p w:rsidR="00000000" w:rsidRDefault="00C56D69">
      <w:pPr>
        <w:divId w:val="1898860672"/>
        <w:rPr>
          <w:rFonts w:eastAsia="Times New Roman"/>
        </w:rPr>
      </w:pPr>
      <w:r>
        <w:rPr>
          <w:rFonts w:eastAsia="Times New Roman"/>
          <w:color w:val="000000"/>
          <w:sz w:val="20"/>
          <w:szCs w:val="20"/>
        </w:rPr>
        <w:t>The Company purchases private placement debt securities and issues funding agreements in the FABN program in currencies othe</w:t>
      </w:r>
      <w:r>
        <w:rPr>
          <w:rFonts w:eastAsia="Times New Roman"/>
          <w:color w:val="000000"/>
          <w:sz w:val="20"/>
          <w:szCs w:val="20"/>
        </w:rPr>
        <w:t>r than its functional U.S. dollar currency. The Company enters into cross currency swaps with external counterparties to hedge the exposure of the foreign currency denominated cash flows of these instruments. The foreign currency received from or paid to t</w:t>
      </w:r>
      <w:r>
        <w:rPr>
          <w:rFonts w:eastAsia="Times New Roman"/>
          <w:color w:val="000000"/>
          <w:sz w:val="20"/>
          <w:szCs w:val="20"/>
        </w:rPr>
        <w:t>he cross currency swap counterparty is exchanged for fixed U.S. dollar amounts with improved net investment yields or net product costs over equivalent U.S. dollar denominated instruments issued at that time. The transactions are accounted for as cash flow</w:t>
      </w:r>
      <w:r>
        <w:rPr>
          <w:rFonts w:eastAsia="Times New Roman"/>
          <w:color w:val="000000"/>
          <w:sz w:val="20"/>
          <w:szCs w:val="20"/>
        </w:rPr>
        <w:t xml:space="preserve"> hedges when they are designated in hedging relationships and qualify for hedge accounting. The first cross currency swap hedges were designated and applied hedge accounting during the quarter ended June 30, 2021.</w:t>
      </w:r>
    </w:p>
    <w:p w:rsidR="00000000" w:rsidRDefault="00C56D69">
      <w:pPr>
        <w:divId w:val="1467091137"/>
        <w:rPr>
          <w:rFonts w:eastAsia="Times New Roman"/>
        </w:rPr>
      </w:pPr>
      <w:r>
        <w:rPr>
          <w:rFonts w:eastAsia="Times New Roman"/>
          <w:color w:val="000000"/>
          <w:sz w:val="20"/>
          <w:szCs w:val="20"/>
        </w:rPr>
        <w:t>These cross currency swaps are for the per</w:t>
      </w:r>
      <w:r>
        <w:rPr>
          <w:rFonts w:eastAsia="Times New Roman"/>
          <w:color w:val="000000"/>
          <w:sz w:val="20"/>
          <w:szCs w:val="20"/>
        </w:rPr>
        <w:t>iod the foreign currency denominated private placement debt securities and funding agreement are outstanding, with the longest cross currency swap expiring in 2033. Since designation and qualification as cash flow hedges, cross currency swap interest accru</w:t>
      </w:r>
      <w:r>
        <w:rPr>
          <w:rFonts w:eastAsia="Times New Roman"/>
          <w:color w:val="000000"/>
          <w:sz w:val="20"/>
          <w:szCs w:val="20"/>
        </w:rPr>
        <w:t xml:space="preserve">als are recognized in Net investment income and in Interest credited to policyholders’ account balances. </w:t>
      </w:r>
    </w:p>
    <w:p w:rsidR="00000000" w:rsidRDefault="00C56D69">
      <w:pPr>
        <w:divId w:val="1650596898"/>
        <w:rPr>
          <w:rFonts w:eastAsia="Times New Roman"/>
        </w:rPr>
      </w:pPr>
      <w:r>
        <w:rPr>
          <w:rFonts w:eastAsia="Times New Roman"/>
          <w:color w:val="000000"/>
          <w:sz w:val="20"/>
          <w:szCs w:val="20"/>
        </w:rPr>
        <w:t>The tables below present quantitative disclosures about the Company’s derivative instruments designated in hedging relationships and derivative instru</w:t>
      </w:r>
      <w:r>
        <w:rPr>
          <w:rFonts w:eastAsia="Times New Roman"/>
          <w:color w:val="000000"/>
          <w:sz w:val="20"/>
          <w:szCs w:val="20"/>
        </w:rPr>
        <w:t>ments which have not been designated in hedging relationships, including those embedded in other contracts required to be accounted for as derivative instruments.</w:t>
      </w:r>
    </w:p>
    <w:p w:rsidR="00000000" w:rsidRDefault="00C56D69">
      <w:pPr>
        <w:divId w:val="1486898687"/>
        <w:rPr>
          <w:rFonts w:eastAsia="Times New Roman"/>
        </w:rPr>
      </w:pPr>
      <w:r>
        <w:rPr>
          <w:rFonts w:eastAsia="Times New Roman"/>
          <w:color w:val="000000"/>
          <w:sz w:val="20"/>
          <w:szCs w:val="20"/>
        </w:rPr>
        <w:t>The following table presents the gross notional amount and estimated fair value of the Compan</w:t>
      </w:r>
      <w:r>
        <w:rPr>
          <w:rFonts w:eastAsia="Times New Roman"/>
          <w:color w:val="000000"/>
          <w:sz w:val="20"/>
          <w:szCs w:val="20"/>
        </w:rPr>
        <w:t>y’s derivatives:</w:t>
      </w:r>
    </w:p>
    <w:p w:rsidR="00000000" w:rsidRDefault="00C56D69">
      <w:pPr>
        <w:divId w:val="1435788120"/>
        <w:rPr>
          <w:rFonts w:eastAsia="Times New Roman"/>
        </w:rPr>
      </w:pPr>
    </w:p>
    <w:p w:rsidR="00000000" w:rsidRDefault="00C56D69">
      <w:pPr>
        <w:jc w:val="center"/>
        <w:divId w:val="1245915469"/>
        <w:rPr>
          <w:rFonts w:eastAsia="Times New Roman"/>
        </w:rPr>
      </w:pPr>
    </w:p>
    <w:p w:rsidR="00000000" w:rsidRDefault="00C56D69">
      <w:pPr>
        <w:jc w:val="center"/>
        <w:divId w:val="1245915469"/>
        <w:rPr>
          <w:rFonts w:eastAsia="Times New Roman"/>
        </w:rPr>
      </w:pPr>
      <w:r>
        <w:rPr>
          <w:rFonts w:eastAsia="Times New Roman"/>
          <w:color w:val="000000"/>
          <w:sz w:val="20"/>
          <w:szCs w:val="20"/>
        </w:rPr>
        <w:t>29</w:t>
      </w:r>
    </w:p>
    <w:p w:rsidR="00000000" w:rsidRDefault="00C56D69">
      <w:pPr>
        <w:rPr>
          <w:rFonts w:eastAsia="Times New Roman"/>
        </w:rPr>
      </w:pPr>
      <w:r>
        <w:rPr>
          <w:rFonts w:eastAsia="Times New Roman"/>
        </w:rPr>
        <w:pict>
          <v:rect id="_x0000_i1055" style="width:0;height:1.5pt" o:hralign="center" o:hrstd="t" o:hr="t" fillcolor="#a0a0a0" stroked="f"/>
        </w:pict>
      </w:r>
    </w:p>
    <w:p w:rsidR="00000000" w:rsidRDefault="00C56D69">
      <w:pPr>
        <w:divId w:val="184906115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41970385"/>
        <w:rPr>
          <w:rFonts w:eastAsia="Times New Roman"/>
        </w:rPr>
      </w:pPr>
      <w:r>
        <w:rPr>
          <w:rFonts w:eastAsia="Times New Roman"/>
          <w:b/>
          <w:bCs/>
          <w:color w:val="000000"/>
          <w:sz w:val="20"/>
          <w:szCs w:val="20"/>
        </w:rPr>
        <w:t>EQUITABLE HOLDINGS, INC.</w:t>
      </w:r>
    </w:p>
    <w:p w:rsidR="00000000" w:rsidRDefault="00C56D69">
      <w:pPr>
        <w:jc w:val="center"/>
        <w:divId w:val="14197038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41970385"/>
        <w:rPr>
          <w:rFonts w:eastAsia="Times New Roman"/>
        </w:rPr>
      </w:pPr>
    </w:p>
    <w:p w:rsidR="00000000" w:rsidRDefault="00C56D69">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8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36"/>
      </w:tblGrid>
      <w:tr w:rsidR="00000000">
        <w:trPr>
          <w:divId w:val="1415976826"/>
        </w:trPr>
        <w:tc>
          <w:tcPr>
            <w:tcW w:w="50" w:type="pct"/>
            <w:vAlign w:val="center"/>
            <w:hideMark/>
          </w:tcPr>
          <w:p w:rsidR="00000000" w:rsidRDefault="00C56D69">
            <w:pPr>
              <w:jc w:val="center"/>
              <w:rPr>
                <w:rFonts w:eastAsia="Times New Roman"/>
              </w:rPr>
            </w:pPr>
          </w:p>
        </w:tc>
        <w:tc>
          <w:tcPr>
            <w:tcW w:w="220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8"/>
                <w:szCs w:val="18"/>
              </w:rPr>
              <w:t>December 31, 2021</w:t>
            </w:r>
          </w:p>
        </w:tc>
        <w:tc>
          <w:tcPr>
            <w:tcW w:w="0" w:type="auto"/>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Fair Value</w:t>
            </w:r>
          </w:p>
        </w:tc>
        <w:tc>
          <w:tcPr>
            <w:tcW w:w="0" w:type="auto"/>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Derivative Liabilities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w:t>
            </w:r>
            <w:r>
              <w:rPr>
                <w:rFonts w:eastAsia="Times New Roman"/>
                <w:color w:val="000000"/>
                <w:sz w:val="20"/>
                <w:szCs w:val="20"/>
              </w:rPr>
              <w:t xml:space="preserve">Cash flow hedges: </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Interest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Futures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Swaps </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13,378 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36,788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48,489 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12,024 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5,065 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12,575 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1,889 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6,160 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58,071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80,365 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Amounts due from reinsurers (5)</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CCEE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6,773 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15976826"/>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60,293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12,345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82,241 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658189365"/>
        <w:rPr>
          <w:rFonts w:eastAsia="Times New Roman"/>
        </w:rPr>
      </w:pPr>
      <w:r>
        <w:rPr>
          <w:rFonts w:eastAsia="Times New Roman"/>
          <w:color w:val="000000"/>
          <w:sz w:val="18"/>
          <w:szCs w:val="18"/>
        </w:rPr>
        <w:t>___________</w:t>
      </w:r>
    </w:p>
    <w:p w:rsidR="00000000" w:rsidRDefault="00C56D69">
      <w:pPr>
        <w:ind w:hanging="360"/>
        <w:divId w:val="2123764019"/>
        <w:rPr>
          <w:rFonts w:eastAsia="Times New Roman"/>
        </w:rPr>
      </w:pPr>
      <w:r>
        <w:rPr>
          <w:rFonts w:eastAsia="Times New Roman"/>
          <w:color w:val="000000"/>
          <w:sz w:val="18"/>
          <w:szCs w:val="18"/>
        </w:rPr>
        <w:t>(1)Reported in other invested assets in the consolidated balance sheets.</w:t>
      </w:r>
    </w:p>
    <w:p w:rsidR="00000000" w:rsidRDefault="00C56D69">
      <w:pPr>
        <w:ind w:hanging="360"/>
        <w:divId w:val="1323002628"/>
        <w:rPr>
          <w:rFonts w:eastAsia="Times New Roman"/>
        </w:rPr>
      </w:pPr>
      <w:r>
        <w:rPr>
          <w:rFonts w:eastAsia="Times New Roman"/>
          <w:color w:val="000000"/>
          <w:sz w:val="18"/>
          <w:szCs w:val="18"/>
        </w:rPr>
        <w:t xml:space="preserve">(2)Reported in GMIB reinsurance contract asset in </w:t>
      </w:r>
      <w:r>
        <w:rPr>
          <w:rFonts w:eastAsia="Times New Roman"/>
          <w:color w:val="000000"/>
          <w:sz w:val="18"/>
          <w:szCs w:val="18"/>
        </w:rPr>
        <w:t>the consolidated balance sheets.</w:t>
      </w:r>
    </w:p>
    <w:p w:rsidR="00000000" w:rsidRDefault="00C56D69">
      <w:pPr>
        <w:ind w:hanging="360"/>
        <w:divId w:val="580330459"/>
        <w:rPr>
          <w:rFonts w:eastAsia="Times New Roman"/>
        </w:rPr>
      </w:pPr>
      <w:r>
        <w:rPr>
          <w:rFonts w:eastAsia="Times New Roman"/>
          <w:color w:val="000000"/>
          <w:sz w:val="18"/>
          <w:szCs w:val="18"/>
        </w:rPr>
        <w:t>(3)Reported in future policy benefits and other policyholders’ liabilities in the consolidated balance sheets.</w:t>
      </w:r>
    </w:p>
    <w:p w:rsidR="00000000" w:rsidRDefault="00C56D69">
      <w:pPr>
        <w:ind w:hanging="360"/>
        <w:divId w:val="238102382"/>
        <w:rPr>
          <w:rFonts w:eastAsia="Times New Roman"/>
        </w:rPr>
      </w:pPr>
      <w:r>
        <w:rPr>
          <w:rFonts w:eastAsia="Times New Roman"/>
          <w:color w:val="000000"/>
          <w:sz w:val="18"/>
          <w:szCs w:val="18"/>
        </w:rPr>
        <w:t>(4)Reported in policyholders’ account balances in the consolidated balance sheets.</w:t>
      </w:r>
    </w:p>
    <w:p w:rsidR="00000000" w:rsidRDefault="00C56D69">
      <w:pPr>
        <w:ind w:hanging="360"/>
        <w:divId w:val="1264797445"/>
        <w:rPr>
          <w:rFonts w:eastAsia="Times New Roman"/>
        </w:rPr>
      </w:pPr>
      <w:r>
        <w:rPr>
          <w:rFonts w:eastAsia="Times New Roman"/>
          <w:color w:val="000000"/>
          <w:sz w:val="18"/>
          <w:szCs w:val="18"/>
        </w:rPr>
        <w:t xml:space="preserve">(5)Represents GMIB NLG ceded </w:t>
      </w:r>
      <w:r>
        <w:rPr>
          <w:rFonts w:eastAsia="Times New Roman"/>
          <w:color w:val="000000"/>
          <w:sz w:val="18"/>
          <w:szCs w:val="18"/>
        </w:rPr>
        <w:t>related to the Venerable Transaction.</w:t>
      </w:r>
    </w:p>
    <w:p w:rsidR="00000000" w:rsidRDefault="00C56D69">
      <w:pPr>
        <w:divId w:val="837426407"/>
        <w:rPr>
          <w:rFonts w:eastAsia="Times New Roman"/>
        </w:rPr>
      </w:pPr>
    </w:p>
    <w:p w:rsidR="00000000" w:rsidRDefault="00C56D69">
      <w:pPr>
        <w:divId w:val="1633244769"/>
        <w:rPr>
          <w:rFonts w:eastAsia="Times New Roman"/>
        </w:rPr>
      </w:pPr>
    </w:p>
    <w:p w:rsidR="00000000" w:rsidRDefault="00C56D69">
      <w:pPr>
        <w:divId w:val="1929576715"/>
        <w:rPr>
          <w:rFonts w:eastAsia="Times New Roman"/>
        </w:rPr>
      </w:pPr>
      <w:r>
        <w:rPr>
          <w:rFonts w:eastAsia="Times New Roman"/>
          <w:color w:val="000000"/>
          <w:sz w:val="20"/>
          <w:szCs w:val="20"/>
        </w:rPr>
        <w:t>The following table presents the effects of derivative instruments on the consolidated statements of income and comprehensive income (loss).</w:t>
      </w:r>
    </w:p>
    <w:p w:rsidR="00000000" w:rsidRDefault="00C56D69">
      <w:pPr>
        <w:jc w:val="center"/>
        <w:rPr>
          <w:rFonts w:eastAsia="Times New Roman"/>
        </w:rPr>
      </w:pPr>
    </w:p>
    <w:p w:rsidR="00000000" w:rsidRDefault="00C56D69">
      <w:pPr>
        <w:jc w:val="center"/>
        <w:rPr>
          <w:rFonts w:eastAsia="Times New Roman"/>
        </w:rPr>
      </w:pPr>
      <w:r>
        <w:rPr>
          <w:rFonts w:eastAsia="Times New Roman"/>
          <w:b/>
          <w:bCs/>
          <w:color w:val="000000"/>
          <w:sz w:val="20"/>
          <w:szCs w:val="20"/>
        </w:rPr>
        <w:t>Derivative Instruments by Category</w:t>
      </w:r>
    </w:p>
    <w:p w:rsidR="00000000" w:rsidRDefault="00C56D69">
      <w:pPr>
        <w:jc w:val="center"/>
        <w:divId w:val="2025204799"/>
        <w:rPr>
          <w:rFonts w:eastAsia="Times New Roman"/>
        </w:rPr>
      </w:pPr>
    </w:p>
    <w:p w:rsidR="00000000" w:rsidRDefault="00C56D69">
      <w:pPr>
        <w:jc w:val="center"/>
        <w:divId w:val="2025204799"/>
        <w:rPr>
          <w:rFonts w:eastAsia="Times New Roman"/>
        </w:rPr>
      </w:pPr>
      <w:r>
        <w:rPr>
          <w:rFonts w:eastAsia="Times New Roman"/>
          <w:color w:val="000000"/>
          <w:sz w:val="20"/>
          <w:szCs w:val="20"/>
        </w:rPr>
        <w:t>30</w:t>
      </w:r>
    </w:p>
    <w:p w:rsidR="00000000" w:rsidRDefault="00C56D69">
      <w:pPr>
        <w:rPr>
          <w:rFonts w:eastAsia="Times New Roman"/>
        </w:rPr>
      </w:pPr>
      <w:r>
        <w:rPr>
          <w:rFonts w:eastAsia="Times New Roman"/>
        </w:rPr>
        <w:pict>
          <v:rect id="_x0000_i1056" style="width:0;height:1.5pt" o:hralign="center" o:hrstd="t" o:hr="t" fillcolor="#a0a0a0" stroked="f"/>
        </w:pict>
      </w:r>
    </w:p>
    <w:p w:rsidR="00000000" w:rsidRDefault="00C56D69">
      <w:pPr>
        <w:divId w:val="99001689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2080323689"/>
        <w:rPr>
          <w:rFonts w:eastAsia="Times New Roman"/>
        </w:rPr>
      </w:pPr>
      <w:r>
        <w:rPr>
          <w:rFonts w:eastAsia="Times New Roman"/>
          <w:b/>
          <w:bCs/>
          <w:color w:val="000000"/>
          <w:sz w:val="20"/>
          <w:szCs w:val="20"/>
        </w:rPr>
        <w:t>EQUITABLE HOLDINGS, INC.</w:t>
      </w:r>
    </w:p>
    <w:p w:rsidR="00000000" w:rsidRDefault="00C56D69">
      <w:pPr>
        <w:jc w:val="center"/>
        <w:divId w:val="2080323689"/>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2080323689"/>
        <w:rPr>
          <w:rFonts w:eastAsia="Times New Roman"/>
        </w:rPr>
      </w:pPr>
    </w:p>
    <w:p w:rsidR="00000000" w:rsidRDefault="00C56D69">
      <w:pPr>
        <w:jc w:val="center"/>
        <w:divId w:val="1056776496"/>
        <w:rPr>
          <w:rFonts w:eastAsia="Times New Roman"/>
        </w:rPr>
      </w:pPr>
    </w:p>
    <w:p w:rsidR="00000000" w:rsidRDefault="00C56D69">
      <w:pPr>
        <w:jc w:val="center"/>
        <w:divId w:val="1056776496"/>
        <w:rPr>
          <w:rFonts w:eastAsia="Times New Roman"/>
        </w:rPr>
      </w:pPr>
      <w:r>
        <w:rPr>
          <w:rFonts w:eastAsia="Times New Roman"/>
          <w:color w:val="000000"/>
          <w:sz w:val="20"/>
          <w:szCs w:val="20"/>
        </w:rPr>
        <w:t>31</w:t>
      </w:r>
    </w:p>
    <w:p w:rsidR="00000000" w:rsidRDefault="00C56D69">
      <w:pPr>
        <w:rPr>
          <w:rFonts w:eastAsia="Times New Roman"/>
        </w:rPr>
      </w:pPr>
      <w:r>
        <w:rPr>
          <w:rFonts w:eastAsia="Times New Roman"/>
        </w:rPr>
        <w:pict>
          <v:rect id="_x0000_i1057" style="width:0;height:1.5pt" o:hralign="center" o:hrstd="t" o:hr="t" fillcolor="#a0a0a0" stroked="f"/>
        </w:pict>
      </w:r>
    </w:p>
    <w:p w:rsidR="00000000" w:rsidRDefault="00C56D69">
      <w:pPr>
        <w:divId w:val="115776940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503616987"/>
        <w:rPr>
          <w:rFonts w:eastAsia="Times New Roman"/>
        </w:rPr>
      </w:pPr>
      <w:r>
        <w:rPr>
          <w:rFonts w:eastAsia="Times New Roman"/>
          <w:b/>
          <w:bCs/>
          <w:color w:val="000000"/>
          <w:sz w:val="20"/>
          <w:szCs w:val="20"/>
        </w:rPr>
        <w:t>EQUITABLE HOLDINGS, INC.</w:t>
      </w:r>
    </w:p>
    <w:p w:rsidR="00000000" w:rsidRDefault="00C56D69">
      <w:pPr>
        <w:jc w:val="center"/>
        <w:divId w:val="1503616987"/>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50361698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1237"/>
        <w:gridCol w:w="38"/>
        <w:gridCol w:w="121"/>
        <w:gridCol w:w="825"/>
        <w:gridCol w:w="36"/>
        <w:gridCol w:w="36"/>
        <w:gridCol w:w="36"/>
        <w:gridCol w:w="36"/>
        <w:gridCol w:w="121"/>
        <w:gridCol w:w="719"/>
        <w:gridCol w:w="36"/>
        <w:gridCol w:w="121"/>
        <w:gridCol w:w="865"/>
        <w:gridCol w:w="36"/>
        <w:gridCol w:w="36"/>
        <w:gridCol w:w="36"/>
        <w:gridCol w:w="36"/>
        <w:gridCol w:w="120"/>
        <w:gridCol w:w="350"/>
        <w:gridCol w:w="36"/>
        <w:gridCol w:w="36"/>
        <w:gridCol w:w="36"/>
        <w:gridCol w:w="36"/>
        <w:gridCol w:w="121"/>
        <w:gridCol w:w="825"/>
        <w:gridCol w:w="36"/>
        <w:gridCol w:w="36"/>
        <w:gridCol w:w="36"/>
        <w:gridCol w:w="36"/>
        <w:gridCol w:w="121"/>
        <w:gridCol w:w="716"/>
        <w:gridCol w:w="36"/>
        <w:gridCol w:w="121"/>
        <w:gridCol w:w="868"/>
        <w:gridCol w:w="36"/>
        <w:gridCol w:w="36"/>
        <w:gridCol w:w="36"/>
        <w:gridCol w:w="36"/>
        <w:gridCol w:w="120"/>
        <w:gridCol w:w="350"/>
        <w:gridCol w:w="36"/>
      </w:tblGrid>
      <w:tr w:rsidR="00000000">
        <w:trPr>
          <w:divId w:val="267472846"/>
        </w:trPr>
        <w:tc>
          <w:tcPr>
            <w:tcW w:w="50" w:type="pct"/>
            <w:vAlign w:val="center"/>
            <w:hideMark/>
          </w:tcPr>
          <w:p w:rsidR="00000000" w:rsidRDefault="00C56D69">
            <w:pPr>
              <w:jc w:val="center"/>
              <w:rPr>
                <w:rFonts w:eastAsia="Times New Roman"/>
              </w:rPr>
            </w:pPr>
          </w:p>
        </w:tc>
        <w:tc>
          <w:tcPr>
            <w:tcW w:w="10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Three Months Ended 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Nine Months Ended September 30, 2022</w:t>
            </w:r>
          </w:p>
        </w:tc>
      </w:tr>
      <w:tr w:rsidR="00000000">
        <w:trPr>
          <w:divId w:val="267472846"/>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67472846"/>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AOCI</w:t>
            </w:r>
          </w:p>
        </w:tc>
      </w:tr>
      <w:tr w:rsidR="00000000">
        <w:trPr>
          <w:divId w:val="267472846"/>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C56D69">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(4,379)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Height w:val="30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267472846"/>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embedded derivatives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7472846"/>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267472846"/>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firstLine="360"/>
        <w:divId w:val="915551007"/>
        <w:rPr>
          <w:rFonts w:eastAsia="Times New Roman"/>
        </w:rPr>
      </w:pPr>
    </w:p>
    <w:p w:rsidR="00000000" w:rsidRDefault="00C56D69">
      <w:pPr>
        <w:jc w:val="center"/>
        <w:divId w:val="1434016096"/>
        <w:rPr>
          <w:rFonts w:eastAsia="Times New Roman"/>
        </w:rPr>
      </w:pPr>
    </w:p>
    <w:p w:rsidR="00000000" w:rsidRDefault="00C56D69">
      <w:pPr>
        <w:jc w:val="center"/>
        <w:divId w:val="1434016096"/>
        <w:rPr>
          <w:rFonts w:eastAsia="Times New Roman"/>
        </w:rPr>
      </w:pPr>
      <w:r>
        <w:rPr>
          <w:rFonts w:eastAsia="Times New Roman"/>
          <w:color w:val="000000"/>
          <w:sz w:val="20"/>
          <w:szCs w:val="20"/>
        </w:rPr>
        <w:t>32</w:t>
      </w:r>
    </w:p>
    <w:p w:rsidR="00000000" w:rsidRDefault="00C56D69">
      <w:pPr>
        <w:rPr>
          <w:rFonts w:eastAsia="Times New Roman"/>
        </w:rPr>
      </w:pPr>
      <w:r>
        <w:rPr>
          <w:rFonts w:eastAsia="Times New Roman"/>
        </w:rPr>
        <w:pict>
          <v:rect id="_x0000_i1058" style="width:0;height:1.5pt" o:hralign="center" o:hrstd="t" o:hr="t" fillcolor="#a0a0a0" stroked="f"/>
        </w:pict>
      </w:r>
    </w:p>
    <w:p w:rsidR="00000000" w:rsidRDefault="00C56D69">
      <w:pPr>
        <w:divId w:val="73393863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720787858"/>
        <w:rPr>
          <w:rFonts w:eastAsia="Times New Roman"/>
        </w:rPr>
      </w:pPr>
      <w:r>
        <w:rPr>
          <w:rFonts w:eastAsia="Times New Roman"/>
          <w:b/>
          <w:bCs/>
          <w:color w:val="000000"/>
          <w:sz w:val="20"/>
          <w:szCs w:val="20"/>
        </w:rPr>
        <w:t>EQUITABLE HOLDINGS, INC.</w:t>
      </w:r>
    </w:p>
    <w:p w:rsidR="00000000" w:rsidRDefault="00C56D69">
      <w:pPr>
        <w:jc w:val="center"/>
        <w:divId w:val="720787858"/>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720787858"/>
        <w:rPr>
          <w:rFonts w:eastAsia="Times New Roman"/>
        </w:rPr>
      </w:pPr>
    </w:p>
    <w:p w:rsidR="00000000" w:rsidRDefault="00C56D69">
      <w:pPr>
        <w:ind w:firstLine="360"/>
        <w:divId w:val="1776515978"/>
        <w:rPr>
          <w:rFonts w:eastAsia="Times New Roman"/>
        </w:rPr>
      </w:pPr>
    </w:p>
    <w:p w:rsidR="00000000" w:rsidRDefault="00C56D69">
      <w:pPr>
        <w:ind w:firstLine="360"/>
        <w:divId w:val="444161291"/>
        <w:rPr>
          <w:rFonts w:eastAsia="Times New Roman"/>
        </w:rPr>
      </w:pPr>
    </w:p>
    <w:p w:rsidR="00000000" w:rsidRDefault="00C56D69">
      <w:pPr>
        <w:ind w:firstLine="360"/>
        <w:divId w:val="915603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500"/>
        <w:gridCol w:w="37"/>
        <w:gridCol w:w="121"/>
        <w:gridCol w:w="793"/>
        <w:gridCol w:w="36"/>
        <w:gridCol w:w="36"/>
        <w:gridCol w:w="36"/>
        <w:gridCol w:w="36"/>
        <w:gridCol w:w="121"/>
        <w:gridCol w:w="650"/>
        <w:gridCol w:w="36"/>
        <w:gridCol w:w="121"/>
        <w:gridCol w:w="816"/>
        <w:gridCol w:w="36"/>
        <w:gridCol w:w="36"/>
        <w:gridCol w:w="36"/>
        <w:gridCol w:w="36"/>
        <w:gridCol w:w="121"/>
        <w:gridCol w:w="362"/>
        <w:gridCol w:w="37"/>
        <w:gridCol w:w="36"/>
        <w:gridCol w:w="36"/>
        <w:gridCol w:w="36"/>
        <w:gridCol w:w="121"/>
        <w:gridCol w:w="793"/>
        <w:gridCol w:w="36"/>
        <w:gridCol w:w="36"/>
        <w:gridCol w:w="36"/>
        <w:gridCol w:w="36"/>
        <w:gridCol w:w="121"/>
        <w:gridCol w:w="650"/>
        <w:gridCol w:w="36"/>
        <w:gridCol w:w="121"/>
        <w:gridCol w:w="816"/>
        <w:gridCol w:w="36"/>
        <w:gridCol w:w="36"/>
        <w:gridCol w:w="36"/>
        <w:gridCol w:w="36"/>
        <w:gridCol w:w="120"/>
        <w:gridCol w:w="334"/>
        <w:gridCol w:w="36"/>
      </w:tblGrid>
      <w:tr w:rsidR="00000000">
        <w:trPr>
          <w:divId w:val="1266310260"/>
        </w:trPr>
        <w:tc>
          <w:tcPr>
            <w:tcW w:w="50" w:type="pct"/>
            <w:vAlign w:val="center"/>
            <w:hideMark/>
          </w:tcPr>
          <w:p w:rsidR="00000000" w:rsidRDefault="00C56D69">
            <w:pPr>
              <w:ind w:firstLine="360"/>
              <w:rPr>
                <w:rFonts w:eastAsia="Times New Roman"/>
              </w:rPr>
            </w:pPr>
          </w:p>
        </w:tc>
        <w:tc>
          <w:tcPr>
            <w:tcW w:w="131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Three Months Ended September 30, 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Nine Months Ended September 30, 2021</w:t>
            </w:r>
          </w:p>
        </w:tc>
      </w:tr>
      <w:tr w:rsidR="00000000">
        <w:trPr>
          <w:divId w:val="126631026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(in millions)</w:t>
            </w:r>
          </w:p>
        </w:tc>
      </w:tr>
      <w:tr w:rsidR="00000000">
        <w:trPr>
          <w:divId w:val="126631026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6"/>
                <w:szCs w:val="16"/>
              </w:rPr>
              <w:t>AOCI</w:t>
            </w:r>
          </w:p>
        </w:tc>
      </w:tr>
      <w:tr w:rsidR="00000000">
        <w:trPr>
          <w:divId w:val="126631026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Currency/interest rate</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swaps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designated for hedge accounting</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(891)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(2,375)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not designated for hedge accounting</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(4,148)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(2,157)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1266310260"/>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embedded derivatives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66310260"/>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1266310260"/>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firstLine="360"/>
        <w:divId w:val="1713310165"/>
        <w:rPr>
          <w:rFonts w:eastAsia="Times New Roman"/>
        </w:rPr>
      </w:pPr>
      <w:r>
        <w:rPr>
          <w:rFonts w:eastAsia="Times New Roman"/>
          <w:color w:val="000000"/>
          <w:sz w:val="20"/>
          <w:szCs w:val="20"/>
        </w:rPr>
        <w:t>______________</w:t>
      </w:r>
    </w:p>
    <w:p w:rsidR="00000000" w:rsidRDefault="00C56D69">
      <w:pPr>
        <w:ind w:firstLine="360"/>
        <w:divId w:val="826171305"/>
        <w:rPr>
          <w:rFonts w:eastAsia="Times New Roman"/>
        </w:rPr>
      </w:pPr>
      <w:r>
        <w:rPr>
          <w:rFonts w:eastAsia="Times New Roman"/>
          <w:color w:val="000000"/>
          <w:sz w:val="18"/>
          <w:szCs w:val="18"/>
        </w:rPr>
        <w:t xml:space="preserve">(1)Reported in </w:t>
      </w:r>
      <w:r>
        <w:rPr>
          <w:rFonts w:eastAsia="Times New Roman"/>
          <w:color w:val="000000"/>
          <w:sz w:val="18"/>
          <w:szCs w:val="18"/>
        </w:rPr>
        <w:t>net derivative gains (losses) in the consolidated statements of income (loss).</w:t>
      </w:r>
    </w:p>
    <w:p w:rsidR="00000000" w:rsidRDefault="00C56D69">
      <w:pPr>
        <w:ind w:firstLine="360"/>
        <w:divId w:val="2004308673"/>
        <w:rPr>
          <w:rFonts w:eastAsia="Times New Roman"/>
        </w:rPr>
      </w:pPr>
      <w:r>
        <w:rPr>
          <w:rFonts w:eastAsia="Times New Roman"/>
          <w:color w:val="000000"/>
          <w:sz w:val="18"/>
          <w:szCs w:val="18"/>
        </w:rPr>
        <w:t xml:space="preserve">(2)Excludes settlement fees of $45 million on CS Life reinsurance contract for the </w:t>
      </w:r>
      <w:r>
        <w:rPr>
          <w:rFonts w:eastAsia="Times New Roman"/>
          <w:color w:val="000000"/>
          <w:sz w:val="20"/>
          <w:szCs w:val="20"/>
        </w:rPr>
        <w:t>nine months ended September 30, 2021</w:t>
      </w:r>
      <w:r>
        <w:rPr>
          <w:rFonts w:eastAsia="Times New Roman"/>
          <w:color w:val="000000"/>
          <w:sz w:val="18"/>
          <w:szCs w:val="18"/>
        </w:rPr>
        <w:t xml:space="preserve">. </w:t>
      </w:r>
    </w:p>
    <w:p w:rsidR="00000000" w:rsidRDefault="00C56D69">
      <w:pPr>
        <w:jc w:val="center"/>
        <w:divId w:val="1572881957"/>
        <w:rPr>
          <w:rFonts w:eastAsia="Times New Roman"/>
        </w:rPr>
      </w:pPr>
    </w:p>
    <w:p w:rsidR="00000000" w:rsidRDefault="00C56D69">
      <w:pPr>
        <w:jc w:val="center"/>
        <w:divId w:val="1572881957"/>
        <w:rPr>
          <w:rFonts w:eastAsia="Times New Roman"/>
        </w:rPr>
      </w:pPr>
      <w:r>
        <w:rPr>
          <w:rFonts w:eastAsia="Times New Roman"/>
          <w:color w:val="000000"/>
          <w:sz w:val="20"/>
          <w:szCs w:val="20"/>
        </w:rPr>
        <w:t>33</w:t>
      </w:r>
    </w:p>
    <w:p w:rsidR="00000000" w:rsidRDefault="00C56D69">
      <w:pPr>
        <w:rPr>
          <w:rFonts w:eastAsia="Times New Roman"/>
        </w:rPr>
      </w:pPr>
      <w:r>
        <w:rPr>
          <w:rFonts w:eastAsia="Times New Roman"/>
        </w:rPr>
        <w:pict>
          <v:rect id="_x0000_i1059" style="width:0;height:1.5pt" o:hralign="center" o:hrstd="t" o:hr="t" fillcolor="#a0a0a0" stroked="f"/>
        </w:pict>
      </w:r>
    </w:p>
    <w:p w:rsidR="00000000" w:rsidRDefault="00C56D69">
      <w:pPr>
        <w:divId w:val="1303316636"/>
        <w:rPr>
          <w:rFonts w:eastAsia="Times New Roman"/>
        </w:rPr>
      </w:pPr>
    </w:p>
    <w:p w:rsidR="00000000" w:rsidRDefault="00C56D69">
      <w:pPr>
        <w:divId w:val="1770463585"/>
        <w:rPr>
          <w:rFonts w:eastAsia="Times New Roman"/>
        </w:rPr>
      </w:pPr>
      <w:r>
        <w:rPr>
          <w:rFonts w:eastAsia="Times New Roman"/>
          <w:color w:val="000000"/>
          <w:sz w:val="20"/>
          <w:szCs w:val="20"/>
        </w:rPr>
        <w:t>The following table presents a roll-forward of cash flow hedges recognized in AOCI.</w:t>
      </w:r>
    </w:p>
    <w:p w:rsidR="00000000" w:rsidRDefault="00C56D69">
      <w:pPr>
        <w:jc w:val="center"/>
        <w:rPr>
          <w:rFonts w:eastAsia="Times New Roman"/>
        </w:rPr>
      </w:pPr>
      <w:r>
        <w:rPr>
          <w:rFonts w:eastAsia="Times New Roman"/>
          <w:b/>
          <w:bCs/>
          <w:color w:val="000000"/>
          <w:sz w:val="20"/>
          <w:szCs w:val="20"/>
        </w:rPr>
        <w:t>Roll-forward of Cash flow hedges in AOCI</w:t>
      </w:r>
    </w:p>
    <w:p w:rsidR="00000000" w:rsidRDefault="00C56D69">
      <w:pPr>
        <w:ind w:firstLine="360"/>
        <w:divId w:val="4261242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120"/>
        <w:gridCol w:w="576"/>
        <w:gridCol w:w="36"/>
        <w:gridCol w:w="36"/>
        <w:gridCol w:w="36"/>
        <w:gridCol w:w="36"/>
        <w:gridCol w:w="120"/>
        <w:gridCol w:w="576"/>
        <w:gridCol w:w="36"/>
        <w:gridCol w:w="36"/>
        <w:gridCol w:w="36"/>
        <w:gridCol w:w="36"/>
        <w:gridCol w:w="120"/>
        <w:gridCol w:w="576"/>
        <w:gridCol w:w="36"/>
        <w:gridCol w:w="36"/>
        <w:gridCol w:w="36"/>
        <w:gridCol w:w="36"/>
        <w:gridCol w:w="120"/>
        <w:gridCol w:w="576"/>
        <w:gridCol w:w="36"/>
        <w:gridCol w:w="36"/>
        <w:gridCol w:w="36"/>
        <w:gridCol w:w="36"/>
        <w:gridCol w:w="36"/>
        <w:gridCol w:w="36"/>
        <w:gridCol w:w="36"/>
      </w:tblGrid>
      <w:tr w:rsidR="00000000">
        <w:trPr>
          <w:divId w:val="1045645784"/>
        </w:trPr>
        <w:tc>
          <w:tcPr>
            <w:tcW w:w="50" w:type="pct"/>
            <w:vAlign w:val="center"/>
            <w:hideMark/>
          </w:tcPr>
          <w:p w:rsidR="00000000" w:rsidRDefault="00C56D69">
            <w:pPr>
              <w:ind w:firstLine="360"/>
              <w:rPr>
                <w:rFonts w:eastAsia="Times New Roman"/>
              </w:rPr>
            </w:pPr>
          </w:p>
        </w:tc>
        <w:tc>
          <w:tcPr>
            <w:tcW w:w="301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 xml:space="preserve">Balance, beginning of period </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 recorded in AOCI</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amount recorded in AOCI</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 reclassified from AOCI to income</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amount reclassified from AOCI to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45645784"/>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end of period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61745136"/>
        <w:rPr>
          <w:rFonts w:eastAsia="Times New Roman"/>
        </w:rPr>
      </w:pPr>
      <w:r>
        <w:rPr>
          <w:rFonts w:eastAsia="Times New Roman"/>
          <w:color w:val="000000"/>
          <w:sz w:val="18"/>
          <w:szCs w:val="18"/>
        </w:rPr>
        <w:t>_______________</w:t>
      </w:r>
    </w:p>
    <w:p w:rsidR="00000000" w:rsidRDefault="00C56D69">
      <w:pPr>
        <w:ind w:hanging="360"/>
        <w:divId w:val="1565287391"/>
        <w:rPr>
          <w:rFonts w:eastAsia="Times New Roman"/>
        </w:rPr>
      </w:pPr>
      <w:r>
        <w:rPr>
          <w:rFonts w:eastAsia="Times New Roman"/>
          <w:color w:val="000000"/>
          <w:sz w:val="18"/>
          <w:szCs w:val="18"/>
        </w:rPr>
        <w:t>(1) The Company does not estimate the amount of the deferred losses in AOCI at three and nine months ended September 30, 2022 and 2021 which will be released and reclassified in</w:t>
      </w:r>
      <w:r>
        <w:rPr>
          <w:rFonts w:eastAsia="Times New Roman"/>
          <w:color w:val="000000"/>
          <w:sz w:val="18"/>
          <w:szCs w:val="18"/>
        </w:rPr>
        <w:t>to Net income (loss) over the next 12 months as the amounts cannot be reasonably estimated.</w:t>
      </w:r>
    </w:p>
    <w:p w:rsidR="00000000" w:rsidRDefault="00C56D69">
      <w:pPr>
        <w:divId w:val="267930442"/>
        <w:rPr>
          <w:rFonts w:eastAsia="Times New Roman"/>
        </w:rPr>
      </w:pPr>
      <w:r>
        <w:rPr>
          <w:rFonts w:eastAsia="Times New Roman"/>
          <w:color w:val="000000"/>
          <w:sz w:val="20"/>
          <w:szCs w:val="20"/>
          <w:u w:val="single"/>
        </w:rPr>
        <w:t>Equity-Based and Treasury Futures Contracts Margin</w:t>
      </w:r>
    </w:p>
    <w:p w:rsidR="00000000" w:rsidRDefault="00C56D69">
      <w:pPr>
        <w:divId w:val="1852331705"/>
        <w:rPr>
          <w:rFonts w:eastAsia="Times New Roman"/>
        </w:rPr>
      </w:pPr>
      <w:r>
        <w:rPr>
          <w:rFonts w:eastAsia="Times New Roman"/>
          <w:color w:val="000000"/>
          <w:sz w:val="20"/>
          <w:szCs w:val="20"/>
        </w:rPr>
        <w:t>All outstanding equity-based and treasury futures contracts as of September 30, 2022 and December 31, 2021 are ex</w:t>
      </w:r>
      <w:r>
        <w:rPr>
          <w:rFonts w:eastAsia="Times New Roman"/>
          <w:color w:val="000000"/>
          <w:sz w:val="20"/>
          <w:szCs w:val="20"/>
        </w:rPr>
        <w:t>change-traded and net settled daily in cash. As of September 30, 2022 and December 31, 2021, respectively, the Company had open exchange-traded futures positions on: (i) the S&amp;P 500, Nasdaq, Russell 2000 and Emerging Market indices, having initial margin r</w:t>
      </w:r>
      <w:r>
        <w:rPr>
          <w:rFonts w:eastAsia="Times New Roman"/>
          <w:color w:val="000000"/>
          <w:sz w:val="20"/>
          <w:szCs w:val="20"/>
        </w:rPr>
        <w:t>equirements of $187 million and $109 million, (ii) the 2-year, 5-year and 10-year U.S. Treasury Notes on U.S. Treasury bonds and ultra-long bonds, having initial margin requirements of $63 million and $200 million, and (iii) the Euro Stoxx, FTSE 100, Topix</w:t>
      </w:r>
      <w:r>
        <w:rPr>
          <w:rFonts w:eastAsia="Times New Roman"/>
          <w:color w:val="000000"/>
          <w:sz w:val="20"/>
          <w:szCs w:val="20"/>
        </w:rPr>
        <w:t>, ASX 200 and EAFE indices as well as corresponding currency futures on the Euro/U.S. dollar, Pound/U.S. dollar, Australian dollar/U.S. dollar, and Yen/U.S. dollar, having initial margin requirements of $14 million and $16 million.</w:t>
      </w:r>
    </w:p>
    <w:p w:rsidR="00000000" w:rsidRDefault="00C56D69">
      <w:pPr>
        <w:divId w:val="259486475"/>
        <w:rPr>
          <w:rFonts w:eastAsia="Times New Roman"/>
        </w:rPr>
      </w:pPr>
      <w:r>
        <w:rPr>
          <w:rFonts w:eastAsia="Times New Roman"/>
          <w:color w:val="000000"/>
          <w:sz w:val="20"/>
          <w:szCs w:val="20"/>
          <w:u w:val="single"/>
        </w:rPr>
        <w:t>Collateral Arrangements</w:t>
      </w:r>
    </w:p>
    <w:p w:rsidR="00000000" w:rsidRDefault="00C56D69">
      <w:pPr>
        <w:divId w:val="450589135"/>
        <w:rPr>
          <w:rFonts w:eastAsia="Times New Roman"/>
        </w:rPr>
      </w:pPr>
      <w:r>
        <w:rPr>
          <w:rFonts w:eastAsia="Times New Roman"/>
          <w:color w:val="000000"/>
          <w:sz w:val="20"/>
          <w:szCs w:val="20"/>
        </w:rPr>
        <w:t>The Company generally has executed a CSA under the ISDA Master Agreement it maintains with each of its OTC derivative counterparties that requires both posting and accepting collateral either in the form of cash or high-quality securities, such as U.S. Tre</w:t>
      </w:r>
      <w:r>
        <w:rPr>
          <w:rFonts w:eastAsia="Times New Roman"/>
          <w:color w:val="000000"/>
          <w:sz w:val="20"/>
          <w:szCs w:val="20"/>
        </w:rPr>
        <w:t>asury securities, U.S. government and government agency securities and investment grade corporate bonds. The Company nets the fair value of all derivative financial instruments with counterparties for which an ISDA Master Agreement and related CSA have bee</w:t>
      </w:r>
      <w:r>
        <w:rPr>
          <w:rFonts w:eastAsia="Times New Roman"/>
          <w:color w:val="000000"/>
          <w:sz w:val="20"/>
          <w:szCs w:val="20"/>
        </w:rPr>
        <w:t xml:space="preserve">n executed. As of September 30, 2022 and December 31, 2021, respectively, the Company held $3.3 billion and $6.2 billion in cash and securities collateral delivered by trade counterparties, representing the fair value of the related derivative agreements. </w:t>
      </w:r>
      <w:r>
        <w:rPr>
          <w:rFonts w:eastAsia="Times New Roman"/>
          <w:color w:val="000000"/>
          <w:sz w:val="20"/>
          <w:szCs w:val="20"/>
        </w:rPr>
        <w:t xml:space="preserve">The unrestricted cash collateral is reported in other invested assets. The Company posted collateral of $140 million and $178 million as of September 30, 2022 and December 31, 2021, respectively, in the normal operation of its collateral arrangements. The </w:t>
      </w:r>
      <w:r>
        <w:rPr>
          <w:rFonts w:eastAsia="Times New Roman"/>
          <w:color w:val="000000"/>
          <w:sz w:val="20"/>
          <w:szCs w:val="20"/>
        </w:rPr>
        <w:t>Company is exposed to losses in the event of non-performance by counterparties to financial derivative transactions with a positive fair value. The Company manages credit risk by: (i) entering into derivative transactions with highly rated major internatio</w:t>
      </w:r>
      <w:r>
        <w:rPr>
          <w:rFonts w:eastAsia="Times New Roman"/>
          <w:color w:val="000000"/>
          <w:sz w:val="20"/>
          <w:szCs w:val="20"/>
        </w:rPr>
        <w:t>nal financial institutions and other creditworthy counterparties governed by master netting agreements, as applicable; (ii) trading through central clearing and OTC parties; (iii) obtaining collateral, such as cash and securities, when appropriate; and (iv</w:t>
      </w:r>
      <w:r>
        <w:rPr>
          <w:rFonts w:eastAsia="Times New Roman"/>
          <w:color w:val="000000"/>
          <w:sz w:val="20"/>
          <w:szCs w:val="20"/>
        </w:rPr>
        <w:t>) setting limits on single party credit exposures which are subject to periodic management review.</w:t>
      </w:r>
    </w:p>
    <w:p w:rsidR="00000000" w:rsidRDefault="00C56D69">
      <w:pPr>
        <w:divId w:val="972751182"/>
        <w:rPr>
          <w:rFonts w:eastAsia="Times New Roman"/>
        </w:rPr>
      </w:pPr>
      <w:r>
        <w:rPr>
          <w:rFonts w:eastAsia="Times New Roman"/>
          <w:color w:val="000000"/>
          <w:sz w:val="20"/>
          <w:szCs w:val="20"/>
        </w:rPr>
        <w:t>Substantially all of the Company’</w:t>
      </w:r>
      <w:r>
        <w:rPr>
          <w:rFonts w:eastAsia="Times New Roman"/>
          <w:color w:val="000000"/>
          <w:sz w:val="20"/>
          <w:szCs w:val="20"/>
        </w:rPr>
        <w:t xml:space="preserve">s derivative agreements have zero thresholds which require daily full collateralization by the party in a liability position. In addition, certain of the Company’s derivative agreements contain credit-risk related contingent features; if the credit rating </w:t>
      </w:r>
      <w:r>
        <w:rPr>
          <w:rFonts w:eastAsia="Times New Roman"/>
          <w:color w:val="000000"/>
          <w:sz w:val="20"/>
          <w:szCs w:val="20"/>
        </w:rPr>
        <w:t>of one of the parties to the derivative agreement is to fall below a certain level, the party with positive fair value could request termination at the then fair value or demand immediate full collateralization from the party whose credit rating fell and i</w:t>
      </w:r>
      <w:r>
        <w:rPr>
          <w:rFonts w:eastAsia="Times New Roman"/>
          <w:color w:val="000000"/>
          <w:sz w:val="20"/>
          <w:szCs w:val="20"/>
        </w:rPr>
        <w:t>s in a net liability position.</w:t>
      </w:r>
    </w:p>
    <w:p w:rsidR="00000000" w:rsidRDefault="00C56D69">
      <w:pPr>
        <w:jc w:val="center"/>
        <w:divId w:val="76635962"/>
        <w:rPr>
          <w:rFonts w:eastAsia="Times New Roman"/>
        </w:rPr>
      </w:pPr>
    </w:p>
    <w:p w:rsidR="00000000" w:rsidRDefault="00C56D69">
      <w:pPr>
        <w:jc w:val="center"/>
        <w:divId w:val="76635962"/>
        <w:rPr>
          <w:rFonts w:eastAsia="Times New Roman"/>
        </w:rPr>
      </w:pPr>
      <w:r>
        <w:rPr>
          <w:rFonts w:eastAsia="Times New Roman"/>
          <w:color w:val="000000"/>
          <w:sz w:val="20"/>
          <w:szCs w:val="20"/>
        </w:rPr>
        <w:t>34</w:t>
      </w:r>
    </w:p>
    <w:p w:rsidR="00000000" w:rsidRDefault="00C56D69">
      <w:pPr>
        <w:rPr>
          <w:rFonts w:eastAsia="Times New Roman"/>
        </w:rPr>
      </w:pPr>
      <w:r>
        <w:rPr>
          <w:rFonts w:eastAsia="Times New Roman"/>
        </w:rPr>
        <w:pict>
          <v:rect id="_x0000_i1060" style="width:0;height:1.5pt" o:hralign="center" o:hrstd="t" o:hr="t" fillcolor="#a0a0a0" stroked="f"/>
        </w:pict>
      </w:r>
    </w:p>
    <w:p w:rsidR="00000000" w:rsidRDefault="00C56D69">
      <w:pPr>
        <w:divId w:val="168008163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323360473"/>
        <w:rPr>
          <w:rFonts w:eastAsia="Times New Roman"/>
        </w:rPr>
      </w:pPr>
      <w:r>
        <w:rPr>
          <w:rFonts w:eastAsia="Times New Roman"/>
          <w:b/>
          <w:bCs/>
          <w:color w:val="000000"/>
          <w:sz w:val="20"/>
          <w:szCs w:val="20"/>
        </w:rPr>
        <w:t>EQUITABLE HOLDINGS, INC.</w:t>
      </w:r>
    </w:p>
    <w:p w:rsidR="00000000" w:rsidRDefault="00C56D69">
      <w:pPr>
        <w:jc w:val="center"/>
        <w:divId w:val="32336047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323360473"/>
        <w:rPr>
          <w:rFonts w:eastAsia="Times New Roman"/>
        </w:rPr>
      </w:pPr>
    </w:p>
    <w:p w:rsidR="00000000" w:rsidRDefault="00C56D69">
      <w:pPr>
        <w:divId w:val="523441499"/>
        <w:rPr>
          <w:rFonts w:eastAsia="Times New Roman"/>
        </w:rPr>
      </w:pPr>
      <w:r>
        <w:rPr>
          <w:rFonts w:eastAsia="Times New Roman"/>
          <w:color w:val="000000"/>
          <w:sz w:val="20"/>
          <w:szCs w:val="20"/>
        </w:rPr>
        <w:t>As of September 30, 2022 and December 31, 2021, there were no net liability derivative positions with counterparties with credit risk-related contingent features whose credit rating has fa</w:t>
      </w:r>
      <w:r>
        <w:rPr>
          <w:rFonts w:eastAsia="Times New Roman"/>
          <w:color w:val="000000"/>
          <w:sz w:val="20"/>
          <w:szCs w:val="20"/>
        </w:rPr>
        <w:t>llen. All derivatives have been appropriately collateralized by the Company or the counterparty in accordance with the terms of the derivative agreements.</w:t>
      </w:r>
    </w:p>
    <w:p w:rsidR="00000000" w:rsidRDefault="00C56D69">
      <w:pPr>
        <w:divId w:val="1664892314"/>
        <w:rPr>
          <w:rFonts w:eastAsia="Times New Roman"/>
        </w:rPr>
      </w:pPr>
    </w:p>
    <w:p w:rsidR="00000000" w:rsidRDefault="00C56D69">
      <w:pPr>
        <w:divId w:val="1253199921"/>
        <w:rPr>
          <w:rFonts w:eastAsia="Times New Roman"/>
        </w:rPr>
      </w:pPr>
    </w:p>
    <w:p w:rsidR="00000000" w:rsidRDefault="00C56D69">
      <w:pPr>
        <w:divId w:val="302546522"/>
        <w:rPr>
          <w:rFonts w:eastAsia="Times New Roman"/>
        </w:rPr>
      </w:pPr>
      <w:r>
        <w:rPr>
          <w:rFonts w:eastAsia="Times New Roman"/>
          <w:color w:val="000000"/>
          <w:sz w:val="20"/>
          <w:szCs w:val="20"/>
        </w:rPr>
        <w:t xml:space="preserve">The following tables presents information about the Company’s offsetting of financial assets and </w:t>
      </w:r>
      <w:r>
        <w:rPr>
          <w:rFonts w:eastAsia="Times New Roman"/>
          <w:color w:val="000000"/>
          <w:sz w:val="20"/>
          <w:szCs w:val="20"/>
        </w:rPr>
        <w:t>liabilities and derivative instruments as of September 30, 2022 and December 31, 2021:</w:t>
      </w:r>
    </w:p>
    <w:p w:rsidR="00000000" w:rsidRDefault="00C56D69">
      <w:pPr>
        <w:divId w:val="15884968"/>
        <w:rPr>
          <w:rFonts w:eastAsia="Times New Roman"/>
        </w:rPr>
      </w:pPr>
    </w:p>
    <w:p w:rsidR="00000000" w:rsidRDefault="00C56D69">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C56D69">
      <w:pPr>
        <w:jc w:val="center"/>
        <w:rPr>
          <w:rFonts w:eastAsia="Times New Roman"/>
        </w:rPr>
      </w:pPr>
      <w:r>
        <w:rPr>
          <w:rFonts w:eastAsia="Times New Roman"/>
          <w:b/>
          <w:bCs/>
          <w:color w:val="000000"/>
          <w:sz w:val="20"/>
          <w:szCs w:val="20"/>
        </w:rPr>
        <w:t xml:space="preserve">As of September 30, 2022 </w:t>
      </w:r>
    </w:p>
    <w:p w:rsidR="00000000" w:rsidRDefault="00C56D69">
      <w:pPr>
        <w:divId w:val="19693877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866329197"/>
        </w:trPr>
        <w:tc>
          <w:tcPr>
            <w:tcW w:w="50" w:type="pct"/>
            <w:vAlign w:val="center"/>
            <w:hideMark/>
          </w:tcPr>
          <w:p w:rsidR="00000000" w:rsidRDefault="00C56D69">
            <w:pPr>
              <w:rPr>
                <w:rFonts w:eastAsia="Times New Roman"/>
              </w:rPr>
            </w:pPr>
          </w:p>
        </w:tc>
        <w:tc>
          <w:tcPr>
            <w:tcW w:w="166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86632919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Amount</w:t>
            </w:r>
          </w:p>
        </w:tc>
      </w:tr>
      <w:tr w:rsidR="00000000">
        <w:trPr>
          <w:divId w:val="866329197"/>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86632919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86632919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Pr>
        <w:tc>
          <w:tcPr>
            <w:tcW w:w="0" w:type="auto"/>
            <w:gridSpan w:val="3"/>
            <w:shd w:val="clear" w:color="auto" w:fill="CCEE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8,861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2,253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86632919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86632919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12,010</w:t>
            </w:r>
            <w:r>
              <w:rPr>
                <w:rFonts w:eastAsia="Times New Roman"/>
                <w:color w:val="000000"/>
                <w:sz w:val="20"/>
                <w:szCs w:val="20"/>
              </w:rPr>
              <w:t> </w:t>
            </w:r>
          </w:p>
        </w:tc>
        <w:tc>
          <w:tcPr>
            <w:tcW w:w="0" w:type="auto"/>
            <w:tcBorders>
              <w:top w:val="single" w:sz="4" w:space="0" w:color="000000"/>
              <w:bottom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6,012</w:t>
            </w:r>
            <w:r>
              <w:rPr>
                <w:rFonts w:eastAsia="Times New Roman"/>
                <w:color w:val="000000"/>
                <w:sz w:val="20"/>
                <w:szCs w:val="20"/>
              </w:rPr>
              <w:t> </w:t>
            </w:r>
          </w:p>
        </w:tc>
        <w:tc>
          <w:tcPr>
            <w:tcW w:w="0" w:type="auto"/>
            <w:tcBorders>
              <w:top w:val="single" w:sz="4" w:space="0" w:color="000000"/>
              <w:bottom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5,998</w:t>
            </w:r>
            <w:r>
              <w:rPr>
                <w:rFonts w:eastAsia="Times New Roman"/>
                <w:color w:val="000000"/>
                <w:sz w:val="20"/>
                <w:szCs w:val="20"/>
              </w:rPr>
              <w:t> </w:t>
            </w:r>
          </w:p>
        </w:tc>
        <w:tc>
          <w:tcPr>
            <w:tcW w:w="0" w:type="auto"/>
            <w:tcBorders>
              <w:top w:val="single" w:sz="4" w:space="0" w:color="000000"/>
              <w:bottom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5,998</w:t>
            </w:r>
            <w:r>
              <w:rPr>
                <w:rFonts w:eastAsia="Times New Roman"/>
                <w:color w:val="000000"/>
                <w:sz w:val="20"/>
                <w:szCs w:val="20"/>
              </w:rPr>
              <w:t> </w:t>
            </w:r>
          </w:p>
        </w:tc>
        <w:tc>
          <w:tcPr>
            <w:tcW w:w="0" w:type="auto"/>
            <w:tcBorders>
              <w:top w:val="single" w:sz="4" w:space="0" w:color="000000"/>
              <w:bottom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66329197"/>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797796895"/>
        <w:rPr>
          <w:rFonts w:eastAsia="Times New Roman"/>
        </w:rPr>
      </w:pPr>
      <w:r>
        <w:rPr>
          <w:rFonts w:eastAsia="Times New Roman"/>
          <w:color w:val="000000"/>
          <w:sz w:val="18"/>
          <w:szCs w:val="18"/>
        </w:rPr>
        <w:t>______________</w:t>
      </w:r>
    </w:p>
    <w:p w:rsidR="00000000" w:rsidRDefault="00C56D69">
      <w:pPr>
        <w:ind w:hanging="360"/>
        <w:divId w:val="1520778195"/>
        <w:rPr>
          <w:rFonts w:eastAsia="Times New Roman"/>
        </w:rPr>
      </w:pPr>
      <w:r>
        <w:rPr>
          <w:rFonts w:eastAsia="Times New Roman"/>
          <w:color w:val="000000"/>
          <w:sz w:val="18"/>
          <w:szCs w:val="18"/>
        </w:rPr>
        <w:t>(1)Excludes Investment Management and Research segment’s derivative assets of consolidated VIEs/VOEs.</w:t>
      </w:r>
    </w:p>
    <w:p w:rsidR="00000000" w:rsidRDefault="00C56D69">
      <w:pPr>
        <w:ind w:hanging="360"/>
        <w:divId w:val="529143862"/>
        <w:rPr>
          <w:rFonts w:eastAsia="Times New Roman"/>
        </w:rPr>
      </w:pPr>
      <w:r>
        <w:rPr>
          <w:rFonts w:eastAsia="Times New Roman"/>
          <w:color w:val="000000"/>
          <w:sz w:val="18"/>
          <w:szCs w:val="18"/>
        </w:rPr>
        <w:t>(2)Excludes Investment Management and Research segment’</w:t>
      </w:r>
      <w:r>
        <w:rPr>
          <w:rFonts w:eastAsia="Times New Roman"/>
          <w:color w:val="000000"/>
          <w:sz w:val="18"/>
          <w:szCs w:val="18"/>
        </w:rPr>
        <w:t>s derivative liabilities of consolidated VIEs/VOEs.</w:t>
      </w:r>
    </w:p>
    <w:p w:rsidR="00000000" w:rsidRDefault="00C56D69">
      <w:pPr>
        <w:ind w:hanging="360"/>
        <w:divId w:val="1633049261"/>
        <w:rPr>
          <w:rFonts w:eastAsia="Times New Roman"/>
        </w:rPr>
      </w:pPr>
      <w:r>
        <w:rPr>
          <w:rFonts w:eastAsia="Times New Roman"/>
          <w:color w:val="000000"/>
          <w:sz w:val="18"/>
          <w:szCs w:val="18"/>
        </w:rPr>
        <w:t xml:space="preserve">(3)Financial instruments/Collateral sent (held). </w:t>
      </w:r>
    </w:p>
    <w:p w:rsidR="00000000" w:rsidRDefault="00C56D69">
      <w:pPr>
        <w:ind w:hanging="360"/>
        <w:divId w:val="877205897"/>
        <w:rPr>
          <w:rFonts w:eastAsia="Times New Roman"/>
        </w:rPr>
      </w:pPr>
    </w:p>
    <w:p w:rsidR="00000000" w:rsidRDefault="00C56D69">
      <w:pPr>
        <w:divId w:val="923685334"/>
        <w:rPr>
          <w:rFonts w:eastAsia="Times New Roman"/>
        </w:rPr>
      </w:pPr>
    </w:p>
    <w:p w:rsidR="00000000" w:rsidRDefault="00C56D69">
      <w:pPr>
        <w:jc w:val="center"/>
        <w:rPr>
          <w:rFonts w:eastAsia="Times New Roman"/>
        </w:rPr>
      </w:pPr>
      <w:r>
        <w:rPr>
          <w:rFonts w:eastAsia="Times New Roman"/>
          <w:color w:val="000000"/>
          <w:sz w:val="20"/>
          <w:szCs w:val="20"/>
        </w:rPr>
        <w:t>As of December 31, 2021</w:t>
      </w:r>
    </w:p>
    <w:p w:rsidR="00000000" w:rsidRDefault="00C56D69">
      <w:pPr>
        <w:divId w:val="49499949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trPr>
          <w:jc w:val="center"/>
        </w:trPr>
        <w:tc>
          <w:tcPr>
            <w:tcW w:w="50" w:type="pct"/>
            <w:vAlign w:val="center"/>
            <w:hideMark/>
          </w:tcPr>
          <w:p w:rsidR="00000000" w:rsidRDefault="00C56D69">
            <w:pPr>
              <w:rPr>
                <w:rFonts w:eastAsia="Times New Roman"/>
              </w:rPr>
            </w:pPr>
          </w:p>
        </w:tc>
        <w:tc>
          <w:tcPr>
            <w:tcW w:w="164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12,358 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10,756 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14,347 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10,770 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10,756 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14,689 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bl>
    <w:p w:rsidR="00000000" w:rsidRDefault="00C56D69">
      <w:pPr>
        <w:ind w:hanging="360"/>
        <w:divId w:val="1562061317"/>
        <w:rPr>
          <w:rFonts w:eastAsia="Times New Roman"/>
        </w:rPr>
      </w:pPr>
      <w:r>
        <w:rPr>
          <w:rFonts w:eastAsia="Times New Roman"/>
          <w:color w:val="000000"/>
          <w:sz w:val="18"/>
          <w:szCs w:val="18"/>
        </w:rPr>
        <w:t>______________</w:t>
      </w:r>
    </w:p>
    <w:p w:rsidR="00000000" w:rsidRDefault="00C56D69">
      <w:pPr>
        <w:ind w:hanging="360"/>
        <w:divId w:val="649359091"/>
        <w:rPr>
          <w:rFonts w:eastAsia="Times New Roman"/>
        </w:rPr>
      </w:pPr>
      <w:r>
        <w:rPr>
          <w:rFonts w:eastAsia="Times New Roman"/>
          <w:color w:val="000000"/>
          <w:sz w:val="18"/>
          <w:szCs w:val="18"/>
        </w:rPr>
        <w:t>(1)Excludes Investment Management and Research segment’s derivative assets of consolidated VIEs/VOEs.</w:t>
      </w:r>
    </w:p>
    <w:p w:rsidR="00000000" w:rsidRDefault="00C56D69">
      <w:pPr>
        <w:ind w:hanging="360"/>
        <w:divId w:val="2145610155"/>
        <w:rPr>
          <w:rFonts w:eastAsia="Times New Roman"/>
        </w:rPr>
      </w:pPr>
      <w:r>
        <w:rPr>
          <w:rFonts w:eastAsia="Times New Roman"/>
          <w:color w:val="000000"/>
          <w:sz w:val="18"/>
          <w:szCs w:val="18"/>
        </w:rPr>
        <w:t>(2)Excludes Investment Management and Rese</w:t>
      </w:r>
      <w:r>
        <w:rPr>
          <w:rFonts w:eastAsia="Times New Roman"/>
          <w:color w:val="000000"/>
          <w:sz w:val="18"/>
          <w:szCs w:val="18"/>
        </w:rPr>
        <w:t>arch segment’s derivative liabilities of consolidated VIEs/VOEs.</w:t>
      </w:r>
    </w:p>
    <w:p w:rsidR="00000000" w:rsidRDefault="00C56D69">
      <w:pPr>
        <w:ind w:hanging="360"/>
        <w:divId w:val="1928685286"/>
        <w:rPr>
          <w:rFonts w:eastAsia="Times New Roman"/>
        </w:rPr>
      </w:pPr>
      <w:r>
        <w:rPr>
          <w:rFonts w:eastAsia="Times New Roman"/>
          <w:color w:val="000000"/>
          <w:sz w:val="18"/>
          <w:szCs w:val="18"/>
        </w:rPr>
        <w:t>(3)Financial instruments sent (held).</w:t>
      </w:r>
    </w:p>
    <w:p w:rsidR="00000000" w:rsidRDefault="00C56D69">
      <w:pPr>
        <w:divId w:val="465850994"/>
        <w:rPr>
          <w:rFonts w:eastAsia="Times New Roman"/>
        </w:rPr>
      </w:pPr>
      <w:r>
        <w:rPr>
          <w:rFonts w:eastAsia="Times New Roman"/>
          <w:b/>
          <w:bCs/>
          <w:color w:val="000000"/>
          <w:sz w:val="20"/>
          <w:szCs w:val="20"/>
        </w:rPr>
        <w:t>5)    CLOSED BLOCK</w:t>
      </w:r>
    </w:p>
    <w:p w:rsidR="00000000" w:rsidRDefault="00C56D69">
      <w:pPr>
        <w:jc w:val="center"/>
        <w:divId w:val="1866363182"/>
        <w:rPr>
          <w:rFonts w:eastAsia="Times New Roman"/>
        </w:rPr>
      </w:pPr>
    </w:p>
    <w:p w:rsidR="00000000" w:rsidRDefault="00C56D69">
      <w:pPr>
        <w:jc w:val="center"/>
        <w:divId w:val="1866363182"/>
        <w:rPr>
          <w:rFonts w:eastAsia="Times New Roman"/>
        </w:rPr>
      </w:pPr>
      <w:r>
        <w:rPr>
          <w:rFonts w:eastAsia="Times New Roman"/>
          <w:color w:val="000000"/>
          <w:sz w:val="20"/>
          <w:szCs w:val="20"/>
        </w:rPr>
        <w:t>35</w:t>
      </w:r>
    </w:p>
    <w:p w:rsidR="00000000" w:rsidRDefault="00C56D69">
      <w:pPr>
        <w:rPr>
          <w:rFonts w:eastAsia="Times New Roman"/>
        </w:rPr>
      </w:pPr>
      <w:r>
        <w:rPr>
          <w:rFonts w:eastAsia="Times New Roman"/>
        </w:rPr>
        <w:pict>
          <v:rect id="_x0000_i1061" style="width:0;height:1.5pt" o:hralign="center" o:hrstd="t" o:hr="t" fillcolor="#a0a0a0" stroked="f"/>
        </w:pict>
      </w:r>
    </w:p>
    <w:p w:rsidR="00000000" w:rsidRDefault="00C56D69">
      <w:pPr>
        <w:divId w:val="1614021413"/>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24339142"/>
        <w:rPr>
          <w:rFonts w:eastAsia="Times New Roman"/>
        </w:rPr>
      </w:pPr>
      <w:r>
        <w:rPr>
          <w:rFonts w:eastAsia="Times New Roman"/>
          <w:b/>
          <w:bCs/>
          <w:color w:val="000000"/>
          <w:sz w:val="20"/>
          <w:szCs w:val="20"/>
        </w:rPr>
        <w:t>EQUITABLE HOLDINGS, INC.</w:t>
      </w:r>
    </w:p>
    <w:p w:rsidR="00000000" w:rsidRDefault="00C56D69">
      <w:pPr>
        <w:jc w:val="center"/>
        <w:divId w:val="924339142"/>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 (Unaudited), Continued</w:t>
      </w:r>
    </w:p>
    <w:p w:rsidR="00000000" w:rsidRDefault="00C56D69">
      <w:pPr>
        <w:jc w:val="center"/>
        <w:divId w:val="924339142"/>
        <w:rPr>
          <w:rFonts w:eastAsia="Times New Roman"/>
        </w:rPr>
      </w:pPr>
    </w:p>
    <w:p w:rsidR="00000000" w:rsidRDefault="00C56D69">
      <w:pPr>
        <w:divId w:val="12348101"/>
        <w:rPr>
          <w:rFonts w:eastAsia="Times New Roman"/>
        </w:rPr>
      </w:pPr>
      <w:r>
        <w:rPr>
          <w:rFonts w:eastAsia="Times New Roman"/>
          <w:color w:val="000000"/>
          <w:sz w:val="20"/>
          <w:szCs w:val="20"/>
        </w:rPr>
        <w:t xml:space="preserve">As a result of demutualization, the Company’s Closed Block was established in 1992 for the benefit of certain individual participating policies that were in force on that date. Assets, liabilities </w:t>
      </w:r>
      <w:r>
        <w:rPr>
          <w:rFonts w:eastAsia="Times New Roman"/>
          <w:color w:val="000000"/>
          <w:sz w:val="20"/>
          <w:szCs w:val="20"/>
        </w:rPr>
        <w:t>and earnings of the Closed Block are specifically identified to support its participating policyholders.</w:t>
      </w:r>
    </w:p>
    <w:p w:rsidR="00000000" w:rsidRDefault="00C56D69">
      <w:pPr>
        <w:divId w:val="1083263018"/>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w:t>
      </w:r>
      <w:r>
        <w:rPr>
          <w:rFonts w:eastAsia="Times New Roman"/>
          <w:color w:val="000000"/>
          <w:sz w:val="20"/>
          <w:szCs w:val="20"/>
        </w:rPr>
        <w:t>o reallocation, transfer, borrowing or lending of assets can be made between the Closed Block and other portions of the Company’s General Account, any of its Separate Accounts or any affiliate of the Company without the approval of the New York State Depar</w:t>
      </w:r>
      <w:r>
        <w:rPr>
          <w:rFonts w:eastAsia="Times New Roman"/>
          <w:color w:val="000000"/>
          <w:sz w:val="20"/>
          <w:szCs w:val="20"/>
        </w:rPr>
        <w:t>tment of Financial Services (the “NYDFS”). Closed Block assets and liabilities are carried on the same basis as similar assets and liabilities held in the General Account. For more information on the Closed Block, see Note 6 to the Company’s consolidated f</w:t>
      </w:r>
      <w:r>
        <w:rPr>
          <w:rFonts w:eastAsia="Times New Roman"/>
          <w:color w:val="000000"/>
          <w:sz w:val="20"/>
          <w:szCs w:val="20"/>
        </w:rPr>
        <w:t>inancial statements included in the Annual Report on Form 10-K for the year ended December 31, 2021.</w:t>
      </w:r>
    </w:p>
    <w:p w:rsidR="00000000" w:rsidRDefault="00C56D69">
      <w:pPr>
        <w:divId w:val="35979630"/>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96"/>
        <w:gridCol w:w="37"/>
        <w:gridCol w:w="121"/>
        <w:gridCol w:w="1115"/>
        <w:gridCol w:w="36"/>
        <w:gridCol w:w="36"/>
        <w:gridCol w:w="36"/>
        <w:gridCol w:w="36"/>
        <w:gridCol w:w="121"/>
        <w:gridCol w:w="996"/>
        <w:gridCol w:w="36"/>
      </w:tblGrid>
      <w:tr w:rsidR="00000000">
        <w:trPr>
          <w:divId w:val="946041640"/>
        </w:trPr>
        <w:tc>
          <w:tcPr>
            <w:tcW w:w="50" w:type="pct"/>
            <w:vAlign w:val="center"/>
            <w:hideMark/>
          </w:tcPr>
          <w:p w:rsidR="00000000" w:rsidRDefault="00C56D69">
            <w:pPr>
              <w:rPr>
                <w:rFonts w:eastAsia="Times New Roman"/>
              </w:rPr>
            </w:pPr>
          </w:p>
        </w:tc>
        <w:tc>
          <w:tcPr>
            <w:tcW w:w="34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9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rPr>
          <w:divId w:val="94604164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94604164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467158713"/>
              <w:rPr>
                <w:rFonts w:eastAsia="Times New Roman"/>
              </w:rPr>
            </w:pPr>
            <w:r>
              <w:rPr>
                <w:rFonts w:eastAsia="Times New Roman"/>
                <w:color w:val="000000"/>
                <w:sz w:val="20"/>
                <w:szCs w:val="20"/>
              </w:rPr>
              <w:t>Fixed maturities AFS, at fair value (amortized cost of $3,190 and $3,185) (allowance for credit losses of $0 and $0)</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553927975"/>
              <w:rPr>
                <w:rFonts w:eastAsia="Times New Roman"/>
              </w:rPr>
            </w:pPr>
            <w:r>
              <w:rPr>
                <w:rFonts w:eastAsia="Times New Roman"/>
                <w:color w:val="000000"/>
                <w:sz w:val="20"/>
                <w:szCs w:val="20"/>
              </w:rPr>
              <w:t>Mortgage loans on real estate (net of allowance for credit losses of $4 and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1,771 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5,348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94604164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86602560"/>
              <w:rPr>
                <w:rFonts w:eastAsia="Times New Roman"/>
              </w:rPr>
            </w:pPr>
            <w:r>
              <w:rPr>
                <w:rFonts w:eastAsia="Times New Roman"/>
                <w:color w:val="000000"/>
                <w:sz w:val="20"/>
                <w:szCs w:val="20"/>
              </w:rPr>
              <w:t>Net unrealized investment gains (losses), net of policyholders’ dividend obligation: $0 and $0; and net of income tax: $54 and $(43)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94604164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2137410735"/>
        <w:rPr>
          <w:rFonts w:eastAsia="Times New Roman"/>
        </w:rPr>
      </w:pPr>
    </w:p>
    <w:p w:rsidR="00000000" w:rsidRDefault="00C56D69">
      <w:pPr>
        <w:jc w:val="center"/>
        <w:divId w:val="1796605601"/>
        <w:rPr>
          <w:rFonts w:eastAsia="Times New Roman"/>
        </w:rPr>
      </w:pPr>
    </w:p>
    <w:p w:rsidR="00000000" w:rsidRDefault="00C56D69">
      <w:pPr>
        <w:jc w:val="center"/>
        <w:divId w:val="1796605601"/>
        <w:rPr>
          <w:rFonts w:eastAsia="Times New Roman"/>
        </w:rPr>
      </w:pPr>
      <w:r>
        <w:rPr>
          <w:rFonts w:eastAsia="Times New Roman"/>
          <w:color w:val="000000"/>
          <w:sz w:val="20"/>
          <w:szCs w:val="20"/>
        </w:rPr>
        <w:t>36</w:t>
      </w:r>
    </w:p>
    <w:p w:rsidR="00000000" w:rsidRDefault="00C56D69">
      <w:pPr>
        <w:rPr>
          <w:rFonts w:eastAsia="Times New Roman"/>
        </w:rPr>
      </w:pPr>
      <w:r>
        <w:rPr>
          <w:rFonts w:eastAsia="Times New Roman"/>
        </w:rPr>
        <w:pict>
          <v:rect id="_x0000_i1062" style="width:0;height:1.5pt" o:hralign="center" o:hrstd="t" o:hr="t" fillcolor="#a0a0a0" stroked="f"/>
        </w:pict>
      </w:r>
    </w:p>
    <w:p w:rsidR="00000000" w:rsidRDefault="00C56D69">
      <w:pPr>
        <w:divId w:val="27776453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308873904"/>
        <w:rPr>
          <w:rFonts w:eastAsia="Times New Roman"/>
        </w:rPr>
      </w:pPr>
      <w:r>
        <w:rPr>
          <w:rFonts w:eastAsia="Times New Roman"/>
          <w:b/>
          <w:bCs/>
          <w:color w:val="000000"/>
          <w:sz w:val="20"/>
          <w:szCs w:val="20"/>
        </w:rPr>
        <w:t>EQUITABLE HOLDINGS, INC.</w:t>
      </w:r>
    </w:p>
    <w:p w:rsidR="00000000" w:rsidRDefault="00C56D69">
      <w:pPr>
        <w:jc w:val="center"/>
        <w:divId w:val="308873904"/>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308873904"/>
        <w:rPr>
          <w:rFonts w:eastAsia="Times New Roman"/>
        </w:rPr>
      </w:pPr>
    </w:p>
    <w:p w:rsidR="00000000" w:rsidRDefault="00C56D69">
      <w:pPr>
        <w:divId w:val="143816607"/>
        <w:rPr>
          <w:rFonts w:eastAsia="Times New Roman"/>
        </w:rPr>
      </w:pPr>
      <w:r>
        <w:rPr>
          <w:rFonts w:eastAsia="Times New Roman"/>
          <w:color w:val="000000"/>
          <w:sz w:val="20"/>
          <w:szCs w:val="20"/>
        </w:rPr>
        <w:t>The Company’s Closed Block revenues and expenses w</w:t>
      </w:r>
      <w:r>
        <w:rPr>
          <w:rFonts w:eastAsia="Times New Roman"/>
          <w:color w:val="000000"/>
          <w:sz w:val="20"/>
          <w:szCs w:val="20"/>
        </w:rPr>
        <w:t>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979"/>
        <w:gridCol w:w="39"/>
        <w:gridCol w:w="120"/>
        <w:gridCol w:w="471"/>
        <w:gridCol w:w="36"/>
        <w:gridCol w:w="708"/>
        <w:gridCol w:w="120"/>
        <w:gridCol w:w="471"/>
        <w:gridCol w:w="36"/>
        <w:gridCol w:w="708"/>
        <w:gridCol w:w="120"/>
        <w:gridCol w:w="471"/>
        <w:gridCol w:w="36"/>
        <w:gridCol w:w="36"/>
        <w:gridCol w:w="36"/>
        <w:gridCol w:w="36"/>
        <w:gridCol w:w="120"/>
        <w:gridCol w:w="471"/>
        <w:gridCol w:w="36"/>
        <w:gridCol w:w="36"/>
        <w:gridCol w:w="36"/>
        <w:gridCol w:w="36"/>
        <w:gridCol w:w="36"/>
        <w:gridCol w:w="36"/>
        <w:gridCol w:w="36"/>
      </w:tblGrid>
      <w:tr w:rsidR="00000000">
        <w:trPr>
          <w:divId w:val="1781531092"/>
        </w:trPr>
        <w:tc>
          <w:tcPr>
            <w:tcW w:w="50" w:type="pct"/>
            <w:vAlign w:val="center"/>
            <w:hideMark/>
          </w:tcPr>
          <w:p w:rsidR="00000000" w:rsidRDefault="00C56D69">
            <w:pPr>
              <w:rPr>
                <w:rFonts w:eastAsia="Times New Roman"/>
              </w:rPr>
            </w:pPr>
          </w:p>
        </w:tc>
        <w:tc>
          <w:tcPr>
            <w:tcW w:w="310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4"/>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vAlign w:val="center"/>
            <w:hideMark/>
          </w:tcPr>
          <w:p w:rsidR="00000000" w:rsidRDefault="00C56D69">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Premiums and other income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Policyholders’ benefits and dividends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8153109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Net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827481439"/>
        <w:rPr>
          <w:rFonts w:eastAsia="Times New Roman"/>
        </w:rPr>
      </w:pPr>
    </w:p>
    <w:p w:rsidR="00000000" w:rsidRDefault="00C56D69">
      <w:pPr>
        <w:divId w:val="608895266"/>
        <w:rPr>
          <w:rFonts w:eastAsia="Times New Roman"/>
        </w:rPr>
      </w:pPr>
      <w:r>
        <w:rPr>
          <w:rFonts w:eastAsia="Times New Roman"/>
          <w:color w:val="000000"/>
          <w:sz w:val="20"/>
          <w:szCs w:val="20"/>
        </w:rPr>
        <w:t>A reconciliation of the Company’s policyholder dividend obligation follows:</w:t>
      </w:r>
    </w:p>
    <w:p w:rsidR="00000000" w:rsidRDefault="00C56D69">
      <w:pPr>
        <w:divId w:val="1843425008"/>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935"/>
        <w:gridCol w:w="36"/>
        <w:gridCol w:w="120"/>
        <w:gridCol w:w="471"/>
        <w:gridCol w:w="36"/>
        <w:gridCol w:w="708"/>
        <w:gridCol w:w="120"/>
        <w:gridCol w:w="471"/>
        <w:gridCol w:w="36"/>
        <w:gridCol w:w="708"/>
        <w:gridCol w:w="120"/>
        <w:gridCol w:w="471"/>
        <w:gridCol w:w="36"/>
        <w:gridCol w:w="36"/>
        <w:gridCol w:w="36"/>
        <w:gridCol w:w="36"/>
        <w:gridCol w:w="120"/>
        <w:gridCol w:w="471"/>
        <w:gridCol w:w="36"/>
        <w:gridCol w:w="36"/>
        <w:gridCol w:w="36"/>
        <w:gridCol w:w="36"/>
        <w:gridCol w:w="36"/>
        <w:gridCol w:w="36"/>
        <w:gridCol w:w="36"/>
      </w:tblGrid>
      <w:tr w:rsidR="00000000">
        <w:trPr>
          <w:jc w:val="center"/>
        </w:trPr>
        <w:tc>
          <w:tcPr>
            <w:tcW w:w="50" w:type="pct"/>
            <w:vAlign w:val="center"/>
            <w:hideMark/>
          </w:tcPr>
          <w:p w:rsidR="00000000" w:rsidRDefault="00C56D69">
            <w:pPr>
              <w:rPr>
                <w:rFonts w:eastAsia="Times New Roman"/>
              </w:rPr>
            </w:pPr>
          </w:p>
        </w:tc>
        <w:tc>
          <w:tcPr>
            <w:tcW w:w="309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vAlign w:val="center"/>
            <w:hideMark/>
          </w:tcPr>
          <w:p w:rsidR="00000000" w:rsidRDefault="00C56D69">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ascii="Calibri" w:eastAsia="Times New Roman" w:hAnsi="Calibri" w:cs="Calibri"/>
                <w:color w:val="000000"/>
                <w:sz w:val="18"/>
                <w:szCs w:val="18"/>
              </w:rPr>
              <w:t>2021</w:t>
            </w:r>
          </w:p>
        </w:tc>
        <w:tc>
          <w:tcPr>
            <w:tcW w:w="0" w:type="auto"/>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ascii="Calibri" w:eastAsia="Times New Roman" w:hAnsi="Calibri" w:cs="Calibri"/>
                <w:color w:val="000000"/>
                <w:sz w:val="18"/>
                <w:szCs w:val="18"/>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684479369"/>
        <w:rPr>
          <w:rFonts w:eastAsia="Times New Roman"/>
        </w:rPr>
      </w:pPr>
    </w:p>
    <w:p w:rsidR="00000000" w:rsidRDefault="00C56D69">
      <w:pPr>
        <w:divId w:val="1065570071"/>
        <w:rPr>
          <w:rFonts w:eastAsia="Times New Roman"/>
        </w:rPr>
      </w:pPr>
      <w:r>
        <w:rPr>
          <w:rFonts w:eastAsia="Times New Roman"/>
          <w:b/>
          <w:bCs/>
          <w:color w:val="000000"/>
          <w:sz w:val="20"/>
          <w:szCs w:val="20"/>
        </w:rPr>
        <w:t xml:space="preserve">6)    INSURANCE LIABILITIES </w:t>
      </w:r>
    </w:p>
    <w:p w:rsidR="00000000" w:rsidRDefault="00C56D69">
      <w:pPr>
        <w:divId w:val="1405300170"/>
        <w:rPr>
          <w:rFonts w:eastAsia="Times New Roman"/>
        </w:rPr>
      </w:pPr>
      <w:r>
        <w:rPr>
          <w:rFonts w:eastAsia="Times New Roman"/>
          <w:color w:val="000000"/>
          <w:sz w:val="20"/>
          <w:szCs w:val="20"/>
          <w:u w:val="single"/>
        </w:rPr>
        <w:t>Variable Annuity Contracts – GMDB, GMIB, GIB and GWBL and Other Features</w:t>
      </w:r>
    </w:p>
    <w:p w:rsidR="00000000" w:rsidRDefault="00C56D69">
      <w:pPr>
        <w:divId w:val="893469482"/>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rsidR="00000000" w:rsidRDefault="00C56D69">
      <w:pPr>
        <w:ind w:hanging="360"/>
        <w:jc w:val="both"/>
        <w:divId w:val="1148089340"/>
        <w:rPr>
          <w:rFonts w:eastAsia="Times New Roman"/>
        </w:rPr>
      </w:pPr>
      <w:r>
        <w:rPr>
          <w:rFonts w:eastAsia="Times New Roman"/>
          <w:color w:val="000000"/>
          <w:sz w:val="20"/>
          <w:szCs w:val="20"/>
        </w:rPr>
        <w:t>•Return of Premium: the benefit is the greater of current account value or premiums paid (adjusted for withdra</w:t>
      </w:r>
      <w:r>
        <w:rPr>
          <w:rFonts w:eastAsia="Times New Roman"/>
          <w:color w:val="000000"/>
          <w:sz w:val="20"/>
          <w:szCs w:val="20"/>
        </w:rPr>
        <w:t>wals);</w:t>
      </w:r>
    </w:p>
    <w:p w:rsidR="00000000" w:rsidRDefault="00C56D69">
      <w:pPr>
        <w:ind w:hanging="360"/>
        <w:jc w:val="both"/>
        <w:divId w:val="1052269295"/>
        <w:rPr>
          <w:rFonts w:eastAsia="Times New Roman"/>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p w:rsidR="00000000" w:rsidRDefault="00C56D69">
      <w:pPr>
        <w:ind w:hanging="360"/>
        <w:jc w:val="both"/>
        <w:divId w:val="569539558"/>
        <w:rPr>
          <w:rFonts w:eastAsia="Times New Roman"/>
        </w:rPr>
      </w:pPr>
      <w:r>
        <w:rPr>
          <w:rFonts w:eastAsia="Times New Roman"/>
          <w:color w:val="000000"/>
          <w:sz w:val="20"/>
          <w:szCs w:val="20"/>
        </w:rPr>
        <w:t>•Roll-Up: the benefit is the gre</w:t>
      </w:r>
      <w:r>
        <w:rPr>
          <w:rFonts w:eastAsia="Times New Roman"/>
          <w:color w:val="000000"/>
          <w:sz w:val="20"/>
          <w:szCs w:val="20"/>
        </w:rPr>
        <w:t>ater of current account value or premiums paid (adjusted for withdrawals) accumulated at contractually specified interest rates up to specified ages;</w:t>
      </w:r>
    </w:p>
    <w:p w:rsidR="00000000" w:rsidRDefault="00C56D69">
      <w:pPr>
        <w:ind w:hanging="360"/>
        <w:jc w:val="both"/>
        <w:divId w:val="1302729575"/>
        <w:rPr>
          <w:rFonts w:eastAsia="Times New Roman"/>
        </w:rPr>
      </w:pPr>
      <w:r>
        <w:rPr>
          <w:rFonts w:eastAsia="Times New Roman"/>
          <w:color w:val="000000"/>
          <w:sz w:val="20"/>
          <w:szCs w:val="20"/>
        </w:rPr>
        <w:t>•Combo: the benefit is the greater of the ratchet benefit or the roll-up benefit, which may include either</w:t>
      </w:r>
      <w:r>
        <w:rPr>
          <w:rFonts w:eastAsia="Times New Roman"/>
          <w:color w:val="000000"/>
          <w:sz w:val="20"/>
          <w:szCs w:val="20"/>
        </w:rPr>
        <w:t xml:space="preserve"> a five year or an annual reset; or</w:t>
      </w:r>
    </w:p>
    <w:p w:rsidR="00000000" w:rsidRDefault="00C56D69">
      <w:pPr>
        <w:ind w:hanging="360"/>
        <w:divId w:val="1483735855"/>
        <w:rPr>
          <w:rFonts w:eastAsia="Times New Roman"/>
        </w:rPr>
      </w:pPr>
      <w:r>
        <w:rPr>
          <w:rFonts w:eastAsia="Times New Roman"/>
          <w:color w:val="000000"/>
          <w:sz w:val="20"/>
          <w:szCs w:val="20"/>
        </w:rPr>
        <w:t xml:space="preserve">•Withdrawal: the withdrawal is guaranteed up to a maximum amount per year for life. </w:t>
      </w:r>
    </w:p>
    <w:p w:rsidR="00000000" w:rsidRDefault="00C56D69">
      <w:pPr>
        <w:jc w:val="both"/>
        <w:divId w:val="472865662"/>
        <w:rPr>
          <w:rFonts w:eastAsia="Times New Roman"/>
        </w:rPr>
      </w:pPr>
      <w:r>
        <w:rPr>
          <w:rFonts w:eastAsia="Times New Roman"/>
          <w:b/>
          <w:bCs/>
          <w:i/>
          <w:iCs/>
          <w:color w:val="000000"/>
          <w:sz w:val="20"/>
          <w:szCs w:val="20"/>
        </w:rPr>
        <w:t>Liabilities for Variable Annuity Contracts with GMDB and GMIB Features without NLG Rider Feature</w:t>
      </w:r>
    </w:p>
    <w:p w:rsidR="00000000" w:rsidRDefault="00C56D69">
      <w:pPr>
        <w:divId w:val="446050767"/>
        <w:rPr>
          <w:rFonts w:eastAsia="Times New Roman"/>
        </w:rPr>
      </w:pPr>
      <w:r>
        <w:rPr>
          <w:rFonts w:eastAsia="Times New Roman"/>
          <w:color w:val="000000"/>
          <w:sz w:val="20"/>
          <w:szCs w:val="20"/>
        </w:rPr>
        <w:t>The change in the liabilities for vari</w:t>
      </w:r>
      <w:r>
        <w:rPr>
          <w:rFonts w:eastAsia="Times New Roman"/>
          <w:color w:val="000000"/>
          <w:sz w:val="20"/>
          <w:szCs w:val="20"/>
        </w:rPr>
        <w:t>able annuity contracts with GMDB and GMIB features and without a NLG feature are summarized in the tables below. The amounts for the direct contracts (before reinsurance ceded) and assumed contracts are reflected in the consolidated balance sheets in futur</w:t>
      </w:r>
      <w:r>
        <w:rPr>
          <w:rFonts w:eastAsia="Times New Roman"/>
          <w:color w:val="000000"/>
          <w:sz w:val="20"/>
          <w:szCs w:val="20"/>
        </w:rPr>
        <w:t xml:space="preserve">e policy benefits and other policyholders’ liabilities. </w:t>
      </w:r>
    </w:p>
    <w:p w:rsidR="00000000" w:rsidRDefault="00C56D69">
      <w:pPr>
        <w:jc w:val="center"/>
        <w:divId w:val="1462844493"/>
        <w:rPr>
          <w:rFonts w:eastAsia="Times New Roman"/>
        </w:rPr>
      </w:pPr>
    </w:p>
    <w:p w:rsidR="00000000" w:rsidRDefault="00C56D69">
      <w:pPr>
        <w:jc w:val="center"/>
        <w:divId w:val="1462844493"/>
        <w:rPr>
          <w:rFonts w:eastAsia="Times New Roman"/>
        </w:rPr>
      </w:pPr>
      <w:r>
        <w:rPr>
          <w:rFonts w:eastAsia="Times New Roman"/>
          <w:color w:val="000000"/>
          <w:sz w:val="20"/>
          <w:szCs w:val="20"/>
        </w:rPr>
        <w:t>37</w:t>
      </w:r>
    </w:p>
    <w:p w:rsidR="00000000" w:rsidRDefault="00C56D69">
      <w:pPr>
        <w:rPr>
          <w:rFonts w:eastAsia="Times New Roman"/>
        </w:rPr>
      </w:pPr>
      <w:r>
        <w:rPr>
          <w:rFonts w:eastAsia="Times New Roman"/>
        </w:rPr>
        <w:pict>
          <v:rect id="_x0000_i1063" style="width:0;height:1.5pt" o:hralign="center" o:hrstd="t" o:hr="t" fillcolor="#a0a0a0" stroked="f"/>
        </w:pict>
      </w:r>
    </w:p>
    <w:p w:rsidR="00000000" w:rsidRDefault="00C56D69">
      <w:pPr>
        <w:divId w:val="73744098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98864518"/>
        <w:rPr>
          <w:rFonts w:eastAsia="Times New Roman"/>
        </w:rPr>
      </w:pPr>
      <w:r>
        <w:rPr>
          <w:rFonts w:eastAsia="Times New Roman"/>
          <w:b/>
          <w:bCs/>
          <w:color w:val="000000"/>
          <w:sz w:val="20"/>
          <w:szCs w:val="20"/>
        </w:rPr>
        <w:t>EQUITABLE HOLDINGS, INC.</w:t>
      </w:r>
    </w:p>
    <w:p w:rsidR="00000000" w:rsidRDefault="00C56D69">
      <w:pPr>
        <w:jc w:val="center"/>
        <w:divId w:val="198864518"/>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98864518"/>
        <w:rPr>
          <w:rFonts w:eastAsia="Times New Roman"/>
        </w:rPr>
      </w:pPr>
    </w:p>
    <w:p w:rsidR="00000000" w:rsidRDefault="00C56D69">
      <w:pPr>
        <w:divId w:val="695692387"/>
        <w:rPr>
          <w:rFonts w:eastAsia="Times New Roman"/>
        </w:rPr>
      </w:pPr>
      <w:r>
        <w:rPr>
          <w:rFonts w:eastAsia="Times New Roman"/>
          <w:color w:val="000000"/>
          <w:sz w:val="20"/>
          <w:szCs w:val="20"/>
        </w:rPr>
        <w:t xml:space="preserve">The amounts for the ceded contracts are reflected </w:t>
      </w:r>
      <w:r>
        <w:rPr>
          <w:rFonts w:eastAsia="Times New Roman"/>
          <w:color w:val="000000"/>
          <w:sz w:val="20"/>
          <w:szCs w:val="20"/>
        </w:rPr>
        <w:t>in the consolidated balance sheets in amounts due from reinsurers. The amounts for the ceded GMIB that are reflected in the consolidated balance sheets in GMIB reinsurance contract asset are at fair value.</w:t>
      </w:r>
    </w:p>
    <w:p w:rsidR="00000000" w:rsidRDefault="00C56D69">
      <w:pPr>
        <w:divId w:val="688799897"/>
        <w:rPr>
          <w:rFonts w:eastAsia="Times New Roman"/>
        </w:rPr>
      </w:pPr>
    </w:p>
    <w:p w:rsidR="00000000" w:rsidRDefault="00C56D69">
      <w:pPr>
        <w:jc w:val="center"/>
        <w:rPr>
          <w:rFonts w:eastAsia="Times New Roman"/>
        </w:rPr>
      </w:pPr>
      <w:r>
        <w:rPr>
          <w:rFonts w:eastAsia="Times New Roman"/>
          <w:b/>
          <w:bCs/>
          <w:color w:val="000000"/>
          <w:sz w:val="20"/>
          <w:szCs w:val="20"/>
        </w:rPr>
        <w:t>Change in Liability for Variable Annuity Contrac</w:t>
      </w:r>
      <w:r>
        <w:rPr>
          <w:rFonts w:eastAsia="Times New Roman"/>
          <w:b/>
          <w:bCs/>
          <w:color w:val="000000"/>
          <w:sz w:val="20"/>
          <w:szCs w:val="20"/>
        </w:rPr>
        <w:t>ts with GMDB and GMIB Features and No NLG Feature</w:t>
      </w:r>
    </w:p>
    <w:p w:rsidR="00000000" w:rsidRDefault="00C56D69">
      <w:pPr>
        <w:jc w:val="center"/>
        <w:rPr>
          <w:rFonts w:eastAsia="Times New Roman"/>
        </w:rPr>
      </w:pPr>
      <w:r>
        <w:rPr>
          <w:rFonts w:eastAsia="Times New Roman"/>
          <w:b/>
          <w:bCs/>
          <w:color w:val="000000"/>
          <w:sz w:val="20"/>
          <w:szCs w:val="20"/>
        </w:rPr>
        <w:t>Three and Nine Months Ended September 30, 2022 and 2021</w:t>
      </w:r>
    </w:p>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C56D69">
            <w:pPr>
              <w:jc w:val="center"/>
              <w:rPr>
                <w:rFonts w:eastAsia="Times New Roman"/>
              </w:rPr>
            </w:pPr>
          </w:p>
        </w:tc>
        <w:tc>
          <w:tcPr>
            <w:tcW w:w="213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July 1, 2022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(2,276)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5,682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July 1, 2021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5,091 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(2,262)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5,905 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(4,168)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the Venerable Transaction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4,982 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(2,219)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(4,063)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C56D69">
            <w:pPr>
              <w:jc w:val="center"/>
              <w:rPr>
                <w:rFonts w:eastAsia="Times New Roman"/>
              </w:rPr>
            </w:pPr>
          </w:p>
        </w:tc>
        <w:tc>
          <w:tcPr>
            <w:tcW w:w="213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January 1, 2022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(3,968)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5,097 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(2,488)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Impact of the Venerable Transaction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4,982 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(2,219)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(4,063)</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648709203"/>
        <w:rPr>
          <w:rFonts w:eastAsia="Times New Roman"/>
        </w:rPr>
      </w:pPr>
      <w:r>
        <w:rPr>
          <w:rFonts w:eastAsia="Times New Roman"/>
          <w:b/>
          <w:bCs/>
          <w:color w:val="000000"/>
          <w:sz w:val="16"/>
          <w:szCs w:val="16"/>
        </w:rPr>
        <w:t>______________</w:t>
      </w:r>
    </w:p>
    <w:p w:rsidR="00000000" w:rsidRDefault="00C56D69">
      <w:pPr>
        <w:ind w:hanging="360"/>
        <w:divId w:val="1912424981"/>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C56D69">
      <w:pPr>
        <w:ind w:hanging="360"/>
        <w:divId w:val="331563268"/>
        <w:rPr>
          <w:rFonts w:eastAsia="Times New Roman"/>
        </w:rPr>
      </w:pPr>
      <w:r>
        <w:rPr>
          <w:rFonts w:eastAsia="Times New Roman"/>
          <w:color w:val="000000"/>
          <w:sz w:val="18"/>
          <w:szCs w:val="18"/>
        </w:rPr>
        <w:t>(2)Includes the impact as of June 1, 2021 on the ceded reserves to</w:t>
      </w:r>
      <w:r>
        <w:rPr>
          <w:rFonts w:eastAsia="Times New Roman"/>
          <w:color w:val="000000"/>
          <w:sz w:val="18"/>
          <w:szCs w:val="18"/>
        </w:rPr>
        <w:t xml:space="preserve"> Venerable. See Note 1 of the Notes to these Consolidated Financial Statements for details of the Venerable Transaction.</w:t>
      </w:r>
    </w:p>
    <w:p w:rsidR="00000000" w:rsidRDefault="00C56D69">
      <w:pPr>
        <w:jc w:val="both"/>
        <w:divId w:val="1150754368"/>
        <w:rPr>
          <w:rFonts w:eastAsia="Times New Roman"/>
        </w:rPr>
      </w:pPr>
      <w:r>
        <w:rPr>
          <w:rFonts w:eastAsia="Times New Roman"/>
          <w:b/>
          <w:bCs/>
          <w:i/>
          <w:iCs/>
          <w:color w:val="000000"/>
          <w:sz w:val="20"/>
          <w:szCs w:val="20"/>
        </w:rPr>
        <w:t>Liabilities for Embedded and Freestanding Insurance Related Derivatives</w:t>
      </w:r>
    </w:p>
    <w:p w:rsidR="00000000" w:rsidRDefault="00C56D69">
      <w:pPr>
        <w:divId w:val="515972274"/>
        <w:rPr>
          <w:rFonts w:eastAsia="Times New Roman"/>
        </w:rPr>
      </w:pPr>
      <w:r>
        <w:rPr>
          <w:rFonts w:eastAsia="Times New Roman"/>
          <w:color w:val="000000"/>
          <w:sz w:val="20"/>
          <w:szCs w:val="20"/>
        </w:rPr>
        <w:t>The liability for the GMxB derivative features, the liability f</w:t>
      </w:r>
      <w:r>
        <w:rPr>
          <w:rFonts w:eastAsia="Times New Roman"/>
          <w:color w:val="000000"/>
          <w:sz w:val="20"/>
          <w:szCs w:val="20"/>
        </w:rPr>
        <w:t>or SCS, SIO, MSO and IUL indexed features and the asset and liability for the GMIB reinsurance contracts and amounts due from reinsurers related to GMIB NLG product features (GMIB NLG Reinsurance) are considered embedded or freestanding insurance derivativ</w:t>
      </w:r>
      <w:r>
        <w:rPr>
          <w:rFonts w:eastAsia="Times New Roman"/>
          <w:color w:val="000000"/>
          <w:sz w:val="20"/>
          <w:szCs w:val="20"/>
        </w:rPr>
        <w:t>es and are reported at fair value. For the fair value of the assets and liabilities associated with these embedded or freestanding insurance derivatives, see Note 7 of the Notes to these Consolidated Financial Statements.</w:t>
      </w:r>
    </w:p>
    <w:p w:rsidR="00000000" w:rsidRDefault="00C56D69">
      <w:pPr>
        <w:jc w:val="both"/>
        <w:divId w:val="1542404619"/>
        <w:rPr>
          <w:rFonts w:eastAsia="Times New Roman"/>
        </w:rPr>
      </w:pPr>
      <w:r>
        <w:rPr>
          <w:rFonts w:eastAsia="Times New Roman"/>
          <w:b/>
          <w:bCs/>
          <w:i/>
          <w:iCs/>
          <w:color w:val="000000"/>
          <w:sz w:val="20"/>
          <w:szCs w:val="20"/>
        </w:rPr>
        <w:t>Account Values and Net Amount at R</w:t>
      </w:r>
      <w:r>
        <w:rPr>
          <w:rFonts w:eastAsia="Times New Roman"/>
          <w:b/>
          <w:bCs/>
          <w:i/>
          <w:iCs/>
          <w:color w:val="000000"/>
          <w:sz w:val="20"/>
          <w:szCs w:val="20"/>
        </w:rPr>
        <w:t>isk</w:t>
      </w:r>
    </w:p>
    <w:p w:rsidR="00000000" w:rsidRDefault="00C56D69">
      <w:pPr>
        <w:divId w:val="1155412633"/>
        <w:rPr>
          <w:rFonts w:eastAsia="Times New Roman"/>
        </w:rPr>
      </w:pPr>
      <w:r>
        <w:rPr>
          <w:rFonts w:eastAsia="Times New Roman"/>
          <w:color w:val="000000"/>
          <w:sz w:val="20"/>
          <w:szCs w:val="20"/>
        </w:rPr>
        <w:t>Account Values and NAR for direct variable annuity contracts in force with GMDB and GMIB features as of September 30, 2022 are presented in the following tables by guarantee type. For contracts with the GMDB feature, the NAR in the event of death is th</w:t>
      </w:r>
      <w:r>
        <w:rPr>
          <w:rFonts w:eastAsia="Times New Roman"/>
          <w:color w:val="000000"/>
          <w:sz w:val="20"/>
          <w:szCs w:val="20"/>
        </w:rPr>
        <w:t xml:space="preserve">e amount by which the GMDB feature exceeds the related Account Values. For </w:t>
      </w:r>
    </w:p>
    <w:p w:rsidR="00000000" w:rsidRDefault="00C56D69">
      <w:pPr>
        <w:jc w:val="center"/>
        <w:divId w:val="1065490282"/>
        <w:rPr>
          <w:rFonts w:eastAsia="Times New Roman"/>
        </w:rPr>
      </w:pPr>
    </w:p>
    <w:p w:rsidR="00000000" w:rsidRDefault="00C56D69">
      <w:pPr>
        <w:jc w:val="center"/>
        <w:divId w:val="1065490282"/>
        <w:rPr>
          <w:rFonts w:eastAsia="Times New Roman"/>
        </w:rPr>
      </w:pPr>
      <w:r>
        <w:rPr>
          <w:rFonts w:eastAsia="Times New Roman"/>
          <w:color w:val="000000"/>
          <w:sz w:val="20"/>
          <w:szCs w:val="20"/>
        </w:rPr>
        <w:t>38</w:t>
      </w:r>
    </w:p>
    <w:p w:rsidR="00000000" w:rsidRDefault="00C56D69">
      <w:pPr>
        <w:rPr>
          <w:rFonts w:eastAsia="Times New Roman"/>
        </w:rPr>
      </w:pPr>
      <w:r>
        <w:rPr>
          <w:rFonts w:eastAsia="Times New Roman"/>
        </w:rPr>
        <w:pict>
          <v:rect id="_x0000_i1064" style="width:0;height:1.5pt" o:hralign="center" o:hrstd="t" o:hr="t" fillcolor="#a0a0a0" stroked="f"/>
        </w:pict>
      </w:r>
    </w:p>
    <w:p w:rsidR="00000000" w:rsidRDefault="00C56D69">
      <w:pPr>
        <w:divId w:val="1971980003"/>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19950843"/>
        <w:rPr>
          <w:rFonts w:eastAsia="Times New Roman"/>
        </w:rPr>
      </w:pPr>
      <w:r>
        <w:rPr>
          <w:rFonts w:eastAsia="Times New Roman"/>
          <w:b/>
          <w:bCs/>
          <w:color w:val="000000"/>
          <w:sz w:val="20"/>
          <w:szCs w:val="20"/>
        </w:rPr>
        <w:t>EQUITABLE HOLDINGS, INC.</w:t>
      </w:r>
    </w:p>
    <w:p w:rsidR="00000000" w:rsidRDefault="00C56D69">
      <w:pPr>
        <w:jc w:val="center"/>
        <w:divId w:val="919950843"/>
        <w:rPr>
          <w:rFonts w:eastAsia="Times New Roman"/>
        </w:rPr>
      </w:pPr>
      <w:r>
        <w:rPr>
          <w:rFonts w:eastAsia="Times New Roman"/>
          <w:b/>
          <w:bCs/>
          <w:color w:val="000000"/>
          <w:sz w:val="20"/>
          <w:szCs w:val="20"/>
        </w:rPr>
        <w:t>Notes to Consolidated Financial Stat</w:t>
      </w:r>
      <w:r>
        <w:rPr>
          <w:rFonts w:eastAsia="Times New Roman"/>
          <w:b/>
          <w:bCs/>
          <w:color w:val="000000"/>
          <w:sz w:val="20"/>
          <w:szCs w:val="20"/>
        </w:rPr>
        <w:t>ements (Unaudited), Continued</w:t>
      </w:r>
    </w:p>
    <w:p w:rsidR="00000000" w:rsidRDefault="00C56D69">
      <w:pPr>
        <w:jc w:val="center"/>
        <w:divId w:val="919950843"/>
        <w:rPr>
          <w:rFonts w:eastAsia="Times New Roman"/>
        </w:rPr>
      </w:pPr>
    </w:p>
    <w:p w:rsidR="00000000" w:rsidRDefault="00C56D69">
      <w:pPr>
        <w:divId w:val="254947387"/>
        <w:rPr>
          <w:rFonts w:eastAsia="Times New Roman"/>
        </w:rPr>
      </w:pPr>
      <w:r>
        <w:rPr>
          <w:rFonts w:eastAsia="Times New Roman"/>
          <w:color w:val="000000"/>
          <w:sz w:val="20"/>
          <w:szCs w:val="20"/>
        </w:rPr>
        <w:t>contracts with the GMIB feature, the NAR in the event of annuitization is the amount by which the present value of the GMIB benefits exceed the related Account Values, taking into account the relationship between current ann</w:t>
      </w:r>
      <w:r>
        <w:rPr>
          <w:rFonts w:eastAsia="Times New Roman"/>
          <w:color w:val="000000"/>
          <w:sz w:val="20"/>
          <w:szCs w:val="20"/>
        </w:rPr>
        <w:t>uity purchase rates and the GMIB guaranteed annuity purchase rates. Since variable annuity contracts with GMDB features may also offer GMIB guarantees in the same contract, the GMDB and GMIB amounts listed are not mutually exclusive.</w:t>
      </w:r>
    </w:p>
    <w:p w:rsidR="00000000" w:rsidRDefault="00C56D69">
      <w:pPr>
        <w:jc w:val="center"/>
        <w:rPr>
          <w:rFonts w:eastAsia="Times New Roman"/>
        </w:rPr>
      </w:pPr>
      <w:r>
        <w:rPr>
          <w:rFonts w:eastAsia="Times New Roman"/>
          <w:b/>
          <w:bCs/>
          <w:color w:val="000000"/>
          <w:sz w:val="20"/>
          <w:szCs w:val="20"/>
        </w:rPr>
        <w:t>Direct Variable Annuit</w:t>
      </w:r>
      <w:r>
        <w:rPr>
          <w:rFonts w:eastAsia="Times New Roman"/>
          <w:b/>
          <w:bCs/>
          <w:color w:val="000000"/>
          <w:sz w:val="20"/>
          <w:szCs w:val="20"/>
        </w:rPr>
        <w:t>y Contracts with GMDB and GMIB Features</w:t>
      </w:r>
    </w:p>
    <w:p w:rsidR="00000000" w:rsidRDefault="00C56D69">
      <w:pPr>
        <w:jc w:val="center"/>
        <w:rPr>
          <w:rFonts w:eastAsia="Times New Roman"/>
        </w:rPr>
      </w:pPr>
      <w:r>
        <w:rPr>
          <w:rFonts w:eastAsia="Times New Roman"/>
          <w:b/>
          <w:bCs/>
          <w:color w:val="000000"/>
          <w:sz w:val="20"/>
          <w:szCs w:val="20"/>
        </w:rPr>
        <w:t>as of September 30,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339"/>
        <w:gridCol w:w="37"/>
        <w:gridCol w:w="120"/>
        <w:gridCol w:w="500"/>
        <w:gridCol w:w="220"/>
        <w:gridCol w:w="36"/>
        <w:gridCol w:w="36"/>
        <w:gridCol w:w="36"/>
        <w:gridCol w:w="120"/>
        <w:gridCol w:w="500"/>
        <w:gridCol w:w="220"/>
        <w:gridCol w:w="36"/>
        <w:gridCol w:w="36"/>
        <w:gridCol w:w="36"/>
        <w:gridCol w:w="120"/>
        <w:gridCol w:w="583"/>
        <w:gridCol w:w="222"/>
        <w:gridCol w:w="36"/>
        <w:gridCol w:w="36"/>
        <w:gridCol w:w="36"/>
        <w:gridCol w:w="121"/>
        <w:gridCol w:w="479"/>
        <w:gridCol w:w="220"/>
        <w:gridCol w:w="36"/>
        <w:gridCol w:w="36"/>
        <w:gridCol w:w="36"/>
        <w:gridCol w:w="121"/>
        <w:gridCol w:w="683"/>
        <w:gridCol w:w="220"/>
      </w:tblGrid>
      <w:tr w:rsidR="00000000">
        <w:trPr>
          <w:divId w:val="556164149"/>
          <w:jc w:val="center"/>
        </w:trPr>
        <w:tc>
          <w:tcPr>
            <w:tcW w:w="50" w:type="pct"/>
            <w:vAlign w:val="center"/>
            <w:hideMark/>
          </w:tcPr>
          <w:p w:rsidR="00000000" w:rsidRDefault="00C56D69">
            <w:pPr>
              <w:jc w:val="center"/>
              <w:rPr>
                <w:rFonts w:eastAsia="Times New Roman"/>
              </w:rPr>
            </w:pPr>
          </w:p>
        </w:tc>
        <w:tc>
          <w:tcPr>
            <w:tcW w:w="23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Guarantee Type</w:t>
            </w:r>
          </w:p>
        </w:tc>
      </w:tr>
      <w:tr w:rsidR="00000000">
        <w:trPr>
          <w:divId w:val="556164149"/>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556164149"/>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 except age and interest rate)</w:t>
            </w:r>
          </w:p>
        </w:tc>
      </w:tr>
      <w:tr w:rsidR="00000000">
        <w:trPr>
          <w:divId w:val="556164149"/>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16,657</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48</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16,947</w:t>
            </w:r>
          </w:p>
        </w:tc>
      </w:tr>
      <w:tr w:rsidR="00000000">
        <w:trPr>
          <w:divId w:val="556164149"/>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w:t>
            </w:r>
          </w:p>
        </w:tc>
        <w:tc>
          <w:tcPr>
            <w:tcW w:w="0" w:type="auto"/>
            <w:gridSpan w:val="3"/>
            <w:shd w:val="clear" w:color="auto" w:fill="FFFF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44,879</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7,213</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2,384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24,547</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79,023</w:t>
            </w:r>
          </w:p>
        </w:tc>
      </w:tr>
      <w:tr w:rsidR="00000000">
        <w:trPr>
          <w:divId w:val="556164149"/>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61,536</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7,307</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2,432</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24,695</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95,970</w:t>
            </w:r>
          </w:p>
        </w:tc>
      </w:tr>
      <w:tr w:rsidR="00000000">
        <w:trPr>
          <w:divId w:val="55616414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1,975</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24,164</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29,117</w:t>
            </w: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1,630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1,439</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13,074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17,307</w:t>
            </w:r>
          </w:p>
        </w:tc>
      </w:tr>
      <w:tr w:rsidR="00000000">
        <w:trPr>
          <w:divId w:val="5561641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- 6.5%</w:t>
            </w:r>
          </w:p>
        </w:tc>
      </w:tr>
      <w:tr w:rsidR="00000000">
        <w:trPr>
          <w:divId w:val="5561641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193</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207</w:t>
            </w:r>
          </w:p>
        </w:tc>
      </w:tr>
      <w:tr w:rsidR="00000000">
        <w:trPr>
          <w:divId w:val="556164149"/>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20,235</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25,771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46,006</w:t>
            </w:r>
          </w:p>
        </w:tc>
      </w:tr>
      <w:tr w:rsidR="00000000">
        <w:trPr>
          <w:divId w:val="556164149"/>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20,249</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25,964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46,213</w:t>
            </w:r>
          </w:p>
        </w:tc>
      </w:tr>
      <w:tr w:rsidR="00000000">
        <w:trPr>
          <w:divId w:val="556164149"/>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546</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8,237</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8,783</w:t>
            </w: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176</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3,377</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C56D69">
            <w:pPr>
              <w:spacing w:after="100"/>
              <w:jc w:val="right"/>
              <w:rPr>
                <w:rFonts w:eastAsia="Times New Roman"/>
              </w:rPr>
            </w:pPr>
            <w:r>
              <w:rPr>
                <w:rFonts w:eastAsia="Times New Roman"/>
                <w:b/>
                <w:bCs/>
                <w:color w:val="000000"/>
                <w:sz w:val="20"/>
                <w:szCs w:val="20"/>
              </w:rPr>
              <w:t>3,553</w:t>
            </w:r>
          </w:p>
        </w:tc>
      </w:tr>
      <w:tr w:rsidR="00000000">
        <w:trPr>
          <w:divId w:val="55616414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556164149"/>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556164149"/>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3% - 6.5%</w:t>
            </w:r>
          </w:p>
        </w:tc>
      </w:tr>
    </w:tbl>
    <w:p w:rsidR="00000000" w:rsidRDefault="00C56D69">
      <w:pPr>
        <w:jc w:val="center"/>
        <w:rPr>
          <w:rFonts w:eastAsia="Times New Roman"/>
        </w:rPr>
      </w:pPr>
    </w:p>
    <w:p w:rsidR="00000000" w:rsidRDefault="00C56D69">
      <w:pPr>
        <w:divId w:val="1797405468"/>
        <w:rPr>
          <w:rFonts w:eastAsia="Times New Roman"/>
        </w:rPr>
      </w:pPr>
      <w:r>
        <w:rPr>
          <w:rFonts w:eastAsia="Times New Roman"/>
          <w:color w:val="000000"/>
          <w:sz w:val="20"/>
          <w:szCs w:val="20"/>
        </w:rPr>
        <w:t xml:space="preserve">For more information about the reinsurance programs of the Company’s GMDB and GMIB exposure, see “Reinsurance” </w:t>
      </w:r>
      <w:r>
        <w:rPr>
          <w:rFonts w:eastAsia="Times New Roman"/>
          <w:color w:val="000000"/>
          <w:sz w:val="20"/>
          <w:szCs w:val="20"/>
        </w:rPr>
        <w:t>in Note 11 of the Notes to the Consolidated Financial Statements 2021 Form 10-K.</w:t>
      </w:r>
    </w:p>
    <w:p w:rsidR="00000000" w:rsidRDefault="00C56D69">
      <w:pPr>
        <w:divId w:val="1298224793"/>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rsidR="00000000" w:rsidRDefault="00C56D69">
      <w:pPr>
        <w:divId w:val="1322083510"/>
        <w:rPr>
          <w:rFonts w:eastAsia="Times New Roman"/>
        </w:rPr>
      </w:pPr>
      <w:r>
        <w:rPr>
          <w:rFonts w:eastAsia="Times New Roman"/>
          <w:color w:val="000000"/>
          <w:sz w:val="20"/>
          <w:szCs w:val="20"/>
        </w:rPr>
        <w:t>The total Account Values of variable annuity contracts with GMDB and GMIB features include amounts allocated to the guaranteed interest o</w:t>
      </w:r>
      <w:r>
        <w:rPr>
          <w:rFonts w:eastAsia="Times New Roman"/>
          <w:color w:val="000000"/>
          <w:sz w:val="20"/>
          <w:szCs w:val="20"/>
        </w:rPr>
        <w:t xml:space="preserve">ption, which is part of the General Account and variable investment options that invest through Separate Accounts in variable insurance trusts. The following table presents the aggregate fair value of assets, by major investment category, held by Separate </w:t>
      </w:r>
      <w:r>
        <w:rPr>
          <w:rFonts w:eastAsia="Times New Roman"/>
          <w:color w:val="000000"/>
          <w:sz w:val="20"/>
          <w:szCs w:val="20"/>
        </w:rPr>
        <w:t>Accounts that support variable annuity contracts with GMDB and GMIB features. The investment performance of the assets impacts the related Account Values and, consequently, the NAR associated with the GMDB and GMIB benefits and guarantees. Because the Comp</w:t>
      </w:r>
      <w:r>
        <w:rPr>
          <w:rFonts w:eastAsia="Times New Roman"/>
          <w:color w:val="000000"/>
          <w:sz w:val="20"/>
          <w:szCs w:val="20"/>
        </w:rPr>
        <w:t>any’s variable annuity contracts offer both GMDB and GMIB features, GMDB and GMIB amounts are not mutually exclusive.</w:t>
      </w:r>
    </w:p>
    <w:p w:rsidR="00000000" w:rsidRDefault="00C56D69">
      <w:pPr>
        <w:jc w:val="center"/>
        <w:divId w:val="1145390064"/>
        <w:rPr>
          <w:rFonts w:eastAsia="Times New Roman"/>
        </w:rPr>
      </w:pPr>
    </w:p>
    <w:p w:rsidR="00000000" w:rsidRDefault="00C56D69">
      <w:pPr>
        <w:jc w:val="center"/>
        <w:divId w:val="1145390064"/>
        <w:rPr>
          <w:rFonts w:eastAsia="Times New Roman"/>
        </w:rPr>
      </w:pPr>
      <w:r>
        <w:rPr>
          <w:rFonts w:eastAsia="Times New Roman"/>
          <w:color w:val="000000"/>
          <w:sz w:val="20"/>
          <w:szCs w:val="20"/>
        </w:rPr>
        <w:t>39</w:t>
      </w:r>
    </w:p>
    <w:p w:rsidR="00000000" w:rsidRDefault="00C56D69">
      <w:pPr>
        <w:rPr>
          <w:rFonts w:eastAsia="Times New Roman"/>
        </w:rPr>
      </w:pPr>
      <w:r>
        <w:rPr>
          <w:rFonts w:eastAsia="Times New Roman"/>
        </w:rPr>
        <w:pict>
          <v:rect id="_x0000_i1065" style="width:0;height:1.5pt" o:hralign="center" o:hrstd="t" o:hr="t" fillcolor="#a0a0a0" stroked="f"/>
        </w:pict>
      </w:r>
    </w:p>
    <w:p w:rsidR="00000000" w:rsidRDefault="00C56D69">
      <w:pPr>
        <w:divId w:val="47703926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293100653"/>
        <w:rPr>
          <w:rFonts w:eastAsia="Times New Roman"/>
        </w:rPr>
      </w:pPr>
      <w:r>
        <w:rPr>
          <w:rFonts w:eastAsia="Times New Roman"/>
          <w:b/>
          <w:bCs/>
          <w:color w:val="000000"/>
          <w:sz w:val="20"/>
          <w:szCs w:val="20"/>
        </w:rPr>
        <w:t>EQUITABLE HOLDINGS,</w:t>
      </w:r>
      <w:r>
        <w:rPr>
          <w:rFonts w:eastAsia="Times New Roman"/>
          <w:b/>
          <w:bCs/>
          <w:color w:val="000000"/>
          <w:sz w:val="20"/>
          <w:szCs w:val="20"/>
        </w:rPr>
        <w:t xml:space="preserve"> INC.</w:t>
      </w:r>
    </w:p>
    <w:p w:rsidR="00000000" w:rsidRDefault="00C56D69">
      <w:pPr>
        <w:jc w:val="center"/>
        <w:divId w:val="29310065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293100653"/>
        <w:rPr>
          <w:rFonts w:eastAsia="Times New Roman"/>
        </w:rPr>
      </w:pPr>
    </w:p>
    <w:p w:rsidR="00000000" w:rsidRDefault="00C56D69">
      <w:pPr>
        <w:jc w:val="center"/>
        <w:rPr>
          <w:rFonts w:eastAsia="Times New Roman"/>
        </w:rPr>
      </w:pPr>
      <w:r>
        <w:rPr>
          <w:rFonts w:eastAsia="Times New Roman"/>
          <w:b/>
          <w:bCs/>
          <w:color w:val="000000"/>
          <w:sz w:val="20"/>
          <w:szCs w:val="20"/>
        </w:rPr>
        <w:t>Investment in Variable Insurance Trust Mutual Funds</w:t>
      </w:r>
    </w:p>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449129181"/>
          <w:jc w:val="center"/>
        </w:trPr>
        <w:tc>
          <w:tcPr>
            <w:tcW w:w="50" w:type="pct"/>
            <w:vAlign w:val="center"/>
            <w:hideMark/>
          </w:tcPr>
          <w:p w:rsidR="00000000" w:rsidRDefault="00C56D69">
            <w:pPr>
              <w:jc w:val="center"/>
              <w:rPr>
                <w:rFonts w:eastAsia="Times New Roman"/>
              </w:rPr>
            </w:pPr>
          </w:p>
        </w:tc>
        <w:tc>
          <w:tcPr>
            <w:tcW w:w="26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449129181"/>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49129181"/>
          <w:jc w:val="center"/>
        </w:trPr>
        <w:tc>
          <w:tcPr>
            <w:tcW w:w="0" w:type="auto"/>
            <w:gridSpan w:val="3"/>
            <w:tcMar>
              <w:top w:w="30" w:type="dxa"/>
              <w:left w:w="20" w:type="dxa"/>
              <w:bottom w:w="30" w:type="dxa"/>
              <w:right w:w="20" w:type="dxa"/>
            </w:tcMar>
            <w:vAlign w:val="bottom"/>
            <w:hideMark/>
          </w:tcPr>
          <w:p w:rsidR="00000000" w:rsidRDefault="00C56D69">
            <w:pPr>
              <w:spacing w:after="100"/>
              <w:divId w:val="1438674988"/>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rPr>
          <w:divId w:val="449129181"/>
          <w:jc w:val="center"/>
        </w:trPr>
        <w:tc>
          <w:tcPr>
            <w:tcW w:w="0" w:type="auto"/>
            <w:gridSpan w:val="3"/>
            <w:tcMar>
              <w:top w:w="30" w:type="dxa"/>
              <w:left w:w="20" w:type="dxa"/>
              <w:bottom w:w="30" w:type="dxa"/>
              <w:right w:w="20" w:type="dxa"/>
            </w:tcMar>
            <w:vAlign w:val="bottom"/>
            <w:hideMark/>
          </w:tcPr>
          <w:p w:rsidR="00000000" w:rsidRDefault="00C56D69">
            <w:pPr>
              <w:spacing w:after="100"/>
              <w:divId w:val="1828326454"/>
              <w:rPr>
                <w:rFonts w:eastAsia="Times New Roman"/>
              </w:rPr>
            </w:pPr>
            <w:r>
              <w:rPr>
                <w:rFonts w:eastAsia="Times New Roman"/>
                <w:b/>
                <w:bCs/>
                <w:color w:val="000000"/>
                <w:sz w:val="16"/>
                <w:szCs w:val="16"/>
              </w:rPr>
              <w:t>Mutual Fund Type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GMIB</w:t>
            </w:r>
          </w:p>
        </w:tc>
      </w:tr>
      <w:tr w:rsidR="00000000">
        <w:trPr>
          <w:divId w:val="449129181"/>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449129181"/>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37,285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52,771 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449129181"/>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5,391 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2,507 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449129181"/>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30,264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48,390 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40,491 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449129181"/>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449129181"/>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79,023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46,006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107,577 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63,276 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945839647"/>
        <w:rPr>
          <w:rFonts w:eastAsia="Times New Roman"/>
        </w:rPr>
      </w:pPr>
      <w:r>
        <w:rPr>
          <w:rFonts w:eastAsia="Times New Roman"/>
          <w:color w:val="000000"/>
          <w:sz w:val="20"/>
          <w:szCs w:val="20"/>
          <w:u w:val="single"/>
        </w:rPr>
        <w:t>Hedging Programs for GMDB, GMIB, GIB and Other Features</w:t>
      </w:r>
    </w:p>
    <w:p w:rsidR="00000000" w:rsidRDefault="00C56D69">
      <w:pPr>
        <w:divId w:val="777217098"/>
        <w:rPr>
          <w:rFonts w:eastAsia="Times New Roman"/>
        </w:rPr>
      </w:pPr>
      <w:r>
        <w:rPr>
          <w:rFonts w:eastAsia="Times New Roman"/>
          <w:color w:val="000000"/>
          <w:sz w:val="20"/>
          <w:szCs w:val="20"/>
        </w:rPr>
        <w:t>The Company ha</w:t>
      </w:r>
      <w:r>
        <w:rPr>
          <w:rFonts w:eastAsia="Times New Roman"/>
          <w:color w:val="000000"/>
          <w:sz w:val="20"/>
          <w:szCs w:val="20"/>
        </w:rPr>
        <w:t>s a program intended to hedge certain risks associated first with the GMDB feature and with the GMIB feature of the Accumulator series of variable annuity products. The program has also been extended to cover other guaranteed benefits as they have been mad</w:t>
      </w:r>
      <w:r>
        <w:rPr>
          <w:rFonts w:eastAsia="Times New Roman"/>
          <w:color w:val="000000"/>
          <w:sz w:val="20"/>
          <w:szCs w:val="20"/>
        </w:rPr>
        <w:t>e available. This program utilizes derivative contracts, such as exchange-traded equity, currency and interest rate futures contracts, total return and/or equity swaps, interest rate swap and floor contracts, swaptions, variance swaps as well as equity opt</w:t>
      </w:r>
      <w:r>
        <w:rPr>
          <w:rFonts w:eastAsia="Times New Roman"/>
          <w:color w:val="000000"/>
          <w:sz w:val="20"/>
          <w:szCs w:val="20"/>
        </w:rPr>
        <w:t>ions, that collectively are managed in an effort to reduce the economic impact of unfavorable changes in guaranteed benefits’ exposures attributable to movements in the capital markets. At the present time, this program hedges certain economic risks on pro</w:t>
      </w:r>
      <w:r>
        <w:rPr>
          <w:rFonts w:eastAsia="Times New Roman"/>
          <w:color w:val="000000"/>
          <w:sz w:val="20"/>
          <w:szCs w:val="20"/>
        </w:rPr>
        <w:t xml:space="preserve">ducts sold from 2001 forward, to the extent such risks are not externally reinsured. </w:t>
      </w:r>
    </w:p>
    <w:p w:rsidR="00000000" w:rsidRDefault="00C56D69">
      <w:pPr>
        <w:divId w:val="151794786"/>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w:t>
      </w:r>
      <w:r>
        <w:rPr>
          <w:rFonts w:eastAsia="Times New Roman"/>
          <w:color w:val="000000"/>
          <w:sz w:val="20"/>
          <w:szCs w:val="20"/>
        </w:rPr>
        <w:t>ges in fair value, are recognized in net derivative gains (losses) in the period in which they occur, and may contribute to income (loss) volatility.</w:t>
      </w:r>
    </w:p>
    <w:p w:rsidR="00000000" w:rsidRDefault="00C56D69">
      <w:pPr>
        <w:divId w:val="1031027682"/>
        <w:rPr>
          <w:rFonts w:eastAsia="Times New Roman"/>
        </w:rPr>
      </w:pPr>
      <w:r>
        <w:rPr>
          <w:rFonts w:eastAsia="Times New Roman"/>
          <w:color w:val="000000"/>
          <w:sz w:val="20"/>
          <w:szCs w:val="20"/>
          <w:u w:val="single"/>
        </w:rPr>
        <w:t>Variable and Interest-Sensitive Life Insurance Policies – NLG</w:t>
      </w:r>
    </w:p>
    <w:p w:rsidR="00000000" w:rsidRDefault="00C56D69">
      <w:pPr>
        <w:divId w:val="1966545707"/>
        <w:rPr>
          <w:rFonts w:eastAsia="Times New Roman"/>
        </w:rPr>
      </w:pPr>
      <w:r>
        <w:rPr>
          <w:rFonts w:eastAsia="Times New Roman"/>
          <w:color w:val="000000"/>
          <w:sz w:val="20"/>
          <w:szCs w:val="20"/>
        </w:rPr>
        <w:t>The NLG feature contained in variable and in</w:t>
      </w:r>
      <w:r>
        <w:rPr>
          <w:rFonts w:eastAsia="Times New Roman"/>
          <w:color w:val="000000"/>
          <w:sz w:val="20"/>
          <w:szCs w:val="20"/>
        </w:rPr>
        <w:t xml:space="preserve">terest-sensitive life insurance policies keeps them in force in situations where the policy value is not sufficient to cover monthly charges then due. The NLG remains in effect so long as the policy meets a contractually specified premium funding test and </w:t>
      </w:r>
      <w:r>
        <w:rPr>
          <w:rFonts w:eastAsia="Times New Roman"/>
          <w:color w:val="000000"/>
          <w:sz w:val="20"/>
          <w:szCs w:val="20"/>
        </w:rPr>
        <w:t>certain other requirements.</w:t>
      </w:r>
    </w:p>
    <w:p w:rsidR="00000000" w:rsidRDefault="00C56D69">
      <w:pPr>
        <w:divId w:val="1669210234"/>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4708"/>
        <w:gridCol w:w="37"/>
        <w:gridCol w:w="120"/>
        <w:gridCol w:w="598"/>
        <w:gridCol w:w="36"/>
        <w:gridCol w:w="36"/>
        <w:gridCol w:w="36"/>
        <w:gridCol w:w="36"/>
        <w:gridCol w:w="120"/>
        <w:gridCol w:w="598"/>
        <w:gridCol w:w="36"/>
        <w:gridCol w:w="36"/>
        <w:gridCol w:w="36"/>
        <w:gridCol w:w="36"/>
        <w:gridCol w:w="120"/>
        <w:gridCol w:w="569"/>
        <w:gridCol w:w="36"/>
        <w:gridCol w:w="36"/>
        <w:gridCol w:w="36"/>
        <w:gridCol w:w="36"/>
        <w:gridCol w:w="120"/>
        <w:gridCol w:w="544"/>
        <w:gridCol w:w="36"/>
        <w:gridCol w:w="36"/>
        <w:gridCol w:w="36"/>
        <w:gridCol w:w="36"/>
        <w:gridCol w:w="36"/>
        <w:gridCol w:w="36"/>
        <w:gridCol w:w="36"/>
      </w:tblGrid>
      <w:tr w:rsidR="00000000">
        <w:trPr>
          <w:divId w:val="684870850"/>
          <w:jc w:val="center"/>
        </w:trPr>
        <w:tc>
          <w:tcPr>
            <w:tcW w:w="50" w:type="pct"/>
            <w:vAlign w:val="center"/>
            <w:hideMark/>
          </w:tcPr>
          <w:p w:rsidR="00000000" w:rsidRDefault="00C56D69">
            <w:pPr>
              <w:rPr>
                <w:rFonts w:eastAsia="Times New Roman"/>
              </w:rPr>
            </w:pPr>
          </w:p>
        </w:tc>
        <w:tc>
          <w:tcPr>
            <w:tcW w:w="297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Direct Liability (1)</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changes in reserves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84870850"/>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balance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286933664"/>
        <w:rPr>
          <w:rFonts w:eastAsia="Times New Roman"/>
        </w:rPr>
      </w:pPr>
      <w:r>
        <w:rPr>
          <w:rFonts w:eastAsia="Times New Roman"/>
          <w:color w:val="000000"/>
          <w:sz w:val="18"/>
          <w:szCs w:val="18"/>
        </w:rPr>
        <w:t>_____________</w:t>
      </w:r>
    </w:p>
    <w:p w:rsidR="00000000" w:rsidRDefault="00C56D69">
      <w:pPr>
        <w:ind w:hanging="360"/>
        <w:divId w:val="1484468266"/>
        <w:rPr>
          <w:rFonts w:eastAsia="Times New Roman"/>
        </w:rPr>
      </w:pPr>
      <w:r>
        <w:rPr>
          <w:rFonts w:eastAsia="Times New Roman"/>
          <w:color w:val="000000"/>
          <w:sz w:val="18"/>
          <w:szCs w:val="18"/>
        </w:rPr>
        <w:t>(1)There were no amounts of reinsurance ceded in any period presented.</w:t>
      </w:r>
    </w:p>
    <w:p w:rsidR="00000000" w:rsidRDefault="00C56D69">
      <w:pPr>
        <w:divId w:val="1538930488"/>
        <w:rPr>
          <w:rFonts w:eastAsia="Times New Roman"/>
        </w:rPr>
      </w:pPr>
      <w:r>
        <w:rPr>
          <w:rFonts w:eastAsia="Times New Roman"/>
          <w:b/>
          <w:bCs/>
          <w:color w:val="000000"/>
          <w:sz w:val="20"/>
          <w:szCs w:val="20"/>
        </w:rPr>
        <w:t>7)    </w:t>
      </w:r>
      <w:r>
        <w:rPr>
          <w:rFonts w:eastAsia="Times New Roman"/>
          <w:b/>
          <w:bCs/>
          <w:color w:val="000000"/>
          <w:sz w:val="20"/>
          <w:szCs w:val="20"/>
        </w:rPr>
        <w:t xml:space="preserve">FAIR VALUE DISCLOSURES </w:t>
      </w:r>
    </w:p>
    <w:p w:rsidR="00000000" w:rsidRDefault="00C56D69">
      <w:pPr>
        <w:divId w:val="54548852"/>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w:t>
      </w:r>
      <w:r>
        <w:rPr>
          <w:rFonts w:eastAsia="Times New Roman"/>
          <w:color w:val="000000"/>
          <w:sz w:val="20"/>
          <w:szCs w:val="20"/>
        </w:rPr>
        <w:t>sed to measure fair value:</w:t>
      </w:r>
    </w:p>
    <w:p w:rsidR="00000000" w:rsidRDefault="00C56D69">
      <w:pPr>
        <w:ind w:hanging="360"/>
        <w:jc w:val="both"/>
        <w:divId w:val="1655451776"/>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w:t>
      </w:r>
      <w:r>
        <w:rPr>
          <w:rFonts w:eastAsia="Times New Roman"/>
          <w:color w:val="000000"/>
          <w:sz w:val="20"/>
          <w:szCs w:val="20"/>
        </w:rPr>
        <w:t xml:space="preserve"> an ongoing basis.</w:t>
      </w:r>
    </w:p>
    <w:p w:rsidR="00000000" w:rsidRDefault="00C56D69">
      <w:pPr>
        <w:jc w:val="center"/>
        <w:divId w:val="624848584"/>
        <w:rPr>
          <w:rFonts w:eastAsia="Times New Roman"/>
        </w:rPr>
      </w:pPr>
    </w:p>
    <w:p w:rsidR="00000000" w:rsidRDefault="00C56D69">
      <w:pPr>
        <w:jc w:val="center"/>
        <w:divId w:val="624848584"/>
        <w:rPr>
          <w:rFonts w:eastAsia="Times New Roman"/>
        </w:rPr>
      </w:pPr>
      <w:r>
        <w:rPr>
          <w:rFonts w:eastAsia="Times New Roman"/>
          <w:color w:val="000000"/>
          <w:sz w:val="20"/>
          <w:szCs w:val="20"/>
        </w:rPr>
        <w:t>40</w:t>
      </w:r>
    </w:p>
    <w:p w:rsidR="00000000" w:rsidRDefault="00C56D69">
      <w:pPr>
        <w:rPr>
          <w:rFonts w:eastAsia="Times New Roman"/>
        </w:rPr>
      </w:pPr>
      <w:r>
        <w:rPr>
          <w:rFonts w:eastAsia="Times New Roman"/>
        </w:rPr>
        <w:pict>
          <v:rect id="_x0000_i1066" style="width:0;height:1.5pt" o:hralign="center" o:hrstd="t" o:hr="t" fillcolor="#a0a0a0" stroked="f"/>
        </w:pict>
      </w:r>
    </w:p>
    <w:p w:rsidR="00000000" w:rsidRDefault="00C56D69">
      <w:pPr>
        <w:divId w:val="5717117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17575082"/>
        <w:rPr>
          <w:rFonts w:eastAsia="Times New Roman"/>
        </w:rPr>
      </w:pPr>
      <w:r>
        <w:rPr>
          <w:rFonts w:eastAsia="Times New Roman"/>
          <w:b/>
          <w:bCs/>
          <w:color w:val="000000"/>
          <w:sz w:val="20"/>
          <w:szCs w:val="20"/>
        </w:rPr>
        <w:t>EQUITABLE HOLDINGS, INC.</w:t>
      </w:r>
    </w:p>
    <w:p w:rsidR="00000000" w:rsidRDefault="00C56D69">
      <w:pPr>
        <w:jc w:val="center"/>
        <w:divId w:val="117575082"/>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17575082"/>
        <w:rPr>
          <w:rFonts w:eastAsia="Times New Roman"/>
        </w:rPr>
      </w:pPr>
    </w:p>
    <w:p w:rsidR="00000000" w:rsidRDefault="00C56D69">
      <w:pPr>
        <w:ind w:hanging="360"/>
        <w:jc w:val="both"/>
        <w:divId w:val="1193953717"/>
        <w:rPr>
          <w:rFonts w:eastAsia="Times New Roman"/>
        </w:rPr>
      </w:pPr>
      <w:r>
        <w:rPr>
          <w:rFonts w:eastAsia="Times New Roman"/>
          <w:color w:val="000000"/>
          <w:sz w:val="20"/>
          <w:szCs w:val="20"/>
        </w:rPr>
        <w:t>Level 2    Observable inpu</w:t>
      </w:r>
      <w:r>
        <w:rPr>
          <w:rFonts w:eastAsia="Times New Roman"/>
          <w:color w:val="000000"/>
          <w:sz w:val="20"/>
          <w:szCs w:val="20"/>
        </w:rPr>
        <w:t>ts other than Level 1 prices, such as quoted prices for similar instruments, quoted prices in markets that are not active, and inputs to model-derived valuations that are directly observable or can be corroborated by observable market data.</w:t>
      </w:r>
    </w:p>
    <w:p w:rsidR="00000000" w:rsidRDefault="00C56D69">
      <w:pPr>
        <w:ind w:hanging="360"/>
        <w:jc w:val="both"/>
        <w:divId w:val="947005981"/>
        <w:rPr>
          <w:rFonts w:eastAsia="Times New Roman"/>
        </w:rPr>
      </w:pPr>
      <w:r>
        <w:rPr>
          <w:rFonts w:eastAsia="Times New Roman"/>
          <w:color w:val="000000"/>
          <w:sz w:val="20"/>
          <w:szCs w:val="20"/>
        </w:rPr>
        <w:t>Level 3    Unob</w:t>
      </w:r>
      <w:r>
        <w:rPr>
          <w:rFonts w:eastAsia="Times New Roman"/>
          <w:color w:val="000000"/>
          <w:sz w:val="20"/>
          <w:szCs w:val="20"/>
        </w:rPr>
        <w:t>servable inputs supported by little or no market activity and often requiring significant management judgment or estimation, such as an entity’s own assumptions about the cash flows or other significant components of value that market participants would us</w:t>
      </w:r>
      <w:r>
        <w:rPr>
          <w:rFonts w:eastAsia="Times New Roman"/>
          <w:color w:val="000000"/>
          <w:sz w:val="20"/>
          <w:szCs w:val="20"/>
        </w:rPr>
        <w:t>e in pricing the asset or liability.</w:t>
      </w:r>
    </w:p>
    <w:p w:rsidR="00000000" w:rsidRDefault="00C56D69">
      <w:pPr>
        <w:divId w:val="898443528"/>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measured</w:t>
      </w:r>
      <w:r>
        <w:rPr>
          <w:rFonts w:eastAsia="Times New Roman"/>
          <w:color w:val="000000"/>
          <w:sz w:val="20"/>
          <w:szCs w:val="20"/>
        </w:rPr>
        <w:t xml:space="preserve"> using present value or other valuation techniques. The fair value determinations are made at a specific point in time, based on available market information and judgments about the financial instrument, including estimates of the timing and amount of expe</w:t>
      </w:r>
      <w:r>
        <w:rPr>
          <w:rFonts w:eastAsia="Times New Roman"/>
          <w:color w:val="000000"/>
          <w:sz w:val="20"/>
          <w:szCs w:val="20"/>
        </w:rPr>
        <w:t>cted future cash flows and the credit standing of counterparties. Such adjustments do not reflect any premium or discount that could result from offering for sale at one time the Company’s entire holdings of a particular financial instrument, nor do they c</w:t>
      </w:r>
      <w:r>
        <w:rPr>
          <w:rFonts w:eastAsia="Times New Roman"/>
          <w:color w:val="000000"/>
          <w:sz w:val="20"/>
          <w:szCs w:val="20"/>
        </w:rPr>
        <w:t>onsider the tax impact of the realization of unrealized gains or losses. In many cases, the fair value cannot be substantiated by direct comparison to independent markets, nor can the disclosed value be realized in immediate settlement of the instrument.</w:t>
      </w:r>
    </w:p>
    <w:p w:rsidR="00000000" w:rsidRDefault="00C56D69">
      <w:pPr>
        <w:divId w:val="889074351"/>
        <w:rPr>
          <w:rFonts w:eastAsia="Times New Roman"/>
        </w:rPr>
      </w:pPr>
      <w:r>
        <w:rPr>
          <w:rFonts w:eastAsia="Times New Roman"/>
          <w:color w:val="000000"/>
          <w:sz w:val="20"/>
          <w:szCs w:val="20"/>
        </w:rPr>
        <w:t>M</w:t>
      </w:r>
      <w:r>
        <w:rPr>
          <w:rFonts w:eastAsia="Times New Roman"/>
          <w:color w:val="000000"/>
          <w:sz w:val="20"/>
          <w:szCs w:val="20"/>
        </w:rPr>
        <w:t>anagement is responsible for the determination of the value of investments carried at fair value and the supporting methodologies and assumptions. Under the terms of various service agreements, the Company often utilizes independent valuation service provi</w:t>
      </w:r>
      <w:r>
        <w:rPr>
          <w:rFonts w:eastAsia="Times New Roman"/>
          <w:color w:val="000000"/>
          <w:sz w:val="20"/>
          <w:szCs w:val="20"/>
        </w:rPr>
        <w:t xml:space="preserve">ders to gather, analyze, and interpret market information and derive fair values based upon relevant methodologies and assumptions for individual securities. These independent valuation service providers typically obtain data about market transactions and </w:t>
      </w:r>
      <w:r>
        <w:rPr>
          <w:rFonts w:eastAsia="Times New Roman"/>
          <w:color w:val="000000"/>
          <w:sz w:val="20"/>
          <w:szCs w:val="20"/>
        </w:rPr>
        <w:t>other key valuation model inputs from multiple sources and, through the use of widely accepted valuation models, provide a single fair value measurement for individual securities for which a fair value has been requested. As further described below with re</w:t>
      </w:r>
      <w:r>
        <w:rPr>
          <w:rFonts w:eastAsia="Times New Roman"/>
          <w:color w:val="000000"/>
          <w:sz w:val="20"/>
          <w:szCs w:val="20"/>
        </w:rPr>
        <w:t>spect to specific asset classes, these inputs include, but are not limited to, market prices for recent trades and transactions in comparable securities, benchmark yields, interest rate yield curves, credit spreads, quoted prices for similar securities, an</w:t>
      </w:r>
      <w:r>
        <w:rPr>
          <w:rFonts w:eastAsia="Times New Roman"/>
          <w:color w:val="000000"/>
          <w:sz w:val="20"/>
          <w:szCs w:val="20"/>
        </w:rPr>
        <w:t>d other market-observable information, as applicable. Specific attributes of the security being valued also are considered, including its term, interest rate, credit rating, industry sector, and when applicable, collateral quality and other security- or is</w:t>
      </w:r>
      <w:r>
        <w:rPr>
          <w:rFonts w:eastAsia="Times New Roman"/>
          <w:color w:val="000000"/>
          <w:sz w:val="20"/>
          <w:szCs w:val="20"/>
        </w:rPr>
        <w:t>suer-specific information. When insufficient market observable information is available upon which to measure fair value, the Company either will request brokers knowledgeable about these securities to provide a non-binding quote or will employ internal va</w:t>
      </w:r>
      <w:r>
        <w:rPr>
          <w:rFonts w:eastAsia="Times New Roman"/>
          <w:color w:val="000000"/>
          <w:sz w:val="20"/>
          <w:szCs w:val="20"/>
        </w:rPr>
        <w:t>luation models. Fair values received from independent valuation service providers and brokers and those internally modeled or otherwise estimated are assessed for reasonableness.</w:t>
      </w:r>
    </w:p>
    <w:p w:rsidR="00000000" w:rsidRDefault="00C56D69">
      <w:pPr>
        <w:divId w:val="1740446020"/>
        <w:rPr>
          <w:rFonts w:eastAsia="Times New Roman"/>
        </w:rPr>
      </w:pPr>
      <w:r>
        <w:rPr>
          <w:rFonts w:eastAsia="Times New Roman"/>
          <w:color w:val="000000"/>
          <w:sz w:val="20"/>
          <w:szCs w:val="20"/>
          <w:u w:val="single"/>
        </w:rPr>
        <w:t>Assets and Liabilities Measured at Fair Value on a Nonrecurring Basis</w:t>
      </w:r>
    </w:p>
    <w:p w:rsidR="00000000" w:rsidRDefault="00C56D69">
      <w:pPr>
        <w:divId w:val="1423793641"/>
        <w:rPr>
          <w:rFonts w:eastAsia="Times New Roman"/>
        </w:rPr>
      </w:pPr>
      <w:r>
        <w:rPr>
          <w:rFonts w:eastAsia="Times New Roman"/>
          <w:color w:val="000000"/>
          <w:sz w:val="20"/>
          <w:szCs w:val="20"/>
        </w:rPr>
        <w:t>Fair va</w:t>
      </w:r>
      <w:r>
        <w:rPr>
          <w:rFonts w:eastAsia="Times New Roman"/>
          <w:color w:val="000000"/>
          <w:sz w:val="20"/>
          <w:szCs w:val="20"/>
        </w:rPr>
        <w:t xml:space="preserve">lue measurements are required on a non-recurring basis for certain assets only when an impairment or other events occur. As of September 30, 2022 and December 31, 2021, no assets or liabilities were required to be measured at fair value on a non-recurring </w:t>
      </w:r>
      <w:r>
        <w:rPr>
          <w:rFonts w:eastAsia="Times New Roman"/>
          <w:color w:val="000000"/>
          <w:sz w:val="20"/>
          <w:szCs w:val="20"/>
        </w:rPr>
        <w:t>basis.</w:t>
      </w:r>
    </w:p>
    <w:p w:rsidR="00000000" w:rsidRDefault="00C56D69">
      <w:pPr>
        <w:divId w:val="1450278736"/>
        <w:rPr>
          <w:rFonts w:eastAsia="Times New Roman"/>
        </w:rPr>
      </w:pPr>
      <w:r>
        <w:rPr>
          <w:rFonts w:eastAsia="Times New Roman"/>
          <w:color w:val="000000"/>
          <w:sz w:val="20"/>
          <w:szCs w:val="20"/>
          <w:u w:val="single"/>
        </w:rPr>
        <w:t>Assets and Liabilities Measured at Fair Value on a Recurring Basis</w:t>
      </w:r>
    </w:p>
    <w:p w:rsidR="00000000" w:rsidRDefault="00C56D69">
      <w:pPr>
        <w:divId w:val="1220283739"/>
        <w:rPr>
          <w:rFonts w:eastAsia="Times New Roman"/>
        </w:rPr>
      </w:pPr>
      <w:r>
        <w:rPr>
          <w:rFonts w:eastAsia="Times New Roman"/>
          <w:color w:val="000000"/>
          <w:sz w:val="20"/>
          <w:szCs w:val="20"/>
        </w:rPr>
        <w:t xml:space="preserve">Assets and liabilities measured at fair value on a recurring basis are summarized below. </w:t>
      </w:r>
    </w:p>
    <w:p w:rsidR="00000000" w:rsidRDefault="00C56D69">
      <w:pPr>
        <w:jc w:val="center"/>
        <w:divId w:val="1575313767"/>
        <w:rPr>
          <w:rFonts w:eastAsia="Times New Roman"/>
        </w:rPr>
      </w:pPr>
    </w:p>
    <w:p w:rsidR="00000000" w:rsidRDefault="00C56D69">
      <w:pPr>
        <w:jc w:val="center"/>
        <w:divId w:val="1575313767"/>
        <w:rPr>
          <w:rFonts w:eastAsia="Times New Roman"/>
        </w:rPr>
      </w:pPr>
      <w:r>
        <w:rPr>
          <w:rFonts w:eastAsia="Times New Roman"/>
          <w:color w:val="000000"/>
          <w:sz w:val="20"/>
          <w:szCs w:val="20"/>
        </w:rPr>
        <w:t>41</w:t>
      </w:r>
    </w:p>
    <w:p w:rsidR="00000000" w:rsidRDefault="00C56D69">
      <w:pPr>
        <w:rPr>
          <w:rFonts w:eastAsia="Times New Roman"/>
        </w:rPr>
      </w:pPr>
      <w:r>
        <w:rPr>
          <w:rFonts w:eastAsia="Times New Roman"/>
        </w:rPr>
        <w:pict>
          <v:rect id="_x0000_i1067" style="width:0;height:1.5pt" o:hralign="center" o:hrstd="t" o:hr="t" fillcolor="#a0a0a0" stroked="f"/>
        </w:pict>
      </w:r>
    </w:p>
    <w:p w:rsidR="00000000" w:rsidRDefault="00C56D69">
      <w:pPr>
        <w:divId w:val="159635402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336617796"/>
        <w:rPr>
          <w:rFonts w:eastAsia="Times New Roman"/>
        </w:rPr>
      </w:pPr>
      <w:r>
        <w:rPr>
          <w:rFonts w:eastAsia="Times New Roman"/>
          <w:b/>
          <w:bCs/>
          <w:color w:val="000000"/>
          <w:sz w:val="20"/>
          <w:szCs w:val="20"/>
        </w:rPr>
        <w:t>EQUITABLE HOLDINGS, INC.</w:t>
      </w:r>
    </w:p>
    <w:p w:rsidR="00000000" w:rsidRDefault="00C56D69">
      <w:pPr>
        <w:jc w:val="center"/>
        <w:divId w:val="133661779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336617796"/>
        <w:rPr>
          <w:rFonts w:eastAsia="Times New Roman"/>
        </w:rPr>
      </w:pPr>
    </w:p>
    <w:p w:rsidR="00000000" w:rsidRDefault="00C56D69">
      <w:pPr>
        <w:jc w:val="center"/>
        <w:rPr>
          <w:rFonts w:eastAsia="Times New Roman"/>
        </w:rPr>
      </w:pPr>
      <w:r>
        <w:rPr>
          <w:rFonts w:eastAsia="Times New Roman"/>
          <w:b/>
          <w:bCs/>
          <w:color w:val="000000"/>
          <w:sz w:val="20"/>
          <w:szCs w:val="20"/>
        </w:rPr>
        <w:t>Fair Value Measurements as of September 30, 2022</w:t>
      </w:r>
    </w:p>
    <w:p w:rsidR="00000000" w:rsidRDefault="00C56D69">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2112705202"/>
        </w:trPr>
        <w:tc>
          <w:tcPr>
            <w:tcW w:w="50" w:type="pct"/>
            <w:vAlign w:val="center"/>
            <w:hideMark/>
          </w:tcPr>
          <w:p w:rsidR="00000000" w:rsidRDefault="00C56D69">
            <w:pPr>
              <w:jc w:val="center"/>
              <w:rPr>
                <w:rFonts w:eastAsia="Times New Roman"/>
              </w:rPr>
            </w:pPr>
          </w:p>
        </w:tc>
        <w:tc>
          <w:tcPr>
            <w:tcW w:w="237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2112705202"/>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112705202"/>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804735741"/>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837890941"/>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303315585"/>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62,618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64,600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286)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636910578"/>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108,940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50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109,404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71,652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189,083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802264725"/>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2705202"/>
        </w:trPr>
        <w:tc>
          <w:tcPr>
            <w:tcW w:w="0" w:type="auto"/>
            <w:gridSpan w:val="3"/>
            <w:shd w:val="clear" w:color="auto" w:fill="FFFFFF"/>
            <w:tcMar>
              <w:top w:w="30" w:type="dxa"/>
              <w:left w:w="50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3,489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6,098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9,604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08935220"/>
        <w:rPr>
          <w:rFonts w:eastAsia="Times New Roman"/>
        </w:rPr>
      </w:pPr>
      <w:r>
        <w:rPr>
          <w:rFonts w:eastAsia="Times New Roman"/>
          <w:color w:val="000000"/>
          <w:sz w:val="20"/>
          <w:szCs w:val="20"/>
        </w:rPr>
        <w:t>______________</w:t>
      </w:r>
    </w:p>
    <w:p w:rsidR="00000000" w:rsidRDefault="00C56D69">
      <w:pPr>
        <w:ind w:hanging="360"/>
        <w:divId w:val="907573840"/>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C56D69">
      <w:pPr>
        <w:ind w:hanging="360"/>
        <w:divId w:val="1821002036"/>
        <w:rPr>
          <w:rFonts w:eastAsia="Times New Roman"/>
        </w:rPr>
      </w:pPr>
      <w:r>
        <w:rPr>
          <w:rFonts w:eastAsia="Times New Roman"/>
          <w:color w:val="000000"/>
          <w:sz w:val="18"/>
          <w:szCs w:val="18"/>
        </w:rPr>
        <w:t>(2)Includes publicly traded agency pass-through securities and collateralized obligations.</w:t>
      </w:r>
    </w:p>
    <w:p w:rsidR="00000000" w:rsidRDefault="00C56D69">
      <w:pPr>
        <w:ind w:hanging="360"/>
        <w:divId w:val="1929118192"/>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C56D69">
      <w:pPr>
        <w:ind w:hanging="360"/>
        <w:divId w:val="1678772449"/>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September 30, 2022, the fair value of such investments was $452 million.</w:t>
      </w:r>
    </w:p>
    <w:p w:rsidR="00000000" w:rsidRDefault="00C56D69">
      <w:pPr>
        <w:jc w:val="center"/>
        <w:divId w:val="564922596"/>
        <w:rPr>
          <w:rFonts w:eastAsia="Times New Roman"/>
        </w:rPr>
      </w:pPr>
    </w:p>
    <w:p w:rsidR="00000000" w:rsidRDefault="00C56D69">
      <w:pPr>
        <w:jc w:val="center"/>
        <w:divId w:val="564922596"/>
        <w:rPr>
          <w:rFonts w:eastAsia="Times New Roman"/>
        </w:rPr>
      </w:pPr>
      <w:r>
        <w:rPr>
          <w:rFonts w:eastAsia="Times New Roman"/>
          <w:color w:val="000000"/>
          <w:sz w:val="20"/>
          <w:szCs w:val="20"/>
        </w:rPr>
        <w:t>42</w:t>
      </w:r>
    </w:p>
    <w:p w:rsidR="00000000" w:rsidRDefault="00C56D69">
      <w:pPr>
        <w:rPr>
          <w:rFonts w:eastAsia="Times New Roman"/>
        </w:rPr>
      </w:pPr>
      <w:r>
        <w:rPr>
          <w:rFonts w:eastAsia="Times New Roman"/>
        </w:rPr>
        <w:pict>
          <v:rect id="_x0000_i1068" style="width:0;height:1.5pt" o:hralign="center" o:hrstd="t" o:hr="t" fillcolor="#a0a0a0" stroked="f"/>
        </w:pict>
      </w:r>
    </w:p>
    <w:p w:rsidR="00000000" w:rsidRDefault="00C56D69">
      <w:pPr>
        <w:divId w:val="3559153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739905752"/>
        <w:rPr>
          <w:rFonts w:eastAsia="Times New Roman"/>
        </w:rPr>
      </w:pPr>
      <w:r>
        <w:rPr>
          <w:rFonts w:eastAsia="Times New Roman"/>
          <w:b/>
          <w:bCs/>
          <w:color w:val="000000"/>
          <w:sz w:val="20"/>
          <w:szCs w:val="20"/>
        </w:rPr>
        <w:t>EQUITABLE HOLDINGS, INC.</w:t>
      </w:r>
    </w:p>
    <w:p w:rsidR="00000000" w:rsidRDefault="00C56D69">
      <w:pPr>
        <w:jc w:val="center"/>
        <w:divId w:val="739905752"/>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739905752"/>
        <w:rPr>
          <w:rFonts w:eastAsia="Times New Roman"/>
        </w:rPr>
      </w:pPr>
    </w:p>
    <w:p w:rsidR="00000000" w:rsidRDefault="00C56D69">
      <w:pPr>
        <w:ind w:hanging="360"/>
        <w:divId w:val="948662148"/>
        <w:rPr>
          <w:rFonts w:eastAsia="Times New Roman"/>
        </w:rPr>
      </w:pPr>
      <w:r>
        <w:rPr>
          <w:rFonts w:eastAsia="Times New Roman"/>
          <w:color w:val="000000"/>
          <w:sz w:val="18"/>
          <w:szCs w:val="18"/>
        </w:rPr>
        <w:t>(5)Includes CLO short-term debt of $248 million, which is inclusive as fair valued within Notes issued by consolidated VIE’s, at fair value using the fair value option. Accrued interest pa</w:t>
      </w:r>
      <w:r>
        <w:rPr>
          <w:rFonts w:eastAsia="Times New Roman"/>
          <w:color w:val="000000"/>
          <w:sz w:val="18"/>
          <w:szCs w:val="18"/>
        </w:rPr>
        <w:t>yable of $15 million is reported in Notes issued by consolidated VIE’s, at fair value using the fair value option in the consolidated balance sheets, which is not required to be measured at fair value on a recurring basis.</w:t>
      </w:r>
    </w:p>
    <w:p w:rsidR="00000000" w:rsidRDefault="00C56D69">
      <w:pPr>
        <w:ind w:hanging="360"/>
        <w:divId w:val="1221483450"/>
        <w:rPr>
          <w:rFonts w:eastAsia="Times New Roman"/>
        </w:rPr>
      </w:pPr>
      <w:r>
        <w:rPr>
          <w:rFonts w:eastAsia="Times New Roman"/>
          <w:color w:val="000000"/>
          <w:sz w:val="18"/>
          <w:szCs w:val="18"/>
        </w:rPr>
        <w:t>(6)This represents GMIB NLG ceded</w:t>
      </w:r>
      <w:r>
        <w:rPr>
          <w:rFonts w:eastAsia="Times New Roman"/>
          <w:color w:val="000000"/>
          <w:sz w:val="18"/>
          <w:szCs w:val="18"/>
        </w:rPr>
        <w:t xml:space="preserve"> reserves related to the Venerable Transaction. See Note 1 of the Notes to these Consolidated Financial Statements for details of the Venerable Transaction.</w:t>
      </w:r>
    </w:p>
    <w:p w:rsidR="00000000" w:rsidRDefault="00C56D69">
      <w:pPr>
        <w:ind w:hanging="360"/>
        <w:divId w:val="190651376"/>
        <w:rPr>
          <w:rFonts w:eastAsia="Times New Roman"/>
        </w:rPr>
      </w:pPr>
      <w:r>
        <w:rPr>
          <w:rFonts w:eastAsia="Times New Roman"/>
          <w:color w:val="000000"/>
          <w:sz w:val="18"/>
          <w:szCs w:val="18"/>
        </w:rPr>
        <w:t>(7)Includes short position equity securities of $23 million that are reported in other liabilities.</w:t>
      </w:r>
    </w:p>
    <w:p w:rsidR="00000000" w:rsidRDefault="00C56D69">
      <w:pPr>
        <w:jc w:val="center"/>
        <w:rPr>
          <w:rFonts w:eastAsia="Times New Roman"/>
        </w:rPr>
      </w:pPr>
      <w:r>
        <w:rPr>
          <w:rFonts w:eastAsia="Times New Roman"/>
          <w:color w:val="000000"/>
          <w:sz w:val="20"/>
          <w:szCs w:val="20"/>
        </w:rPr>
        <w:t xml:space="preserve">Fair Value Measurements as of December 31, 2021 </w:t>
      </w:r>
    </w:p>
    <w:p w:rsidR="00000000" w:rsidRDefault="00C56D69">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226647882"/>
        </w:trPr>
        <w:tc>
          <w:tcPr>
            <w:tcW w:w="50" w:type="pct"/>
            <w:vAlign w:val="center"/>
            <w:hideMark/>
          </w:tcPr>
          <w:p w:rsidR="00000000" w:rsidRDefault="00C56D69">
            <w:pPr>
              <w:jc w:val="center"/>
              <w:rPr>
                <w:rFonts w:eastAsia="Times New Roman"/>
              </w:rPr>
            </w:pPr>
          </w:p>
        </w:tc>
        <w:tc>
          <w:tcPr>
            <w:tcW w:w="237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Total</w:t>
            </w:r>
          </w:p>
        </w:tc>
      </w:tr>
      <w:tr w:rsidR="00000000">
        <w:trPr>
          <w:divId w:val="226647882"/>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(in millions)</w:t>
            </w:r>
          </w:p>
        </w:tc>
      </w:tr>
      <w:tr w:rsidR="00000000">
        <w:trPr>
          <w:divId w:val="226647882"/>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232079893"/>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51,007 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52,511 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247661595"/>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469784233"/>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096293280"/>
              <w:rPr>
                <w:rFonts w:eastAsia="Times New Roman"/>
              </w:rPr>
            </w:pPr>
            <w:r>
              <w:rPr>
                <w:rFonts w:eastAsia="Times New Roman"/>
                <w:color w:val="000000"/>
                <w:sz w:val="20"/>
                <w:szCs w:val="20"/>
              </w:rPr>
              <w:t>Commercial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2,401 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76,649 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78,216 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Fixed maturities, at fair value using the fair value option</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41755071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3,275 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3,568 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Amounts due from reinsurer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38821454"/>
              <w:rPr>
                <w:rFonts w:eastAsia="Times New Roman"/>
              </w:rPr>
            </w:pPr>
            <w:r>
              <w:rPr>
                <w:rFonts w:eastAsia="Times New Roman"/>
                <w:color w:val="000000"/>
                <w:sz w:val="20"/>
                <w:szCs w:val="20"/>
              </w:rPr>
              <w:t>Separate Accounts assets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144,124 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146,697 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148,226 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9,511 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247,843 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2078743080"/>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26647882"/>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16,631 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729769462"/>
        <w:rPr>
          <w:rFonts w:eastAsia="Times New Roman"/>
        </w:rPr>
      </w:pPr>
      <w:r>
        <w:rPr>
          <w:rFonts w:eastAsia="Times New Roman"/>
          <w:color w:val="000000"/>
          <w:sz w:val="18"/>
          <w:szCs w:val="18"/>
        </w:rPr>
        <w:t>______________</w:t>
      </w:r>
    </w:p>
    <w:p w:rsidR="00000000" w:rsidRDefault="00C56D69">
      <w:pPr>
        <w:jc w:val="center"/>
        <w:divId w:val="941376359"/>
        <w:rPr>
          <w:rFonts w:eastAsia="Times New Roman"/>
        </w:rPr>
      </w:pPr>
    </w:p>
    <w:p w:rsidR="00000000" w:rsidRDefault="00C56D69">
      <w:pPr>
        <w:jc w:val="center"/>
        <w:divId w:val="941376359"/>
        <w:rPr>
          <w:rFonts w:eastAsia="Times New Roman"/>
        </w:rPr>
      </w:pPr>
      <w:r>
        <w:rPr>
          <w:rFonts w:eastAsia="Times New Roman"/>
          <w:color w:val="000000"/>
          <w:sz w:val="20"/>
          <w:szCs w:val="20"/>
        </w:rPr>
        <w:t>43</w:t>
      </w:r>
    </w:p>
    <w:p w:rsidR="00000000" w:rsidRDefault="00C56D69">
      <w:pPr>
        <w:rPr>
          <w:rFonts w:eastAsia="Times New Roman"/>
        </w:rPr>
      </w:pPr>
      <w:r>
        <w:rPr>
          <w:rFonts w:eastAsia="Times New Roman"/>
        </w:rPr>
        <w:pict>
          <v:rect id="_x0000_i1069" style="width:0;height:1.5pt" o:hralign="center" o:hrstd="t" o:hr="t" fillcolor="#a0a0a0" stroked="f"/>
        </w:pict>
      </w:r>
    </w:p>
    <w:p w:rsidR="00000000" w:rsidRDefault="00C56D69">
      <w:pPr>
        <w:divId w:val="49476191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789349295"/>
        <w:rPr>
          <w:rFonts w:eastAsia="Times New Roman"/>
        </w:rPr>
      </w:pPr>
      <w:r>
        <w:rPr>
          <w:rFonts w:eastAsia="Times New Roman"/>
          <w:b/>
          <w:bCs/>
          <w:color w:val="000000"/>
          <w:sz w:val="20"/>
          <w:szCs w:val="20"/>
        </w:rPr>
        <w:t>EQUITABLE HOLDINGS, INC.</w:t>
      </w:r>
    </w:p>
    <w:p w:rsidR="00000000" w:rsidRDefault="00C56D69">
      <w:pPr>
        <w:jc w:val="center"/>
        <w:divId w:val="178934929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789349295"/>
        <w:rPr>
          <w:rFonts w:eastAsia="Times New Roman"/>
        </w:rPr>
      </w:pPr>
    </w:p>
    <w:p w:rsidR="00000000" w:rsidRDefault="00C56D69">
      <w:pPr>
        <w:ind w:hanging="360"/>
        <w:divId w:val="1294210701"/>
        <w:rPr>
          <w:rFonts w:eastAsia="Times New Roman"/>
        </w:rPr>
      </w:pPr>
      <w:r>
        <w:rPr>
          <w:rFonts w:eastAsia="Times New Roman"/>
          <w:color w:val="000000"/>
          <w:sz w:val="18"/>
          <w:szCs w:val="18"/>
        </w:rPr>
        <w:t>(1)</w:t>
      </w:r>
      <w:r>
        <w:rPr>
          <w:rFonts w:eastAsia="Times New Roman"/>
          <w:color w:val="000000"/>
          <w:sz w:val="18"/>
          <w:szCs w:val="18"/>
        </w:rPr>
        <w:t>Corporate fixed maturities includes both public and private issues.</w:t>
      </w:r>
    </w:p>
    <w:p w:rsidR="00000000" w:rsidRDefault="00C56D69">
      <w:pPr>
        <w:ind w:hanging="360"/>
        <w:divId w:val="615717505"/>
        <w:rPr>
          <w:rFonts w:eastAsia="Times New Roman"/>
        </w:rPr>
      </w:pPr>
      <w:r>
        <w:rPr>
          <w:rFonts w:eastAsia="Times New Roman"/>
          <w:color w:val="000000"/>
          <w:sz w:val="18"/>
          <w:szCs w:val="18"/>
        </w:rPr>
        <w:t>(2)Includes publicly traded agency pass-through securities and collateralized obligations.</w:t>
      </w:r>
    </w:p>
    <w:p w:rsidR="00000000" w:rsidRDefault="00C56D69">
      <w:pPr>
        <w:ind w:hanging="360"/>
        <w:divId w:val="1682001308"/>
        <w:rPr>
          <w:rFonts w:eastAsia="Times New Roman"/>
        </w:rPr>
      </w:pPr>
      <w:r>
        <w:rPr>
          <w:rFonts w:eastAsia="Times New Roman"/>
          <w:color w:val="000000"/>
          <w:sz w:val="18"/>
          <w:szCs w:val="18"/>
        </w:rPr>
        <w:t>(3)Includes credit-tranched securities collateralized by sub-prime mortgages and other asset type</w:t>
      </w:r>
      <w:r>
        <w:rPr>
          <w:rFonts w:eastAsia="Times New Roman"/>
          <w:color w:val="000000"/>
          <w:sz w:val="18"/>
          <w:szCs w:val="18"/>
        </w:rPr>
        <w:t>s and credit tenant loans.</w:t>
      </w:r>
    </w:p>
    <w:p w:rsidR="00000000" w:rsidRDefault="00C56D69">
      <w:pPr>
        <w:ind w:hanging="360"/>
        <w:divId w:val="1883862476"/>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and commercial mortgages. As of December 31, 2021, the fair value of such investments was $404 million.</w:t>
      </w:r>
    </w:p>
    <w:p w:rsidR="00000000" w:rsidRDefault="00C56D69">
      <w:pPr>
        <w:ind w:hanging="360"/>
        <w:divId w:val="838009479"/>
        <w:rPr>
          <w:rFonts w:eastAsia="Times New Roman"/>
        </w:rPr>
      </w:pPr>
      <w:r>
        <w:rPr>
          <w:rFonts w:eastAsia="Times New Roman"/>
          <w:color w:val="000000"/>
          <w:sz w:val="18"/>
          <w:szCs w:val="18"/>
        </w:rPr>
        <w:t>(5)Includes CLO short-term debt of $92 million, which is inclusive as fair valued within Notes issued by consolidated VIE’s, at fair value using the</w:t>
      </w:r>
      <w:r>
        <w:rPr>
          <w:rFonts w:eastAsia="Times New Roman"/>
          <w:color w:val="000000"/>
          <w:sz w:val="18"/>
          <w:szCs w:val="18"/>
        </w:rPr>
        <w:t xml:space="preserve"> fair value option Accrued interest payable of $6 million is reported in Notes issued by consolidated VIE’s, at fair value using the fair value option in the consolidated balance sheets, which is not required to be measured at fair value on a recurring bas</w:t>
      </w:r>
      <w:r>
        <w:rPr>
          <w:rFonts w:eastAsia="Times New Roman"/>
          <w:color w:val="000000"/>
          <w:sz w:val="18"/>
          <w:szCs w:val="18"/>
        </w:rPr>
        <w:t>is.</w:t>
      </w:r>
    </w:p>
    <w:p w:rsidR="00000000" w:rsidRDefault="00C56D69">
      <w:pPr>
        <w:jc w:val="both"/>
        <w:divId w:val="1921404655"/>
        <w:rPr>
          <w:rFonts w:eastAsia="Times New Roman"/>
        </w:rPr>
      </w:pPr>
      <w:r>
        <w:rPr>
          <w:rFonts w:eastAsia="Times New Roman"/>
          <w:b/>
          <w:bCs/>
          <w:i/>
          <w:iCs/>
          <w:color w:val="000000"/>
          <w:sz w:val="20"/>
          <w:szCs w:val="20"/>
        </w:rPr>
        <w:t>Public Fixed Maturities</w:t>
      </w:r>
    </w:p>
    <w:p w:rsidR="00000000" w:rsidRDefault="00C56D69">
      <w:pPr>
        <w:divId w:val="1188056699"/>
        <w:rPr>
          <w:rFonts w:eastAsia="Times New Roman"/>
        </w:rPr>
      </w:pPr>
      <w:r>
        <w:rPr>
          <w:rFonts w:eastAsia="Times New Roman"/>
          <w:color w:val="000000"/>
          <w:sz w:val="20"/>
          <w:szCs w:val="20"/>
        </w:rPr>
        <w:t>The fair values of the Company’s public fixed maturities, including those accounted for using the fair value option are generally based on prices obtained from independent valuation service providers and for which the Company ma</w:t>
      </w:r>
      <w:r>
        <w:rPr>
          <w:rFonts w:eastAsia="Times New Roman"/>
          <w:color w:val="000000"/>
          <w:sz w:val="20"/>
          <w:szCs w:val="20"/>
        </w:rPr>
        <w:t>intains a vendor hierarchy by asset type based on historical pricing experience and vendor expertise. Although each security generally is priced by multiple independent valuation service providers, the Company ultimately uses the price received from the in</w:t>
      </w:r>
      <w:r>
        <w:rPr>
          <w:rFonts w:eastAsia="Times New Roman"/>
          <w:color w:val="000000"/>
          <w:sz w:val="20"/>
          <w:szCs w:val="20"/>
        </w:rPr>
        <w:t>dependent valuation service provider highest in the vendor hierarchy based on the respective asset type, with limited exception. To validate reasonableness, prices also are internally reviewed by those with relevant expertise through comparison with direct</w:t>
      </w:r>
      <w:r>
        <w:rPr>
          <w:rFonts w:eastAsia="Times New Roman"/>
          <w:color w:val="000000"/>
          <w:sz w:val="20"/>
          <w:szCs w:val="20"/>
        </w:rPr>
        <w:t>ly observed recent market trades. Consistent with the fair value hierarchy, public fixed maturities validated in this manner generally are reflected within Level 2, as they are primarily based on observable pricing for similar assets and/or other market ob</w:t>
      </w:r>
      <w:r>
        <w:rPr>
          <w:rFonts w:eastAsia="Times New Roman"/>
          <w:color w:val="000000"/>
          <w:sz w:val="20"/>
          <w:szCs w:val="20"/>
        </w:rPr>
        <w:t xml:space="preserve">servable inputs. </w:t>
      </w:r>
    </w:p>
    <w:p w:rsidR="00000000" w:rsidRDefault="00C56D69">
      <w:pPr>
        <w:jc w:val="both"/>
        <w:divId w:val="1793329381"/>
        <w:rPr>
          <w:rFonts w:eastAsia="Times New Roman"/>
        </w:rPr>
      </w:pPr>
      <w:r>
        <w:rPr>
          <w:rFonts w:eastAsia="Times New Roman"/>
          <w:b/>
          <w:bCs/>
          <w:i/>
          <w:iCs/>
          <w:color w:val="000000"/>
          <w:sz w:val="20"/>
          <w:szCs w:val="20"/>
        </w:rPr>
        <w:t>Private Fixed Maturities</w:t>
      </w:r>
    </w:p>
    <w:p w:rsidR="00000000" w:rsidRDefault="00C56D69">
      <w:pPr>
        <w:divId w:val="1088425648"/>
        <w:rPr>
          <w:rFonts w:eastAsia="Times New Roman"/>
        </w:rPr>
      </w:pPr>
      <w:r>
        <w:rPr>
          <w:rFonts w:eastAsia="Times New Roman"/>
          <w:color w:val="000000"/>
          <w:sz w:val="20"/>
          <w:szCs w:val="20"/>
        </w:rPr>
        <w:t>The fair values of the Company’s private fixed maturities, including those accounted for using the fair value option are determined from prices obtained from independent valuation service providers. Prices not obt</w:t>
      </w:r>
      <w:r>
        <w:rPr>
          <w:rFonts w:eastAsia="Times New Roman"/>
          <w:color w:val="000000"/>
          <w:sz w:val="20"/>
          <w:szCs w:val="20"/>
        </w:rPr>
        <w:t>ained from an independent valuation service provider are determined by using a discounted cash flow model or a market comparable company valuation technique. In certain cases, these models use observable inputs with a discount rate based upon the average o</w:t>
      </w:r>
      <w:r>
        <w:rPr>
          <w:rFonts w:eastAsia="Times New Roman"/>
          <w:color w:val="000000"/>
          <w:sz w:val="20"/>
          <w:szCs w:val="20"/>
        </w:rPr>
        <w:t>f spread surveys collected from private market intermediaries who are active in both primary and secondary transactions, taking into account, among other factors, the credit quality and industry sector of the issuer and the reduced liquidity associated wit</w:t>
      </w:r>
      <w:r>
        <w:rPr>
          <w:rFonts w:eastAsia="Times New Roman"/>
          <w:color w:val="000000"/>
          <w:sz w:val="20"/>
          <w:szCs w:val="20"/>
        </w:rPr>
        <w:t>h private placements. Generally, these securities have been reflected within Level 2. For certain private fixed maturities, the discounted cash flow model or a market comparable company valuation technique may also incorporate unobservable inputs, which re</w:t>
      </w:r>
      <w:r>
        <w:rPr>
          <w:rFonts w:eastAsia="Times New Roman"/>
          <w:color w:val="000000"/>
          <w:sz w:val="20"/>
          <w:szCs w:val="20"/>
        </w:rPr>
        <w:t>flect the Company’s own assumptions about the inputs market participants would use in pricing the asset. To the extent management determines that such unobservable inputs are significant to the fair value measurement of a security, a Level 3 classification</w:t>
      </w:r>
      <w:r>
        <w:rPr>
          <w:rFonts w:eastAsia="Times New Roman"/>
          <w:color w:val="000000"/>
          <w:sz w:val="20"/>
          <w:szCs w:val="20"/>
        </w:rPr>
        <w:t xml:space="preserve"> generally is made.</w:t>
      </w:r>
    </w:p>
    <w:p w:rsidR="00000000" w:rsidRDefault="00C56D69">
      <w:pPr>
        <w:jc w:val="both"/>
        <w:divId w:val="2146848063"/>
        <w:rPr>
          <w:rFonts w:eastAsia="Times New Roman"/>
        </w:rPr>
      </w:pPr>
      <w:r>
        <w:rPr>
          <w:rFonts w:eastAsia="Times New Roman"/>
          <w:b/>
          <w:bCs/>
          <w:i/>
          <w:iCs/>
          <w:color w:val="000000"/>
          <w:sz w:val="20"/>
          <w:szCs w:val="20"/>
        </w:rPr>
        <w:t>Notes issued by consolidated VIE’s, at fair value using the fair value option</w:t>
      </w:r>
    </w:p>
    <w:p w:rsidR="00000000" w:rsidRDefault="00C56D69">
      <w:pPr>
        <w:divId w:val="2059475058"/>
        <w:rPr>
          <w:rFonts w:eastAsia="Times New Roman"/>
        </w:rPr>
      </w:pPr>
      <w:r>
        <w:rPr>
          <w:rFonts w:eastAsia="Times New Roman"/>
          <w:color w:val="000000"/>
          <w:sz w:val="20"/>
          <w:szCs w:val="20"/>
        </w:rPr>
        <w:t xml:space="preserve">These notes are based on the fair values of corresponding fixed maturity collateral. The CLO liabilities are also reduced by the fair value of the beneficial </w:t>
      </w:r>
      <w:r>
        <w:rPr>
          <w:rFonts w:eastAsia="Times New Roman"/>
          <w:color w:val="000000"/>
          <w:sz w:val="20"/>
          <w:szCs w:val="20"/>
        </w:rPr>
        <w:t>interests the Company retains in the CLO and the carrying value of any beneficial interests that represent compensation for services. As the notes are valued based on the reference collateral, they are classified as Level 2 or 3. See “Fair Value Option” be</w:t>
      </w:r>
      <w:r>
        <w:rPr>
          <w:rFonts w:eastAsia="Times New Roman"/>
          <w:color w:val="000000"/>
          <w:sz w:val="20"/>
          <w:szCs w:val="20"/>
        </w:rPr>
        <w:t>low for additional information.</w:t>
      </w:r>
    </w:p>
    <w:p w:rsidR="00000000" w:rsidRDefault="00C56D69">
      <w:pPr>
        <w:jc w:val="both"/>
        <w:divId w:val="1711110183"/>
        <w:rPr>
          <w:rFonts w:eastAsia="Times New Roman"/>
        </w:rPr>
      </w:pPr>
      <w:r>
        <w:rPr>
          <w:rFonts w:eastAsia="Times New Roman"/>
          <w:b/>
          <w:bCs/>
          <w:i/>
          <w:iCs/>
          <w:color w:val="000000"/>
          <w:sz w:val="20"/>
          <w:szCs w:val="20"/>
        </w:rPr>
        <w:t>Freestanding Derivative Positions</w:t>
      </w:r>
    </w:p>
    <w:p w:rsidR="00000000" w:rsidRDefault="00C56D69">
      <w:pPr>
        <w:divId w:val="777601269"/>
        <w:rPr>
          <w:rFonts w:eastAsia="Times New Roman"/>
        </w:rPr>
      </w:pPr>
      <w:r>
        <w:rPr>
          <w:rFonts w:eastAsia="Times New Roman"/>
          <w:color w:val="000000"/>
          <w:sz w:val="20"/>
          <w:szCs w:val="20"/>
        </w:rPr>
        <w:t>The net fair value of the Company’s freestanding derivative positions as disclosed in Note 4 of the Notes to these Consolidated Financial Statements are generally based on prices obtained ei</w:t>
      </w:r>
      <w:r>
        <w:rPr>
          <w:rFonts w:eastAsia="Times New Roman"/>
          <w:color w:val="000000"/>
          <w:sz w:val="20"/>
          <w:szCs w:val="20"/>
        </w:rPr>
        <w:t>ther from independent valuation service providers or derived by applying market inputs from recognized vendors into industry standard pricing models. The majority of these derivative contracts are traded in the OTC derivative market and are classified in L</w:t>
      </w:r>
      <w:r>
        <w:rPr>
          <w:rFonts w:eastAsia="Times New Roman"/>
          <w:color w:val="000000"/>
          <w:sz w:val="20"/>
          <w:szCs w:val="20"/>
        </w:rPr>
        <w:t>evel 2. The fair values of derivative assets and liabilities traded in the OTC market are determined using quantitative models that require use of the contractual terms of the derivative instruments and multiple market inputs, including interest rates, pri</w:t>
      </w:r>
      <w:r>
        <w:rPr>
          <w:rFonts w:eastAsia="Times New Roman"/>
          <w:color w:val="000000"/>
          <w:sz w:val="20"/>
          <w:szCs w:val="20"/>
        </w:rPr>
        <w:t>ces, and indices to generate continuous yield or pricing curves, including overnight index swap curves, and volatility factors, which then are applied to value the positions. The predominance of market inputs is actively quoted and can be validated through</w:t>
      </w:r>
      <w:r>
        <w:rPr>
          <w:rFonts w:eastAsia="Times New Roman"/>
          <w:color w:val="000000"/>
          <w:sz w:val="20"/>
          <w:szCs w:val="20"/>
        </w:rPr>
        <w:t xml:space="preserve"> external sources or reliably interpolated if less observable.</w:t>
      </w:r>
    </w:p>
    <w:p w:rsidR="00000000" w:rsidRDefault="00C56D69">
      <w:pPr>
        <w:divId w:val="519516788"/>
        <w:rPr>
          <w:rFonts w:eastAsia="Times New Roman"/>
        </w:rPr>
      </w:pPr>
      <w:r>
        <w:rPr>
          <w:rFonts w:eastAsia="Times New Roman"/>
          <w:color w:val="000000"/>
          <w:sz w:val="20"/>
          <w:szCs w:val="20"/>
          <w:u w:val="single"/>
        </w:rPr>
        <w:t>Level Classifications of the Company’s Financial Instruments</w:t>
      </w:r>
    </w:p>
    <w:p w:rsidR="00000000" w:rsidRDefault="00C56D69">
      <w:pPr>
        <w:jc w:val="both"/>
        <w:divId w:val="669412688"/>
        <w:rPr>
          <w:rFonts w:eastAsia="Times New Roman"/>
        </w:rPr>
      </w:pPr>
      <w:r>
        <w:rPr>
          <w:rFonts w:eastAsia="Times New Roman"/>
          <w:b/>
          <w:bCs/>
          <w:i/>
          <w:iCs/>
          <w:color w:val="000000"/>
          <w:sz w:val="20"/>
          <w:szCs w:val="20"/>
        </w:rPr>
        <w:t>Financial Instruments Classified as Level 1</w:t>
      </w:r>
    </w:p>
    <w:p w:rsidR="00000000" w:rsidRDefault="00C56D69">
      <w:pPr>
        <w:divId w:val="1265645995"/>
        <w:rPr>
          <w:rFonts w:eastAsia="Times New Roman"/>
        </w:rPr>
      </w:pPr>
      <w:r>
        <w:rPr>
          <w:rFonts w:eastAsia="Times New Roman"/>
          <w:color w:val="000000"/>
          <w:sz w:val="20"/>
          <w:szCs w:val="20"/>
        </w:rPr>
        <w:t xml:space="preserve">Investments classified as Level 1 primarily include redeemable preferred stock, trading </w:t>
      </w:r>
      <w:r>
        <w:rPr>
          <w:rFonts w:eastAsia="Times New Roman"/>
          <w:color w:val="000000"/>
          <w:sz w:val="20"/>
          <w:szCs w:val="20"/>
        </w:rPr>
        <w:t xml:space="preserve">securities, cash equivalents and Separate Accounts assets. Fair value measurements classified as Level 1 include exchange-traded prices of fixed maturities, equity securities and derivative contracts, and net asset values for transacting subscriptions and </w:t>
      </w:r>
      <w:r>
        <w:rPr>
          <w:rFonts w:eastAsia="Times New Roman"/>
          <w:color w:val="000000"/>
          <w:sz w:val="20"/>
          <w:szCs w:val="20"/>
        </w:rPr>
        <w:t xml:space="preserve">redemptions </w:t>
      </w:r>
    </w:p>
    <w:p w:rsidR="00000000" w:rsidRDefault="00C56D69">
      <w:pPr>
        <w:jc w:val="center"/>
        <w:divId w:val="1543251045"/>
        <w:rPr>
          <w:rFonts w:eastAsia="Times New Roman"/>
        </w:rPr>
      </w:pPr>
    </w:p>
    <w:p w:rsidR="00000000" w:rsidRDefault="00C56D69">
      <w:pPr>
        <w:jc w:val="center"/>
        <w:divId w:val="1543251045"/>
        <w:rPr>
          <w:rFonts w:eastAsia="Times New Roman"/>
        </w:rPr>
      </w:pPr>
      <w:r>
        <w:rPr>
          <w:rFonts w:eastAsia="Times New Roman"/>
          <w:color w:val="000000"/>
          <w:sz w:val="20"/>
          <w:szCs w:val="20"/>
        </w:rPr>
        <w:t>44</w:t>
      </w:r>
    </w:p>
    <w:p w:rsidR="00000000" w:rsidRDefault="00C56D69">
      <w:pPr>
        <w:rPr>
          <w:rFonts w:eastAsia="Times New Roman"/>
        </w:rPr>
      </w:pPr>
      <w:r>
        <w:rPr>
          <w:rFonts w:eastAsia="Times New Roman"/>
        </w:rPr>
        <w:pict>
          <v:rect id="_x0000_i1070" style="width:0;height:1.5pt" o:hralign="center" o:hrstd="t" o:hr="t" fillcolor="#a0a0a0" stroked="f"/>
        </w:pict>
      </w:r>
    </w:p>
    <w:p w:rsidR="00000000" w:rsidRDefault="00C56D69">
      <w:pPr>
        <w:divId w:val="185545537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338846799"/>
        <w:rPr>
          <w:rFonts w:eastAsia="Times New Roman"/>
        </w:rPr>
      </w:pPr>
      <w:r>
        <w:rPr>
          <w:rFonts w:eastAsia="Times New Roman"/>
          <w:b/>
          <w:bCs/>
          <w:color w:val="000000"/>
          <w:sz w:val="20"/>
          <w:szCs w:val="20"/>
        </w:rPr>
        <w:t>EQUITABLE HOLDINGS, INC.</w:t>
      </w:r>
    </w:p>
    <w:p w:rsidR="00000000" w:rsidRDefault="00C56D69">
      <w:pPr>
        <w:jc w:val="center"/>
        <w:divId w:val="338846799"/>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338846799"/>
        <w:rPr>
          <w:rFonts w:eastAsia="Times New Roman"/>
        </w:rPr>
      </w:pPr>
    </w:p>
    <w:p w:rsidR="00000000" w:rsidRDefault="00C56D69">
      <w:pPr>
        <w:divId w:val="1444692099"/>
        <w:rPr>
          <w:rFonts w:eastAsia="Times New Roman"/>
        </w:rPr>
      </w:pPr>
      <w:r>
        <w:rPr>
          <w:rFonts w:eastAsia="Times New Roman"/>
          <w:color w:val="000000"/>
          <w:sz w:val="20"/>
          <w:szCs w:val="20"/>
        </w:rPr>
        <w:t>of mutual fund shares held by Separate Accounts. Cash equivalents classified as Level 1 include money market accounts, overnight commercial paper and highly liquid debt instruments purchased with an original maturity of three months or less and are carried</w:t>
      </w:r>
      <w:r>
        <w:rPr>
          <w:rFonts w:eastAsia="Times New Roman"/>
          <w:color w:val="000000"/>
          <w:sz w:val="20"/>
          <w:szCs w:val="20"/>
        </w:rPr>
        <w:t xml:space="preserve"> at cost as a proxy for fair value measurement due to their short-term nature.</w:t>
      </w:r>
    </w:p>
    <w:p w:rsidR="00000000" w:rsidRDefault="00C56D69">
      <w:pPr>
        <w:jc w:val="both"/>
        <w:divId w:val="2129427566"/>
        <w:rPr>
          <w:rFonts w:eastAsia="Times New Roman"/>
        </w:rPr>
      </w:pPr>
      <w:r>
        <w:rPr>
          <w:rFonts w:eastAsia="Times New Roman"/>
          <w:b/>
          <w:bCs/>
          <w:i/>
          <w:iCs/>
          <w:color w:val="000000"/>
          <w:sz w:val="20"/>
          <w:szCs w:val="20"/>
        </w:rPr>
        <w:t>Financial Instruments Classified as Level 2</w:t>
      </w:r>
    </w:p>
    <w:p w:rsidR="00000000" w:rsidRDefault="00C56D69">
      <w:pPr>
        <w:divId w:val="657029403"/>
        <w:rPr>
          <w:rFonts w:eastAsia="Times New Roman"/>
        </w:rPr>
      </w:pPr>
      <w:r>
        <w:rPr>
          <w:rFonts w:eastAsia="Times New Roman"/>
          <w:color w:val="000000"/>
          <w:sz w:val="20"/>
          <w:szCs w:val="20"/>
        </w:rPr>
        <w:t>Investments classified as Level 2 are measured at fair value on a recurring basis and primarily include U.S. government and agency se</w:t>
      </w:r>
      <w:r>
        <w:rPr>
          <w:rFonts w:eastAsia="Times New Roman"/>
          <w:color w:val="000000"/>
          <w:sz w:val="20"/>
          <w:szCs w:val="20"/>
        </w:rPr>
        <w:t>curities, certain corporate debt securities and financial assets and liabilities accounted for using the fair value option, such as public and private fixed maturities. As market quotes generally are not readily available or accessible for these securities</w:t>
      </w:r>
      <w:r>
        <w:rPr>
          <w:rFonts w:eastAsia="Times New Roman"/>
          <w:color w:val="000000"/>
          <w:sz w:val="20"/>
          <w:szCs w:val="20"/>
        </w:rPr>
        <w:t>, their fair value measures are determined utilizing relevant information generated by market transactions involving comparable securities and often are based on model pricing techniques that effectively discount prospective cash flows to present value usi</w:t>
      </w:r>
      <w:r>
        <w:rPr>
          <w:rFonts w:eastAsia="Times New Roman"/>
          <w:color w:val="000000"/>
          <w:sz w:val="20"/>
          <w:szCs w:val="20"/>
        </w:rPr>
        <w:t xml:space="preserve">ng appropriate sector-adjusted credit spreads commensurate with the security’s duration, also taking into consideration issuer-specific credit quality and liquidity. Segregated securities classified as Level 2 are U.S. Treasury bills segregated by AB in a </w:t>
      </w:r>
      <w:r>
        <w:rPr>
          <w:rFonts w:eastAsia="Times New Roman"/>
          <w:color w:val="000000"/>
          <w:sz w:val="20"/>
          <w:szCs w:val="20"/>
        </w:rPr>
        <w:t>special reserve bank custody account for the exclusive benefit of brokerage customers, as required by Rule 15c3-3 of the Exchange Act and for which fair values are based on quoted yields in secondary markets.</w:t>
      </w:r>
    </w:p>
    <w:p w:rsidR="00000000" w:rsidRDefault="00C56D69">
      <w:pPr>
        <w:divId w:val="447505447"/>
        <w:rPr>
          <w:rFonts w:eastAsia="Times New Roman"/>
        </w:rPr>
      </w:pPr>
      <w:r>
        <w:rPr>
          <w:rFonts w:eastAsia="Times New Roman"/>
          <w:color w:val="000000"/>
          <w:sz w:val="20"/>
          <w:szCs w:val="20"/>
        </w:rPr>
        <w:t>Observable inputs generally used to measure the</w:t>
      </w:r>
      <w:r>
        <w:rPr>
          <w:rFonts w:eastAsia="Times New Roman"/>
          <w:color w:val="000000"/>
          <w:sz w:val="20"/>
          <w:szCs w:val="20"/>
        </w:rPr>
        <w:t xml:space="preserve"> fair value of securities classified as Level 2 include benchmark yields, reported secondary trades, issuer spreads, benchmark securities and other reference data. Additional observable inputs are used when available, and as may be appropriate, for certain</w:t>
      </w:r>
      <w:r>
        <w:rPr>
          <w:rFonts w:eastAsia="Times New Roman"/>
          <w:color w:val="000000"/>
          <w:sz w:val="20"/>
          <w:szCs w:val="20"/>
        </w:rPr>
        <w:t xml:space="preserve"> security types, such as prepayment, default, and collateral information for the purpose of measuring the fair value of mortgage- and asset-backed securities. The Company’s AAA-rated mortgage- and asset-backed securities are classified as Level 2 for which</w:t>
      </w:r>
      <w:r>
        <w:rPr>
          <w:rFonts w:eastAsia="Times New Roman"/>
          <w:color w:val="000000"/>
          <w:sz w:val="20"/>
          <w:szCs w:val="20"/>
        </w:rPr>
        <w:t xml:space="preserve"> the observability of market inputs to their pricing models is supported by sufficient, albeit more recently contracted, market activity in these sectors.</w:t>
      </w:r>
    </w:p>
    <w:p w:rsidR="00000000" w:rsidRDefault="00C56D69">
      <w:pPr>
        <w:divId w:val="1641032502"/>
        <w:rPr>
          <w:rFonts w:eastAsia="Times New Roman"/>
        </w:rPr>
      </w:pPr>
      <w:r>
        <w:rPr>
          <w:rFonts w:eastAsia="Times New Roman"/>
          <w:color w:val="000000"/>
          <w:sz w:val="20"/>
          <w:szCs w:val="20"/>
        </w:rPr>
        <w:t xml:space="preserve">Certain Company products, such as the SCS, EQUI-VEST variable annuity products, IUL and the MSO fund </w:t>
      </w:r>
      <w:r>
        <w:rPr>
          <w:rFonts w:eastAsia="Times New Roman"/>
          <w:color w:val="000000"/>
          <w:sz w:val="20"/>
          <w:szCs w:val="20"/>
        </w:rPr>
        <w:t>available in some life contracts, offer investment options which permit the contract owner to participate in the performance of an index, ETF or commodity price. These investment options, which depending on the product and on the index selected, can curren</w:t>
      </w:r>
      <w:r>
        <w:rPr>
          <w:rFonts w:eastAsia="Times New Roman"/>
          <w:color w:val="000000"/>
          <w:sz w:val="20"/>
          <w:szCs w:val="20"/>
        </w:rPr>
        <w:t>tly have one, three, five or six year terms, provide for participation in the performance of specified indices, ETF or commodity price movement up to a segment-specific declared maximum rate. Under certain conditions that vary by product, e.g., holding the</w:t>
      </w:r>
      <w:r>
        <w:rPr>
          <w:rFonts w:eastAsia="Times New Roman"/>
          <w:color w:val="000000"/>
          <w:sz w:val="20"/>
          <w:szCs w:val="20"/>
        </w:rPr>
        <w:t>se segments for the full term, these segments also shield policyholders from some or all negative investment performance associated with these indices, ETF or commodity prices. These investment options have defined formulaic liability amounts, and the curr</w:t>
      </w:r>
      <w:r>
        <w:rPr>
          <w:rFonts w:eastAsia="Times New Roman"/>
          <w:color w:val="000000"/>
          <w:sz w:val="20"/>
          <w:szCs w:val="20"/>
        </w:rPr>
        <w:t>ent values of the option component of these segment reserves are classified as Level 2 embedded derivatives. The fair values of these embedded derivatives are based on data obtained from independent valuation service providers.</w:t>
      </w:r>
    </w:p>
    <w:p w:rsidR="00000000" w:rsidRDefault="00C56D69">
      <w:pPr>
        <w:jc w:val="both"/>
        <w:divId w:val="1293054694"/>
        <w:rPr>
          <w:rFonts w:eastAsia="Times New Roman"/>
        </w:rPr>
      </w:pPr>
      <w:r>
        <w:rPr>
          <w:rFonts w:eastAsia="Times New Roman"/>
          <w:b/>
          <w:bCs/>
          <w:i/>
          <w:iCs/>
          <w:color w:val="000000"/>
          <w:sz w:val="20"/>
          <w:szCs w:val="20"/>
        </w:rPr>
        <w:t>Financial Instruments Classi</w:t>
      </w:r>
      <w:r>
        <w:rPr>
          <w:rFonts w:eastAsia="Times New Roman"/>
          <w:b/>
          <w:bCs/>
          <w:i/>
          <w:iCs/>
          <w:color w:val="000000"/>
          <w:sz w:val="20"/>
          <w:szCs w:val="20"/>
        </w:rPr>
        <w:t>fied as Level 3</w:t>
      </w:r>
    </w:p>
    <w:p w:rsidR="00000000" w:rsidRDefault="00C56D69">
      <w:pPr>
        <w:divId w:val="258948075"/>
        <w:rPr>
          <w:rFonts w:eastAsia="Times New Roman"/>
        </w:rPr>
      </w:pPr>
      <w:r>
        <w:rPr>
          <w:rFonts w:eastAsia="Times New Roman"/>
          <w:color w:val="000000"/>
          <w:sz w:val="20"/>
          <w:szCs w:val="20"/>
        </w:rPr>
        <w:t>The Company’</w:t>
      </w:r>
      <w:r>
        <w:rPr>
          <w:rFonts w:eastAsia="Times New Roman"/>
          <w:color w:val="000000"/>
          <w:sz w:val="20"/>
          <w:szCs w:val="20"/>
        </w:rPr>
        <w:t>s investments classified as Level 3 primarily include corporate debt securities and financial assets and liabilities accounted for using the fair value option, such as private fixed maturities and asset-backed securities. Determinations to classify fair va</w:t>
      </w:r>
      <w:r>
        <w:rPr>
          <w:rFonts w:eastAsia="Times New Roman"/>
          <w:color w:val="000000"/>
          <w:sz w:val="20"/>
          <w:szCs w:val="20"/>
        </w:rPr>
        <w:t>lue measures within Level 3 of the valuation hierarchy generally are based upon the significance of the unobservable factors to the overall fair value measurement. Included in the Level 3 classification are fixed maturities with indicative pricing obtained</w:t>
      </w:r>
      <w:r>
        <w:rPr>
          <w:rFonts w:eastAsia="Times New Roman"/>
          <w:color w:val="000000"/>
          <w:sz w:val="20"/>
          <w:szCs w:val="20"/>
        </w:rPr>
        <w:t xml:space="preserve"> from brokers that otherwise could not be corroborated to market observable data.</w:t>
      </w:r>
    </w:p>
    <w:p w:rsidR="00000000" w:rsidRDefault="00C56D69">
      <w:pPr>
        <w:divId w:val="1047149181"/>
        <w:rPr>
          <w:rFonts w:eastAsia="Times New Roman"/>
        </w:rPr>
      </w:pPr>
      <w:r>
        <w:rPr>
          <w:rFonts w:eastAsia="Times New Roman"/>
          <w:color w:val="000000"/>
          <w:sz w:val="20"/>
          <w:szCs w:val="20"/>
        </w:rPr>
        <w:t>The Company also issues certain benefits on its variable annuity products that are accounted for as derivatives and are also considered Level 3. The GMIB NLG feature allows t</w:t>
      </w:r>
      <w:r>
        <w:rPr>
          <w:rFonts w:eastAsia="Times New Roman"/>
          <w:color w:val="000000"/>
          <w:sz w:val="20"/>
          <w:szCs w:val="20"/>
        </w:rPr>
        <w:t>he policyholder to receive guaranteed minimum lifetime annuity payments based on predetermined annuity purchase rates applied to the contract’s benefit base if and when the contract account value is depleted and the NLG feature is activated. The GMWB featu</w:t>
      </w:r>
      <w:r>
        <w:rPr>
          <w:rFonts w:eastAsia="Times New Roman"/>
          <w:color w:val="000000"/>
          <w:sz w:val="20"/>
          <w:szCs w:val="20"/>
        </w:rPr>
        <w:t>re allows the policyholder to withdraw at minimum, over the life of the contract, an amount based on the contract’s benefit base. The GWBL feature allows the policyholder to withdraw, each year for the life of the contract, a specified annual percentage of</w:t>
      </w:r>
      <w:r>
        <w:rPr>
          <w:rFonts w:eastAsia="Times New Roman"/>
          <w:color w:val="000000"/>
          <w:sz w:val="20"/>
          <w:szCs w:val="20"/>
        </w:rPr>
        <w:t xml:space="preserve"> an amount based on the contract’s benefit base. The GMAB feature increases the contract account value at the end of a specified period to a GMAB base. The GIB feature provides a lifetime annuity based on predetermined annuity purchase rates if and when th</w:t>
      </w:r>
      <w:r>
        <w:rPr>
          <w:rFonts w:eastAsia="Times New Roman"/>
          <w:color w:val="000000"/>
          <w:sz w:val="20"/>
          <w:szCs w:val="20"/>
        </w:rPr>
        <w:t>e contract account value is depleted. This lifetime annuity is based on predetermined annuity purchase rates applied to a GIB base.</w:t>
      </w:r>
    </w:p>
    <w:p w:rsidR="00000000" w:rsidRDefault="00C56D69">
      <w:pPr>
        <w:divId w:val="1612853699"/>
        <w:rPr>
          <w:rFonts w:eastAsia="Times New Roman"/>
        </w:rPr>
      </w:pPr>
      <w:r>
        <w:rPr>
          <w:rFonts w:eastAsia="Times New Roman"/>
          <w:color w:val="000000"/>
          <w:sz w:val="20"/>
          <w:szCs w:val="20"/>
        </w:rPr>
        <w:t>Level 3 also includes the GMIB reinsurance contract assets, which are accounted for as derivative contracts. The GMIB reinsu</w:t>
      </w:r>
      <w:r>
        <w:rPr>
          <w:rFonts w:eastAsia="Times New Roman"/>
          <w:color w:val="000000"/>
          <w:sz w:val="20"/>
          <w:szCs w:val="20"/>
        </w:rPr>
        <w:t>rance contract asset and liabilities’ fair value reflects the present value of reinsurance premiums, net of recoveries, and risk margins over a range of market consistent economic scenarios while GMxB derivative features liability reflects the present valu</w:t>
      </w:r>
      <w:r>
        <w:rPr>
          <w:rFonts w:eastAsia="Times New Roman"/>
          <w:color w:val="000000"/>
          <w:sz w:val="20"/>
          <w:szCs w:val="20"/>
        </w:rPr>
        <w:t xml:space="preserve">e of expected future payments (benefits) less fees, adjusted for risk margins and </w:t>
      </w:r>
    </w:p>
    <w:p w:rsidR="00000000" w:rsidRDefault="00C56D69">
      <w:pPr>
        <w:jc w:val="center"/>
        <w:divId w:val="194004683"/>
        <w:rPr>
          <w:rFonts w:eastAsia="Times New Roman"/>
        </w:rPr>
      </w:pPr>
    </w:p>
    <w:p w:rsidR="00000000" w:rsidRDefault="00C56D69">
      <w:pPr>
        <w:jc w:val="center"/>
        <w:divId w:val="194004683"/>
        <w:rPr>
          <w:rFonts w:eastAsia="Times New Roman"/>
        </w:rPr>
      </w:pPr>
      <w:r>
        <w:rPr>
          <w:rFonts w:eastAsia="Times New Roman"/>
          <w:color w:val="000000"/>
          <w:sz w:val="20"/>
          <w:szCs w:val="20"/>
        </w:rPr>
        <w:t>45</w:t>
      </w:r>
    </w:p>
    <w:p w:rsidR="00000000" w:rsidRDefault="00C56D69">
      <w:pPr>
        <w:rPr>
          <w:rFonts w:eastAsia="Times New Roman"/>
        </w:rPr>
      </w:pPr>
      <w:r>
        <w:rPr>
          <w:rFonts w:eastAsia="Times New Roman"/>
        </w:rPr>
        <w:pict>
          <v:rect id="_x0000_i1071" style="width:0;height:1.5pt" o:hralign="center" o:hrstd="t" o:hr="t" fillcolor="#a0a0a0" stroked="f"/>
        </w:pict>
      </w:r>
    </w:p>
    <w:p w:rsidR="00000000" w:rsidRDefault="00C56D69">
      <w:pPr>
        <w:divId w:val="163389744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49355902"/>
        <w:rPr>
          <w:rFonts w:eastAsia="Times New Roman"/>
        </w:rPr>
      </w:pPr>
      <w:r>
        <w:rPr>
          <w:rFonts w:eastAsia="Times New Roman"/>
          <w:b/>
          <w:bCs/>
          <w:color w:val="000000"/>
          <w:sz w:val="20"/>
          <w:szCs w:val="20"/>
        </w:rPr>
        <w:t>EQUITABLE HOLDINGS, INC.</w:t>
      </w:r>
    </w:p>
    <w:p w:rsidR="00000000" w:rsidRDefault="00C56D69">
      <w:pPr>
        <w:jc w:val="center"/>
        <w:divId w:val="949355902"/>
        <w:rPr>
          <w:rFonts w:eastAsia="Times New Roman"/>
        </w:rPr>
      </w:pPr>
      <w:r>
        <w:rPr>
          <w:rFonts w:eastAsia="Times New Roman"/>
          <w:b/>
          <w:bCs/>
          <w:color w:val="000000"/>
          <w:sz w:val="20"/>
          <w:szCs w:val="20"/>
        </w:rPr>
        <w:t>Notes to Consolidated Financia</w:t>
      </w:r>
      <w:r>
        <w:rPr>
          <w:rFonts w:eastAsia="Times New Roman"/>
          <w:b/>
          <w:bCs/>
          <w:color w:val="000000"/>
          <w:sz w:val="20"/>
          <w:szCs w:val="20"/>
        </w:rPr>
        <w:t>l Statements (Unaudited), Continued</w:t>
      </w:r>
    </w:p>
    <w:p w:rsidR="00000000" w:rsidRDefault="00C56D69">
      <w:pPr>
        <w:jc w:val="center"/>
        <w:divId w:val="949355902"/>
        <w:rPr>
          <w:rFonts w:eastAsia="Times New Roman"/>
        </w:rPr>
      </w:pPr>
    </w:p>
    <w:p w:rsidR="00000000" w:rsidRDefault="00C56D69">
      <w:pPr>
        <w:divId w:val="1247959632"/>
        <w:rPr>
          <w:rFonts w:eastAsia="Times New Roman"/>
        </w:rPr>
      </w:pPr>
      <w:r>
        <w:rPr>
          <w:rFonts w:eastAsia="Times New Roman"/>
          <w:color w:val="000000"/>
          <w:sz w:val="20"/>
          <w:szCs w:val="20"/>
        </w:rPr>
        <w:t>nonperformance risk, attributable to GMxB derivative features’ liability over a range of market-consistent economic scenarios. </w:t>
      </w:r>
    </w:p>
    <w:p w:rsidR="00000000" w:rsidRDefault="00C56D69">
      <w:pPr>
        <w:divId w:val="1427073525"/>
        <w:rPr>
          <w:rFonts w:eastAsia="Times New Roman"/>
        </w:rPr>
      </w:pPr>
      <w:r>
        <w:rPr>
          <w:rFonts w:eastAsia="Times New Roman"/>
          <w:color w:val="000000"/>
          <w:sz w:val="20"/>
          <w:szCs w:val="20"/>
        </w:rPr>
        <w:t>Also included are the Amounts due from Reinsurers related to the GMIB NLG product features</w:t>
      </w:r>
      <w:r>
        <w:rPr>
          <w:rFonts w:eastAsia="Times New Roman"/>
          <w:color w:val="000000"/>
          <w:sz w:val="20"/>
          <w:szCs w:val="20"/>
        </w:rPr>
        <w:t xml:space="preserve"> (GMIB NLG Reinsurance). The fair value reflects the present value of reinsurance premiums, net of recoveries, adjusted for risk margins and nonperformance risk over a range of market consistent economic scenarios.</w:t>
      </w:r>
    </w:p>
    <w:p w:rsidR="00000000" w:rsidRDefault="00C56D69">
      <w:pPr>
        <w:divId w:val="2099591370"/>
        <w:rPr>
          <w:rFonts w:eastAsia="Times New Roman"/>
        </w:rPr>
      </w:pPr>
      <w:r>
        <w:rPr>
          <w:rFonts w:eastAsia="Times New Roman"/>
          <w:color w:val="000000"/>
          <w:sz w:val="20"/>
          <w:szCs w:val="20"/>
        </w:rPr>
        <w:t>The valuations of the GMIB reinsurance co</w:t>
      </w:r>
      <w:r>
        <w:rPr>
          <w:rFonts w:eastAsia="Times New Roman"/>
          <w:color w:val="000000"/>
          <w:sz w:val="20"/>
          <w:szCs w:val="20"/>
        </w:rPr>
        <w:t>ntract asset, GMIB NLG Reinsurance and GMxB derivative features liability incorporate significant non-observable assumptions related to policyholder behavior, risk margins and equity projections of Separate Account funds. The credit risks of the counterpar</w:t>
      </w:r>
      <w:r>
        <w:rPr>
          <w:rFonts w:eastAsia="Times New Roman"/>
          <w:color w:val="000000"/>
          <w:sz w:val="20"/>
          <w:szCs w:val="20"/>
        </w:rPr>
        <w:t>ty and of the Company are considered in determining the fair values of its GMIB reinsurance contract asset, GMIB NLG Reinsurance and GMxB derivative features liability positions, respectively, after taking into account the effects of collateral arrangement</w:t>
      </w:r>
      <w:r>
        <w:rPr>
          <w:rFonts w:eastAsia="Times New Roman"/>
          <w:color w:val="000000"/>
          <w:sz w:val="20"/>
          <w:szCs w:val="20"/>
        </w:rPr>
        <w:t>s. Incremental adjustment to the U.S. Treasury curve for non-performance risk is made to the fair values of the GMIB reinsurance contract asset, GMIB NLG Reinsurance and GMIB NLG feature to reflect the claims-paying ratings of counterparties and the Compan</w:t>
      </w:r>
      <w:r>
        <w:rPr>
          <w:rFonts w:eastAsia="Times New Roman"/>
          <w:color w:val="000000"/>
          <w:sz w:val="20"/>
          <w:szCs w:val="20"/>
        </w:rPr>
        <w:t>y. Due to the unique, long duration of the GMIB NLG feature and GMIB NLG Reinsurance, risk margins were applied to the non-capital markets inputs to the GMIB NLG valuations.</w:t>
      </w:r>
    </w:p>
    <w:p w:rsidR="00000000" w:rsidRDefault="00C56D69">
      <w:pPr>
        <w:divId w:val="659236422"/>
        <w:rPr>
          <w:rFonts w:eastAsia="Times New Roman"/>
        </w:rPr>
      </w:pPr>
      <w:r>
        <w:rPr>
          <w:rFonts w:eastAsia="Times New Roman"/>
          <w:color w:val="000000"/>
          <w:sz w:val="20"/>
          <w:szCs w:val="20"/>
        </w:rPr>
        <w:t>After giving consideration to collateral arrangements, the impact to the fair valu</w:t>
      </w:r>
      <w:r>
        <w:rPr>
          <w:rFonts w:eastAsia="Times New Roman"/>
          <w:color w:val="000000"/>
          <w:sz w:val="20"/>
          <w:szCs w:val="20"/>
        </w:rPr>
        <w:t>e of its GMIB reinsurance contract asset was a decrease of $112 million and $107 million as of September 30, 2022 and December 31, 2021, respectively, to recognize incremental counterparty non-performance risk.</w:t>
      </w:r>
    </w:p>
    <w:p w:rsidR="00000000" w:rsidRDefault="00C56D69">
      <w:pPr>
        <w:divId w:val="1691445084"/>
        <w:rPr>
          <w:rFonts w:eastAsia="Times New Roman"/>
        </w:rPr>
      </w:pPr>
      <w:r>
        <w:rPr>
          <w:rFonts w:eastAsia="Times New Roman"/>
          <w:color w:val="000000"/>
          <w:sz w:val="20"/>
          <w:szCs w:val="20"/>
        </w:rPr>
        <w:t>After giving consideration to collateral arra</w:t>
      </w:r>
      <w:r>
        <w:rPr>
          <w:rFonts w:eastAsia="Times New Roman"/>
          <w:color w:val="000000"/>
          <w:sz w:val="20"/>
          <w:szCs w:val="20"/>
        </w:rPr>
        <w:t xml:space="preserve">ngements, the impact to the fair value of its Amounts due from Reinsurers was a decrease of $199 million and $210 million at September 30, 2022 and December 31, 2021 to recognize incremental counterparty non-performance risk. </w:t>
      </w:r>
    </w:p>
    <w:p w:rsidR="00000000" w:rsidRDefault="00C56D69">
      <w:pPr>
        <w:divId w:val="1436248435"/>
        <w:rPr>
          <w:rFonts w:eastAsia="Times New Roman"/>
        </w:rPr>
      </w:pPr>
      <w:r>
        <w:rPr>
          <w:rFonts w:eastAsia="Times New Roman"/>
          <w:color w:val="000000"/>
          <w:sz w:val="20"/>
          <w:szCs w:val="20"/>
        </w:rPr>
        <w:t>Lapse rates are adjusted at t</w:t>
      </w:r>
      <w:r>
        <w:rPr>
          <w:rFonts w:eastAsia="Times New Roman"/>
          <w:color w:val="000000"/>
          <w:sz w:val="20"/>
          <w:szCs w:val="20"/>
        </w:rPr>
        <w:t>he contract level based on a comparison of the actuarial calculated guaranteed values and the current policyholder account value, which include other factors such as considering surrender charges. Generally, lapse rates are assumed to be lower in periods w</w:t>
      </w:r>
      <w:r>
        <w:rPr>
          <w:rFonts w:eastAsia="Times New Roman"/>
          <w:color w:val="000000"/>
          <w:sz w:val="20"/>
          <w:szCs w:val="20"/>
        </w:rPr>
        <w:t>hen a surrender charge applies. A dynamic lapse function reduces the base lapse rate when the guaranteed amount is greater than the account value as in-the-money contracts are less likely to lapse. For valuing the embedded derivative, lapse rates vary thro</w:t>
      </w:r>
      <w:r>
        <w:rPr>
          <w:rFonts w:eastAsia="Times New Roman"/>
          <w:color w:val="000000"/>
          <w:sz w:val="20"/>
          <w:szCs w:val="20"/>
        </w:rPr>
        <w:t xml:space="preserve">ughout the period over which cash flows are projected. </w:t>
      </w:r>
    </w:p>
    <w:p w:rsidR="00000000" w:rsidRDefault="00C56D69">
      <w:pPr>
        <w:divId w:val="91972797"/>
        <w:rPr>
          <w:rFonts w:eastAsia="Times New Roman"/>
        </w:rPr>
      </w:pPr>
      <w:r>
        <w:rPr>
          <w:rFonts w:eastAsia="Times New Roman"/>
          <w:color w:val="000000"/>
          <w:sz w:val="20"/>
          <w:szCs w:val="20"/>
        </w:rPr>
        <w:t>The Company’s Level 3 liabilities include contingent payment arrangements associated with acquisitions in 2016 and 2019 by AB. At each reporting date, AB estimates the fair values of the contingent co</w:t>
      </w:r>
      <w:r>
        <w:rPr>
          <w:rFonts w:eastAsia="Times New Roman"/>
          <w:color w:val="000000"/>
          <w:sz w:val="20"/>
          <w:szCs w:val="20"/>
        </w:rPr>
        <w:t xml:space="preserve">nsideration expected to be paid based upon revenue and discount rate projections, using unobservable market data inputs, which are included in Level 3 of the valuation hierarchy. The Company’s consolidated VIEs/VOEs hold investments that are classified as </w:t>
      </w:r>
      <w:r>
        <w:rPr>
          <w:rFonts w:eastAsia="Times New Roman"/>
          <w:color w:val="000000"/>
          <w:sz w:val="20"/>
          <w:szCs w:val="20"/>
        </w:rPr>
        <w:t>Level 3, primarily corporate bonds that are vendor priced with no ratings available, bank loans, non-agency collateralized mortgage obligations and asset-backed securities.</w:t>
      </w:r>
    </w:p>
    <w:p w:rsidR="00000000" w:rsidRDefault="00C56D69">
      <w:pPr>
        <w:divId w:val="1571114059"/>
        <w:rPr>
          <w:rFonts w:eastAsia="Times New Roman"/>
        </w:rPr>
      </w:pPr>
      <w:r>
        <w:rPr>
          <w:rFonts w:eastAsia="Times New Roman"/>
          <w:color w:val="000000"/>
          <w:sz w:val="20"/>
          <w:szCs w:val="20"/>
          <w:u w:val="single"/>
        </w:rPr>
        <w:t>Transfers of Financial Instruments Between Levels 2 and 3</w:t>
      </w:r>
    </w:p>
    <w:p w:rsidR="00000000" w:rsidRDefault="00C56D69">
      <w:pPr>
        <w:divId w:val="2071541381"/>
        <w:rPr>
          <w:rFonts w:eastAsia="Times New Roman"/>
        </w:rPr>
      </w:pPr>
      <w:r>
        <w:rPr>
          <w:rFonts w:eastAsia="Times New Roman"/>
          <w:color w:val="000000"/>
          <w:sz w:val="20"/>
          <w:szCs w:val="20"/>
        </w:rPr>
        <w:t>During the nine months en</w:t>
      </w:r>
      <w:r>
        <w:rPr>
          <w:rFonts w:eastAsia="Times New Roman"/>
          <w:color w:val="000000"/>
          <w:sz w:val="20"/>
          <w:szCs w:val="20"/>
        </w:rPr>
        <w:t>ded September 30, 2022, fixed maturities with fair values of $150 million were transferred out of Level 3 and into Level 2 principally due to the availability of trading activity and/or market observable inputs to measure and validate their fair values. In</w:t>
      </w:r>
      <w:r>
        <w:rPr>
          <w:rFonts w:eastAsia="Times New Roman"/>
          <w:color w:val="000000"/>
          <w:sz w:val="20"/>
          <w:szCs w:val="20"/>
        </w:rPr>
        <w:t xml:space="preserve"> addition, fixed maturities with fair value of $191 million were transferred from Level 2 into the Level 3 classification. These transfers in the aggregate represent approximately 7.1% of total equity as of September 30, 2022.</w:t>
      </w:r>
    </w:p>
    <w:p w:rsidR="00000000" w:rsidRDefault="00C56D69">
      <w:pPr>
        <w:divId w:val="407653371"/>
        <w:rPr>
          <w:rFonts w:eastAsia="Times New Roman"/>
        </w:rPr>
      </w:pPr>
      <w:r>
        <w:rPr>
          <w:rFonts w:eastAsia="Times New Roman"/>
          <w:color w:val="000000"/>
          <w:sz w:val="20"/>
          <w:szCs w:val="20"/>
        </w:rPr>
        <w:t xml:space="preserve">During the nine months ended </w:t>
      </w:r>
      <w:r>
        <w:rPr>
          <w:rFonts w:eastAsia="Times New Roman"/>
          <w:color w:val="000000"/>
          <w:sz w:val="20"/>
          <w:szCs w:val="20"/>
        </w:rPr>
        <w:t>September 30, 2021, fixed maturities with fair values of $782 million were transferred out of Level 3 and into Level 2 principally due to the availability of trading activity and/or market observable inputs to measure and validate their fair values. In add</w:t>
      </w:r>
      <w:r>
        <w:rPr>
          <w:rFonts w:eastAsia="Times New Roman"/>
          <w:color w:val="000000"/>
          <w:sz w:val="20"/>
          <w:szCs w:val="20"/>
        </w:rPr>
        <w:t>ition, fixed maturities with fair value of $1 million were transferred from Level 2 into the Level 3 classification. These transfers in the aggregate represent approximately 5.9% of total equity as of September 30, 2021.</w:t>
      </w:r>
    </w:p>
    <w:p w:rsidR="00000000" w:rsidRDefault="00C56D69">
      <w:pPr>
        <w:jc w:val="center"/>
        <w:divId w:val="2028437054"/>
        <w:rPr>
          <w:rFonts w:eastAsia="Times New Roman"/>
        </w:rPr>
      </w:pPr>
    </w:p>
    <w:p w:rsidR="00000000" w:rsidRDefault="00C56D69">
      <w:pPr>
        <w:jc w:val="center"/>
        <w:divId w:val="2028437054"/>
        <w:rPr>
          <w:rFonts w:eastAsia="Times New Roman"/>
        </w:rPr>
      </w:pPr>
      <w:r>
        <w:rPr>
          <w:rFonts w:eastAsia="Times New Roman"/>
          <w:color w:val="000000"/>
          <w:sz w:val="20"/>
          <w:szCs w:val="20"/>
        </w:rPr>
        <w:t>46</w:t>
      </w:r>
    </w:p>
    <w:p w:rsidR="00000000" w:rsidRDefault="00C56D69">
      <w:pPr>
        <w:rPr>
          <w:rFonts w:eastAsia="Times New Roman"/>
        </w:rPr>
      </w:pPr>
      <w:r>
        <w:rPr>
          <w:rFonts w:eastAsia="Times New Roman"/>
        </w:rPr>
        <w:pict>
          <v:rect id="_x0000_i1072" style="width:0;height:1.5pt" o:hralign="center" o:hrstd="t" o:hr="t" fillcolor="#a0a0a0" stroked="f"/>
        </w:pict>
      </w:r>
    </w:p>
    <w:p w:rsidR="00000000" w:rsidRDefault="00C56D69">
      <w:pPr>
        <w:divId w:val="47313627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888686196"/>
        <w:rPr>
          <w:rFonts w:eastAsia="Times New Roman"/>
        </w:rPr>
      </w:pPr>
      <w:r>
        <w:rPr>
          <w:rFonts w:eastAsia="Times New Roman"/>
          <w:b/>
          <w:bCs/>
          <w:color w:val="000000"/>
          <w:sz w:val="20"/>
          <w:szCs w:val="20"/>
        </w:rPr>
        <w:t>EQUITABLE HOLDINGS, INC.</w:t>
      </w:r>
    </w:p>
    <w:p w:rsidR="00000000" w:rsidRDefault="00C56D69">
      <w:pPr>
        <w:jc w:val="center"/>
        <w:divId w:val="88868619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888686196"/>
        <w:rPr>
          <w:rFonts w:eastAsia="Times New Roman"/>
        </w:rPr>
      </w:pPr>
    </w:p>
    <w:p w:rsidR="00000000" w:rsidRDefault="00C56D69">
      <w:pPr>
        <w:divId w:val="1932885467"/>
        <w:rPr>
          <w:rFonts w:eastAsia="Times New Roman"/>
        </w:rPr>
      </w:pPr>
      <w:r>
        <w:rPr>
          <w:rFonts w:eastAsia="Times New Roman"/>
          <w:color w:val="000000"/>
          <w:sz w:val="20"/>
          <w:szCs w:val="20"/>
        </w:rPr>
        <w:t>The tables below present reconciliations for all L</w:t>
      </w:r>
      <w:r>
        <w:rPr>
          <w:rFonts w:eastAsia="Times New Roman"/>
          <w:color w:val="000000"/>
          <w:sz w:val="20"/>
          <w:szCs w:val="20"/>
        </w:rPr>
        <w:t>evel 3 assets and liabilities and changes in unrealized gains (losses) for the three and nine months ended September 30, 2022 and 2021, respectively.</w:t>
      </w:r>
    </w:p>
    <w:p w:rsidR="00000000" w:rsidRDefault="00C56D69">
      <w:pPr>
        <w:divId w:val="181019985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jc w:val="center"/>
        </w:trPr>
        <w:tc>
          <w:tcPr>
            <w:tcW w:w="50" w:type="pct"/>
            <w:vAlign w:val="center"/>
            <w:hideMark/>
          </w:tcPr>
          <w:p w:rsidR="00000000" w:rsidRDefault="00C56D69">
            <w:pPr>
              <w:rPr>
                <w:rFonts w:eastAsia="Times New Roman"/>
              </w:rPr>
            </w:pPr>
          </w:p>
        </w:tc>
        <w:tc>
          <w:tcPr>
            <w:tcW w:w="186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 xml:space="preserve">Fixed maturities, at FVO </w:t>
            </w:r>
          </w:p>
        </w:tc>
      </w:tr>
      <w:tr w:rsidR="00000000">
        <w:trPr>
          <w:trHeight w:val="220"/>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0"/>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July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423</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374</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(20)</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July 1, 2021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1,261 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148 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1,453 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182 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9 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C56D69">
      <w:pPr>
        <w:jc w:val="center"/>
        <w:divId w:val="956445971"/>
        <w:rPr>
          <w:rFonts w:eastAsia="Times New Roman"/>
        </w:rPr>
      </w:pPr>
    </w:p>
    <w:p w:rsidR="00000000" w:rsidRDefault="00C56D69">
      <w:pPr>
        <w:jc w:val="center"/>
        <w:divId w:val="956445971"/>
        <w:rPr>
          <w:rFonts w:eastAsia="Times New Roman"/>
        </w:rPr>
      </w:pPr>
      <w:r>
        <w:rPr>
          <w:rFonts w:eastAsia="Times New Roman"/>
          <w:color w:val="000000"/>
          <w:sz w:val="20"/>
          <w:szCs w:val="20"/>
        </w:rPr>
        <w:t>47</w:t>
      </w:r>
    </w:p>
    <w:p w:rsidR="00000000" w:rsidRDefault="00C56D69">
      <w:pPr>
        <w:rPr>
          <w:rFonts w:eastAsia="Times New Roman"/>
        </w:rPr>
      </w:pPr>
      <w:r>
        <w:rPr>
          <w:rFonts w:eastAsia="Times New Roman"/>
        </w:rPr>
        <w:pict>
          <v:rect id="_x0000_i1073" style="width:0;height:1.5pt" o:hralign="center" o:hrstd="t" o:hr="t" fillcolor="#a0a0a0" stroked="f"/>
        </w:pict>
      </w:r>
    </w:p>
    <w:p w:rsidR="00000000" w:rsidRDefault="00C56D69">
      <w:pPr>
        <w:divId w:val="210449616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579364048"/>
        <w:rPr>
          <w:rFonts w:eastAsia="Times New Roman"/>
        </w:rPr>
      </w:pPr>
      <w:r>
        <w:rPr>
          <w:rFonts w:eastAsia="Times New Roman"/>
          <w:b/>
          <w:bCs/>
          <w:color w:val="000000"/>
          <w:sz w:val="20"/>
          <w:szCs w:val="20"/>
        </w:rPr>
        <w:t>EQUITABLE HOLDINGS, INC.</w:t>
      </w:r>
    </w:p>
    <w:p w:rsidR="00000000" w:rsidRDefault="00C56D69">
      <w:pPr>
        <w:jc w:val="center"/>
        <w:divId w:val="579364048"/>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579364048"/>
        <w:rPr>
          <w:rFonts w:eastAsia="Times New Roman"/>
        </w:rPr>
      </w:pPr>
    </w:p>
    <w:p w:rsidR="00000000" w:rsidRDefault="00C56D69">
      <w:pPr>
        <w:ind w:hanging="360"/>
        <w:divId w:val="2032217767"/>
        <w:rPr>
          <w:rFonts w:eastAsia="Times New Roman"/>
        </w:rPr>
      </w:pPr>
      <w:r>
        <w:rPr>
          <w:rFonts w:eastAsia="Times New Roman"/>
          <w:color w:val="000000"/>
          <w:sz w:val="18"/>
          <w:szCs w:val="18"/>
        </w:rPr>
        <w:t>_____</w:t>
      </w:r>
    </w:p>
    <w:tbl>
      <w:tblPr>
        <w:tblW w:w="5000" w:type="pct"/>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divId w:val="2032217767"/>
        </w:trPr>
        <w:tc>
          <w:tcPr>
            <w:tcW w:w="50" w:type="pct"/>
            <w:vAlign w:val="center"/>
            <w:hideMark/>
          </w:tcPr>
          <w:p w:rsidR="00000000" w:rsidRDefault="00C56D69">
            <w:pPr>
              <w:ind w:hanging="360"/>
              <w:rPr>
                <w:rFonts w:eastAsia="Times New Roman"/>
              </w:rPr>
            </w:pPr>
          </w:p>
        </w:tc>
        <w:tc>
          <w:tcPr>
            <w:tcW w:w="186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2032217767"/>
          <w:trHeight w:val="22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0"/>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201</w:t>
            </w: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r>
      <w:tr w:rsidR="00000000">
        <w:trPr>
          <w:divId w:val="2032217767"/>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r>
      <w:tr w:rsidR="00000000">
        <w:trPr>
          <w:divId w:val="2032217767"/>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374</w:t>
            </w: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(9)</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divId w:val="2032217767"/>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80 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32217767"/>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r>
      <w:tr w:rsidR="00000000">
        <w:trPr>
          <w:divId w:val="2032217767"/>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r>
      <w:tr w:rsidR="00000000">
        <w:trPr>
          <w:divId w:val="2032217767"/>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192 </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277)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r>
      <w:tr w:rsidR="00000000">
        <w:trPr>
          <w:divId w:val="20322177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1,453 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182 </w:t>
            </w:r>
          </w:p>
        </w:tc>
      </w:tr>
      <w:tr w:rsidR="00000000">
        <w:trPr>
          <w:divId w:val="203221776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4 </w:t>
            </w:r>
          </w:p>
        </w:tc>
      </w:tr>
      <w:tr w:rsidR="00000000">
        <w:trPr>
          <w:divId w:val="203221776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vAlign w:val="center"/>
            <w:hideMark/>
          </w:tcPr>
          <w:p w:rsidR="00000000" w:rsidRDefault="00C56D6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C56D69">
      <w:pPr>
        <w:ind w:hanging="360"/>
        <w:divId w:val="2032217767"/>
        <w:rPr>
          <w:rFonts w:eastAsia="Times New Roman"/>
        </w:rPr>
      </w:pPr>
      <w:r>
        <w:rPr>
          <w:rFonts w:eastAsia="Times New Roman"/>
          <w:color w:val="000000"/>
          <w:sz w:val="18"/>
          <w:szCs w:val="18"/>
        </w:rPr>
        <w:t>________</w:t>
      </w:r>
    </w:p>
    <w:p w:rsidR="00000000" w:rsidRDefault="00C56D69">
      <w:pPr>
        <w:ind w:hanging="360"/>
        <w:divId w:val="1346714350"/>
        <w:rPr>
          <w:rFonts w:eastAsia="Times New Roman"/>
        </w:rPr>
      </w:pPr>
      <w:r>
        <w:rPr>
          <w:rFonts w:eastAsia="Times New Roman"/>
          <w:color w:val="000000"/>
          <w:sz w:val="18"/>
          <w:szCs w:val="18"/>
        </w:rPr>
        <w:t>(1)</w:t>
      </w:r>
      <w:r>
        <w:rPr>
          <w:rFonts w:eastAsia="Times New Roman"/>
          <w:color w:val="000000"/>
          <w:sz w:val="18"/>
          <w:szCs w:val="18"/>
        </w:rPr>
        <w:t>Transfers into/out of the Level 3 classification are reflected at beginning-of-period fair values.</w:t>
      </w:r>
    </w:p>
    <w:p w:rsidR="00000000" w:rsidRDefault="00C56D69">
      <w:pPr>
        <w:ind w:hanging="360"/>
        <w:divId w:val="1165631841"/>
        <w:rPr>
          <w:rFonts w:eastAsia="Times New Roman"/>
        </w:rPr>
      </w:pPr>
      <w:r>
        <w:rPr>
          <w:rFonts w:eastAsia="Times New Roman"/>
          <w:color w:val="000000"/>
          <w:sz w:val="18"/>
          <w:szCs w:val="18"/>
        </w:rPr>
        <w:t>(2)For instruments held as of September 30, 2022 or September 30, 2021, amounts are included in net investment income or net derivative gains (losses) in the</w:t>
      </w:r>
      <w:r>
        <w:rPr>
          <w:rFonts w:eastAsia="Times New Roman"/>
          <w:color w:val="000000"/>
          <w:sz w:val="18"/>
          <w:szCs w:val="18"/>
        </w:rPr>
        <w:t xml:space="preserve"> consolidated statements of income (loss) or unrealized gains (losses) on investments in the consolidated statements of comprehensive income. </w:t>
      </w:r>
    </w:p>
    <w:p w:rsidR="00000000" w:rsidRDefault="00C56D69">
      <w:pPr>
        <w:divId w:val="724717608"/>
        <w:rPr>
          <w:rFonts w:eastAsia="Times New Roman"/>
        </w:rPr>
      </w:pPr>
    </w:p>
    <w:p w:rsidR="00000000" w:rsidRDefault="00C56D69">
      <w:pPr>
        <w:jc w:val="center"/>
        <w:divId w:val="640699141"/>
        <w:rPr>
          <w:rFonts w:eastAsia="Times New Roman"/>
        </w:rPr>
      </w:pPr>
    </w:p>
    <w:p w:rsidR="00000000" w:rsidRDefault="00C56D69">
      <w:pPr>
        <w:jc w:val="center"/>
        <w:divId w:val="640699141"/>
        <w:rPr>
          <w:rFonts w:eastAsia="Times New Roman"/>
        </w:rPr>
      </w:pPr>
      <w:r>
        <w:rPr>
          <w:rFonts w:eastAsia="Times New Roman"/>
          <w:color w:val="000000"/>
          <w:sz w:val="20"/>
          <w:szCs w:val="20"/>
        </w:rPr>
        <w:t>48</w:t>
      </w:r>
    </w:p>
    <w:p w:rsidR="00000000" w:rsidRDefault="00C56D69">
      <w:pPr>
        <w:rPr>
          <w:rFonts w:eastAsia="Times New Roman"/>
        </w:rPr>
      </w:pPr>
      <w:r>
        <w:rPr>
          <w:rFonts w:eastAsia="Times New Roman"/>
        </w:rPr>
        <w:pict>
          <v:rect id="_x0000_i1074" style="width:0;height:1.5pt" o:hralign="center" o:hrstd="t" o:hr="t" fillcolor="#a0a0a0" stroked="f"/>
        </w:pict>
      </w:r>
    </w:p>
    <w:p w:rsidR="00000000" w:rsidRDefault="00C56D69">
      <w:pPr>
        <w:divId w:val="511408907"/>
        <w:rPr>
          <w:rFonts w:eastAsia="Times New Roman"/>
        </w:rPr>
      </w:pPr>
      <w:hyperlink w:anchor="i91a10deab42d4ca59e2a2b17dc17e22e_10" w:history="1">
        <w:r>
          <w:rPr>
            <w:rStyle w:val="a3"/>
            <w:rFonts w:eastAsia="Times New Roman"/>
            <w:b/>
            <w:bCs/>
            <w:sz w:val="20"/>
            <w:szCs w:val="20"/>
          </w:rPr>
          <w:t>Table of Co</w:t>
        </w:r>
        <w:r>
          <w:rPr>
            <w:rStyle w:val="a3"/>
            <w:rFonts w:eastAsia="Times New Roman"/>
            <w:b/>
            <w:bCs/>
            <w:sz w:val="20"/>
            <w:szCs w:val="20"/>
          </w:rPr>
          <w:t>ntents</w:t>
        </w:r>
      </w:hyperlink>
    </w:p>
    <w:p w:rsidR="00000000" w:rsidRDefault="00C56D69">
      <w:pPr>
        <w:jc w:val="center"/>
        <w:divId w:val="171923025"/>
        <w:rPr>
          <w:rFonts w:eastAsia="Times New Roman"/>
        </w:rPr>
      </w:pPr>
      <w:r>
        <w:rPr>
          <w:rFonts w:eastAsia="Times New Roman"/>
          <w:b/>
          <w:bCs/>
          <w:color w:val="000000"/>
          <w:sz w:val="20"/>
          <w:szCs w:val="20"/>
        </w:rPr>
        <w:t>EQUITABLE HOLDINGS, INC.</w:t>
      </w:r>
    </w:p>
    <w:p w:rsidR="00000000" w:rsidRDefault="00C56D69">
      <w:pPr>
        <w:jc w:val="center"/>
        <w:divId w:val="17192302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719230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364"/>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1"/>
        <w:gridCol w:w="666"/>
        <w:gridCol w:w="36"/>
        <w:gridCol w:w="36"/>
        <w:gridCol w:w="36"/>
        <w:gridCol w:w="36"/>
        <w:gridCol w:w="121"/>
        <w:gridCol w:w="860"/>
        <w:gridCol w:w="36"/>
      </w:tblGrid>
      <w:tr w:rsidR="00000000">
        <w:trPr>
          <w:divId w:val="1234390525"/>
        </w:trPr>
        <w:tc>
          <w:tcPr>
            <w:tcW w:w="50" w:type="pct"/>
            <w:vAlign w:val="center"/>
            <w:hideMark/>
          </w:tcPr>
          <w:p w:rsidR="00000000" w:rsidRDefault="00C56D69">
            <w:pPr>
              <w:jc w:val="center"/>
              <w:rPr>
                <w:rFonts w:eastAsia="Times New Roman"/>
              </w:rPr>
            </w:pPr>
          </w:p>
        </w:tc>
        <w:tc>
          <w:tcPr>
            <w:tcW w:w="188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Contingent Payment Arrangement</w:t>
            </w:r>
          </w:p>
        </w:tc>
      </w:tr>
      <w:tr w:rsidR="00000000">
        <w:trPr>
          <w:divId w:val="1234390525"/>
          <w:trHeight w:val="22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July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(6,180)</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July 1, 2021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2,026 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5,510 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(8,455)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(8,938)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234390525"/>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4390525"/>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194857356"/>
        <w:rPr>
          <w:rFonts w:eastAsia="Times New Roman"/>
        </w:rPr>
      </w:pPr>
    </w:p>
    <w:p w:rsidR="00000000" w:rsidRDefault="00C56D69">
      <w:pPr>
        <w:divId w:val="492600462"/>
        <w:rPr>
          <w:rFonts w:eastAsia="Times New Roman"/>
        </w:rPr>
      </w:pPr>
    </w:p>
    <w:p w:rsidR="00000000" w:rsidRDefault="00C56D69">
      <w:pPr>
        <w:jc w:val="center"/>
        <w:divId w:val="1927037984"/>
        <w:rPr>
          <w:rFonts w:eastAsia="Times New Roman"/>
        </w:rPr>
      </w:pPr>
    </w:p>
    <w:p w:rsidR="00000000" w:rsidRDefault="00C56D69">
      <w:pPr>
        <w:jc w:val="center"/>
        <w:divId w:val="1927037984"/>
        <w:rPr>
          <w:rFonts w:eastAsia="Times New Roman"/>
        </w:rPr>
      </w:pPr>
      <w:r>
        <w:rPr>
          <w:rFonts w:eastAsia="Times New Roman"/>
          <w:color w:val="000000"/>
          <w:sz w:val="20"/>
          <w:szCs w:val="20"/>
        </w:rPr>
        <w:t>49</w:t>
      </w:r>
    </w:p>
    <w:p w:rsidR="00000000" w:rsidRDefault="00C56D69">
      <w:pPr>
        <w:rPr>
          <w:rFonts w:eastAsia="Times New Roman"/>
        </w:rPr>
      </w:pPr>
      <w:r>
        <w:rPr>
          <w:rFonts w:eastAsia="Times New Roman"/>
        </w:rPr>
        <w:pict>
          <v:rect id="_x0000_i1075" style="width:0;height:1.5pt" o:hralign="center" o:hrstd="t" o:hr="t" fillcolor="#a0a0a0" stroked="f"/>
        </w:pict>
      </w:r>
    </w:p>
    <w:p w:rsidR="00000000" w:rsidRDefault="00C56D69">
      <w:pPr>
        <w:divId w:val="55994219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509881193"/>
        <w:rPr>
          <w:rFonts w:eastAsia="Times New Roman"/>
        </w:rPr>
      </w:pPr>
      <w:r>
        <w:rPr>
          <w:rFonts w:eastAsia="Times New Roman"/>
          <w:b/>
          <w:bCs/>
          <w:color w:val="000000"/>
          <w:sz w:val="20"/>
          <w:szCs w:val="20"/>
        </w:rPr>
        <w:t>EQUITABLE HOLDINGS, INC.</w:t>
      </w:r>
    </w:p>
    <w:p w:rsidR="00000000" w:rsidRDefault="00C56D69">
      <w:pPr>
        <w:jc w:val="center"/>
        <w:divId w:val="50988119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5098811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347"/>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trPr>
          <w:divId w:val="1474254461"/>
        </w:trPr>
        <w:tc>
          <w:tcPr>
            <w:tcW w:w="50" w:type="pct"/>
            <w:vAlign w:val="center"/>
            <w:hideMark/>
          </w:tcPr>
          <w:p w:rsidR="00000000" w:rsidRDefault="00C56D69">
            <w:pPr>
              <w:jc w:val="center"/>
              <w:rPr>
                <w:rFonts w:eastAsia="Times New Roman"/>
              </w:rPr>
            </w:pPr>
          </w:p>
        </w:tc>
        <w:tc>
          <w:tcPr>
            <w:tcW w:w="188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Contingent Payment Arrangement</w:t>
            </w:r>
          </w:p>
        </w:tc>
      </w:tr>
      <w:tr w:rsidR="00000000">
        <w:trPr>
          <w:divId w:val="1474254461"/>
          <w:trHeight w:val="22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5,815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(8,525)</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2,943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September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2,943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60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Balance, September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474254461"/>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742544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315689502"/>
        <w:rPr>
          <w:rFonts w:eastAsia="Times New Roman"/>
        </w:rPr>
      </w:pPr>
      <w:r>
        <w:rPr>
          <w:rFonts w:eastAsia="Times New Roman"/>
          <w:color w:val="000000"/>
          <w:sz w:val="18"/>
          <w:szCs w:val="18"/>
        </w:rPr>
        <w:t>______________</w:t>
      </w:r>
    </w:p>
    <w:p w:rsidR="00000000" w:rsidRDefault="00C56D69">
      <w:pPr>
        <w:ind w:hanging="360"/>
        <w:divId w:val="536504277"/>
        <w:rPr>
          <w:rFonts w:eastAsia="Times New Roman"/>
        </w:rPr>
      </w:pPr>
      <w:r>
        <w:rPr>
          <w:rFonts w:eastAsia="Times New Roman"/>
          <w:color w:val="000000"/>
          <w:sz w:val="18"/>
          <w:szCs w:val="18"/>
        </w:rPr>
        <w:t xml:space="preserve">(1)For the </w:t>
      </w:r>
      <w:r>
        <w:rPr>
          <w:rFonts w:eastAsia="Times New Roman"/>
          <w:color w:val="000000"/>
          <w:sz w:val="20"/>
          <w:szCs w:val="20"/>
        </w:rPr>
        <w:t>three and nine months ended September 30, 2022 and 2021</w:t>
      </w:r>
      <w:r>
        <w:rPr>
          <w:rFonts w:eastAsia="Times New Roman"/>
          <w:color w:val="000000"/>
          <w:sz w:val="18"/>
          <w:szCs w:val="18"/>
        </w:rPr>
        <w:t>, the Company’s non-performance risk impact of $(41) million , $(92) million, $837 million and $(72) million for the GMxB Derivative Features Liability, $8 million ,$5 million, $(66) million and $6 mil</w:t>
      </w:r>
      <w:r>
        <w:rPr>
          <w:rFonts w:eastAsia="Times New Roman"/>
          <w:color w:val="000000"/>
          <w:sz w:val="18"/>
          <w:szCs w:val="18"/>
        </w:rPr>
        <w:t>lion for the GMIB Reinsurance Contract Asset, and $(16) million, $(19) million, $(93) million and $(7) million for the Amounts due from Reinsurers is recorded through Net derivative gains (losses), respectively.</w:t>
      </w:r>
    </w:p>
    <w:p w:rsidR="00000000" w:rsidRDefault="00C56D69">
      <w:pPr>
        <w:jc w:val="center"/>
        <w:divId w:val="2055687523"/>
        <w:rPr>
          <w:rFonts w:eastAsia="Times New Roman"/>
        </w:rPr>
      </w:pPr>
    </w:p>
    <w:p w:rsidR="00000000" w:rsidRDefault="00C56D69">
      <w:pPr>
        <w:jc w:val="center"/>
        <w:divId w:val="2055687523"/>
        <w:rPr>
          <w:rFonts w:eastAsia="Times New Roman"/>
        </w:rPr>
      </w:pPr>
      <w:r>
        <w:rPr>
          <w:rFonts w:eastAsia="Times New Roman"/>
          <w:color w:val="000000"/>
          <w:sz w:val="20"/>
          <w:szCs w:val="20"/>
        </w:rPr>
        <w:t>50</w:t>
      </w:r>
    </w:p>
    <w:p w:rsidR="00000000" w:rsidRDefault="00C56D69">
      <w:pPr>
        <w:rPr>
          <w:rFonts w:eastAsia="Times New Roman"/>
        </w:rPr>
      </w:pPr>
      <w:r>
        <w:rPr>
          <w:rFonts w:eastAsia="Times New Roman"/>
        </w:rPr>
        <w:pict>
          <v:rect id="_x0000_i1076" style="width:0;height:1.5pt" o:hralign="center" o:hrstd="t" o:hr="t" fillcolor="#a0a0a0" stroked="f"/>
        </w:pict>
      </w:r>
    </w:p>
    <w:p w:rsidR="00000000" w:rsidRDefault="00C56D69">
      <w:pPr>
        <w:divId w:val="103569716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35087124"/>
        <w:rPr>
          <w:rFonts w:eastAsia="Times New Roman"/>
        </w:rPr>
      </w:pPr>
      <w:r>
        <w:rPr>
          <w:rFonts w:eastAsia="Times New Roman"/>
          <w:b/>
          <w:bCs/>
          <w:color w:val="000000"/>
          <w:sz w:val="20"/>
          <w:szCs w:val="20"/>
        </w:rPr>
        <w:t>EQUITABLE HOLDINGS, INC.</w:t>
      </w:r>
    </w:p>
    <w:p w:rsidR="00000000" w:rsidRDefault="00C56D69">
      <w:pPr>
        <w:jc w:val="center"/>
        <w:divId w:val="35087124"/>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35087124"/>
        <w:rPr>
          <w:rFonts w:eastAsia="Times New Roman"/>
        </w:rPr>
      </w:pPr>
    </w:p>
    <w:p w:rsidR="00000000" w:rsidRDefault="00C56D69">
      <w:pPr>
        <w:ind w:hanging="360"/>
        <w:divId w:val="501434620"/>
        <w:rPr>
          <w:rFonts w:eastAsia="Times New Roman"/>
        </w:rPr>
      </w:pPr>
      <w:r>
        <w:rPr>
          <w:rFonts w:eastAsia="Times New Roman"/>
          <w:color w:val="000000"/>
          <w:sz w:val="18"/>
          <w:szCs w:val="18"/>
        </w:rPr>
        <w:t>(2)</w:t>
      </w:r>
      <w:r>
        <w:rPr>
          <w:rFonts w:eastAsia="Times New Roman"/>
          <w:color w:val="000000"/>
          <w:sz w:val="18"/>
          <w:szCs w:val="18"/>
        </w:rPr>
        <w:t>For the GMIB reinsurance contract asset, Amounts Due from Reinsurers and GMxB derivative features liability, represents attributed fee.</w:t>
      </w:r>
    </w:p>
    <w:p w:rsidR="00000000" w:rsidRDefault="00C56D69">
      <w:pPr>
        <w:ind w:hanging="360"/>
        <w:divId w:val="344941932"/>
        <w:rPr>
          <w:rFonts w:eastAsia="Times New Roman"/>
        </w:rPr>
      </w:pPr>
      <w:r>
        <w:rPr>
          <w:rFonts w:eastAsia="Times New Roman"/>
          <w:color w:val="000000"/>
          <w:sz w:val="18"/>
          <w:szCs w:val="18"/>
        </w:rPr>
        <w:t>(3)For the GMIB reinsurance contract asset and Amounts Due from Reinsurers, represents recoveries from reinsurers and fo</w:t>
      </w:r>
      <w:r>
        <w:rPr>
          <w:rFonts w:eastAsia="Times New Roman"/>
          <w:color w:val="000000"/>
          <w:sz w:val="18"/>
          <w:szCs w:val="18"/>
        </w:rPr>
        <w:t>r GMxB derivative features liability represents benefits paid.</w:t>
      </w:r>
    </w:p>
    <w:p w:rsidR="00000000" w:rsidRDefault="00C56D69">
      <w:pPr>
        <w:ind w:hanging="360"/>
        <w:divId w:val="2104912690"/>
        <w:rPr>
          <w:rFonts w:eastAsia="Times New Roman"/>
        </w:rPr>
      </w:pPr>
      <w:r>
        <w:rPr>
          <w:rFonts w:eastAsia="Times New Roman"/>
          <w:color w:val="000000"/>
          <w:sz w:val="18"/>
          <w:szCs w:val="18"/>
        </w:rPr>
        <w:t>(4)</w:t>
      </w:r>
      <w:r>
        <w:rPr>
          <w:rFonts w:eastAsia="Times New Roman"/>
          <w:color w:val="000000"/>
          <w:sz w:val="18"/>
          <w:szCs w:val="18"/>
        </w:rPr>
        <w:t>Transfers into/out of the Level 3 classification are reflected at beginning-of-period fair values.</w:t>
      </w:r>
    </w:p>
    <w:p w:rsidR="00000000" w:rsidRDefault="00C56D69">
      <w:pPr>
        <w:ind w:hanging="360"/>
        <w:divId w:val="320814807"/>
        <w:rPr>
          <w:rFonts w:eastAsia="Times New Roman"/>
        </w:rPr>
      </w:pPr>
      <w:r>
        <w:rPr>
          <w:rFonts w:eastAsia="Times New Roman"/>
          <w:color w:val="000000"/>
          <w:sz w:val="18"/>
          <w:szCs w:val="18"/>
        </w:rPr>
        <w:t xml:space="preserve">(5)For the </w:t>
      </w:r>
      <w:r>
        <w:rPr>
          <w:rFonts w:eastAsia="Times New Roman"/>
          <w:color w:val="000000"/>
          <w:sz w:val="20"/>
          <w:szCs w:val="20"/>
        </w:rPr>
        <w:t xml:space="preserve">nine months ended September 30, 2021, </w:t>
      </w:r>
      <w:r>
        <w:rPr>
          <w:rFonts w:eastAsia="Times New Roman"/>
          <w:color w:val="000000"/>
          <w:sz w:val="18"/>
          <w:szCs w:val="18"/>
        </w:rPr>
        <w:t>GMxB Derivative Features Liability excludes settlement fees on CS Life reinsurance contract of $45 million.</w:t>
      </w:r>
    </w:p>
    <w:p w:rsidR="00000000" w:rsidRDefault="00C56D69">
      <w:pPr>
        <w:ind w:hanging="360"/>
        <w:divId w:val="1752462675"/>
        <w:rPr>
          <w:rFonts w:eastAsia="Times New Roman"/>
        </w:rPr>
      </w:pPr>
      <w:r>
        <w:rPr>
          <w:rFonts w:eastAsia="Times New Roman"/>
          <w:color w:val="000000"/>
          <w:sz w:val="18"/>
          <w:szCs w:val="18"/>
        </w:rPr>
        <w:t>(6)For instruments held as of September 30, 2022 or September 30, 2021, amounts are included in net investment income or net derivative gains (losses) in the consolidated statements of income (loss) or unrealized gains (losses) on investments in the consol</w:t>
      </w:r>
      <w:r>
        <w:rPr>
          <w:rFonts w:eastAsia="Times New Roman"/>
          <w:color w:val="000000"/>
          <w:sz w:val="18"/>
          <w:szCs w:val="18"/>
        </w:rPr>
        <w:t xml:space="preserve">idated statements of comprehensive income. </w:t>
      </w:r>
    </w:p>
    <w:p w:rsidR="00000000" w:rsidRDefault="00C56D69">
      <w:pPr>
        <w:ind w:hanging="360"/>
        <w:divId w:val="252784170"/>
        <w:rPr>
          <w:rFonts w:eastAsia="Times New Roman"/>
        </w:rPr>
      </w:pPr>
      <w:r>
        <w:rPr>
          <w:rFonts w:eastAsia="Times New Roman"/>
          <w:color w:val="000000"/>
          <w:sz w:val="18"/>
          <w:szCs w:val="18"/>
        </w:rPr>
        <w:t>(7)Other Equity Investments include other invested assets.</w:t>
      </w:r>
    </w:p>
    <w:p w:rsidR="00000000" w:rsidRDefault="00C56D69">
      <w:pPr>
        <w:jc w:val="center"/>
        <w:divId w:val="433941204"/>
        <w:rPr>
          <w:rFonts w:eastAsia="Times New Roman"/>
        </w:rPr>
      </w:pPr>
    </w:p>
    <w:p w:rsidR="00000000" w:rsidRDefault="00C56D69">
      <w:pPr>
        <w:jc w:val="center"/>
        <w:divId w:val="433941204"/>
        <w:rPr>
          <w:rFonts w:eastAsia="Times New Roman"/>
        </w:rPr>
      </w:pPr>
      <w:r>
        <w:rPr>
          <w:rFonts w:eastAsia="Times New Roman"/>
          <w:color w:val="000000"/>
          <w:sz w:val="20"/>
          <w:szCs w:val="20"/>
        </w:rPr>
        <w:t>51</w:t>
      </w:r>
    </w:p>
    <w:p w:rsidR="00000000" w:rsidRDefault="00C56D69">
      <w:pPr>
        <w:rPr>
          <w:rFonts w:eastAsia="Times New Roman"/>
        </w:rPr>
      </w:pPr>
      <w:r>
        <w:rPr>
          <w:rFonts w:eastAsia="Times New Roman"/>
        </w:rPr>
        <w:pict>
          <v:rect id="_x0000_i1077" style="width:0;height:1.5pt" o:hralign="center" o:hrstd="t" o:hr="t" fillcolor="#a0a0a0" stroked="f"/>
        </w:pict>
      </w:r>
    </w:p>
    <w:p w:rsidR="00000000" w:rsidRDefault="00C56D69">
      <w:pPr>
        <w:divId w:val="46073553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51681139"/>
        <w:rPr>
          <w:rFonts w:eastAsia="Times New Roman"/>
        </w:rPr>
      </w:pPr>
      <w:r>
        <w:rPr>
          <w:rFonts w:eastAsia="Times New Roman"/>
          <w:b/>
          <w:bCs/>
          <w:color w:val="000000"/>
          <w:sz w:val="20"/>
          <w:szCs w:val="20"/>
        </w:rPr>
        <w:t>EQUITABLE HOLDINGS, INC.</w:t>
      </w:r>
    </w:p>
    <w:p w:rsidR="00000000" w:rsidRDefault="00C56D69">
      <w:pPr>
        <w:jc w:val="center"/>
        <w:divId w:val="151681139"/>
        <w:rPr>
          <w:rFonts w:eastAsia="Times New Roman"/>
        </w:rPr>
      </w:pPr>
      <w:r>
        <w:rPr>
          <w:rFonts w:eastAsia="Times New Roman"/>
          <w:b/>
          <w:bCs/>
          <w:color w:val="000000"/>
          <w:sz w:val="20"/>
          <w:szCs w:val="20"/>
        </w:rPr>
        <w:t>Notes to C</w:t>
      </w:r>
      <w:r>
        <w:rPr>
          <w:rFonts w:eastAsia="Times New Roman"/>
          <w:b/>
          <w:bCs/>
          <w:color w:val="000000"/>
          <w:sz w:val="20"/>
          <w:szCs w:val="20"/>
        </w:rPr>
        <w:t>onsolidated Financial Statements (Unaudited), Continued</w:t>
      </w:r>
    </w:p>
    <w:p w:rsidR="00000000" w:rsidRDefault="00C56D69">
      <w:pPr>
        <w:jc w:val="center"/>
        <w:divId w:val="151681139"/>
        <w:rPr>
          <w:rFonts w:eastAsia="Times New Roman"/>
        </w:rPr>
      </w:pPr>
    </w:p>
    <w:p w:rsidR="00000000" w:rsidRDefault="00C56D69">
      <w:pPr>
        <w:divId w:val="32967865"/>
        <w:rPr>
          <w:rFonts w:eastAsia="Times New Roman"/>
        </w:rPr>
      </w:pPr>
      <w:r>
        <w:rPr>
          <w:rFonts w:eastAsia="Times New Roman"/>
          <w:color w:val="000000"/>
          <w:sz w:val="20"/>
          <w:szCs w:val="20"/>
          <w:u w:val="single"/>
        </w:rPr>
        <w:t>Quantitative and Qualitative Information about Level 3 Fair Value Measurements</w:t>
      </w:r>
    </w:p>
    <w:p w:rsidR="00000000" w:rsidRDefault="00C56D69">
      <w:pPr>
        <w:divId w:val="375324962"/>
        <w:rPr>
          <w:rFonts w:eastAsia="Times New Roman"/>
        </w:rPr>
      </w:pPr>
      <w:r>
        <w:rPr>
          <w:rFonts w:eastAsia="Times New Roman"/>
          <w:color w:val="000000"/>
          <w:sz w:val="20"/>
          <w:szCs w:val="20"/>
        </w:rPr>
        <w:t>The following tables disclose quantitative information about Level 3 fair value measurements by category for assets and</w:t>
      </w:r>
      <w:r>
        <w:rPr>
          <w:rFonts w:eastAsia="Times New Roman"/>
          <w:color w:val="000000"/>
          <w:sz w:val="20"/>
          <w:szCs w:val="20"/>
        </w:rPr>
        <w:t xml:space="preserve"> liabilities as of September 30, 2022 and December 31, 2021, respectively.</w:t>
      </w:r>
    </w:p>
    <w:p w:rsidR="00000000" w:rsidRDefault="00C56D69">
      <w:pPr>
        <w:jc w:val="center"/>
        <w:rPr>
          <w:rFonts w:eastAsia="Times New Roman"/>
        </w:rPr>
      </w:pPr>
      <w:r>
        <w:rPr>
          <w:rFonts w:eastAsia="Times New Roman"/>
          <w:b/>
          <w:bCs/>
          <w:color w:val="000000"/>
          <w:sz w:val="20"/>
          <w:szCs w:val="20"/>
        </w:rPr>
        <w:t>Quantitative Information about Level 3 Fair Value Measurements as of September 30, 2022</w:t>
      </w:r>
    </w:p>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56"/>
        <w:gridCol w:w="36"/>
        <w:gridCol w:w="36"/>
        <w:gridCol w:w="36"/>
        <w:gridCol w:w="36"/>
        <w:gridCol w:w="45"/>
        <w:gridCol w:w="1021"/>
        <w:gridCol w:w="38"/>
        <w:gridCol w:w="36"/>
        <w:gridCol w:w="36"/>
        <w:gridCol w:w="36"/>
        <w:gridCol w:w="45"/>
        <w:gridCol w:w="1155"/>
        <w:gridCol w:w="36"/>
      </w:tblGrid>
      <w:tr w:rsidR="00000000">
        <w:trPr>
          <w:divId w:val="1961647945"/>
          <w:jc w:val="center"/>
        </w:trPr>
        <w:tc>
          <w:tcPr>
            <w:tcW w:w="50" w:type="pct"/>
            <w:vAlign w:val="center"/>
            <w:hideMark/>
          </w:tcPr>
          <w:p w:rsidR="00000000" w:rsidRDefault="00C56D69">
            <w:pPr>
              <w:jc w:val="center"/>
              <w:rPr>
                <w:rFonts w:eastAsia="Times New Roman"/>
              </w:rPr>
            </w:pPr>
          </w:p>
        </w:tc>
        <w:tc>
          <w:tcPr>
            <w:tcW w:w="10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3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7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w:t>
            </w:r>
          </w:p>
          <w:p w:rsidR="00000000" w:rsidRDefault="00C56D69">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Valuation</w:t>
            </w:r>
          </w:p>
          <w:p w:rsidR="00000000" w:rsidRDefault="00C56D69">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Significant</w:t>
            </w:r>
          </w:p>
          <w:p w:rsidR="00000000" w:rsidRDefault="00C56D69">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Weighted Average (2)</w:t>
            </w:r>
          </w:p>
        </w:tc>
      </w:tr>
      <w:tr w:rsidR="00000000">
        <w:trPr>
          <w:divId w:val="1961647945"/>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20 bps - 797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174 bps</w:t>
            </w:r>
          </w:p>
        </w:tc>
      </w:tr>
      <w:tr w:rsidR="00000000">
        <w:trPr>
          <w:divId w:val="1961647945"/>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917</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EBITDA multiples</w:t>
            </w:r>
          </w:p>
          <w:p w:rsidR="00000000" w:rsidRDefault="00C56D69">
            <w:pPr>
              <w:spacing w:after="100"/>
              <w:jc w:val="right"/>
              <w:rPr>
                <w:rFonts w:eastAsia="Times New Roman"/>
              </w:rPr>
            </w:pPr>
            <w:r>
              <w:rPr>
                <w:rFonts w:eastAsia="Times New Roman"/>
                <w:color w:val="000000"/>
                <w:sz w:val="18"/>
                <w:szCs w:val="18"/>
              </w:rPr>
              <w:t>Discount rate</w:t>
            </w:r>
          </w:p>
          <w:p w:rsidR="00000000" w:rsidRDefault="00C56D69">
            <w:pPr>
              <w:spacing w:after="100"/>
              <w:jc w:val="right"/>
              <w:rPr>
                <w:rFonts w:eastAsia="Times New Roman"/>
              </w:rPr>
            </w:pPr>
            <w:r>
              <w:rPr>
                <w:rFonts w:eastAsia="Times New Roman"/>
                <w:color w:val="000000"/>
                <w:sz w:val="18"/>
                <w:szCs w:val="18"/>
              </w:rPr>
              <w:t>Cash flow multiples</w:t>
            </w:r>
          </w:p>
          <w:p w:rsidR="00000000" w:rsidRDefault="00C56D69">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5.7x - 38.5x</w:t>
            </w:r>
          </w:p>
          <w:p w:rsidR="00000000" w:rsidRDefault="00C56D69">
            <w:pPr>
              <w:spacing w:after="100"/>
              <w:jc w:val="center"/>
              <w:rPr>
                <w:rFonts w:eastAsia="Times New Roman"/>
              </w:rPr>
            </w:pPr>
            <w:r>
              <w:rPr>
                <w:rFonts w:eastAsia="Times New Roman"/>
                <w:b/>
                <w:bCs/>
                <w:color w:val="000000"/>
                <w:sz w:val="18"/>
                <w:szCs w:val="18"/>
              </w:rPr>
              <w:t>5.5% - 41.5%</w:t>
            </w:r>
          </w:p>
          <w:p w:rsidR="00000000" w:rsidRDefault="00C56D69">
            <w:pPr>
              <w:spacing w:after="100"/>
              <w:jc w:val="center"/>
              <w:rPr>
                <w:rFonts w:eastAsia="Times New Roman"/>
              </w:rPr>
            </w:pPr>
            <w:r>
              <w:rPr>
                <w:rFonts w:eastAsia="Times New Roman"/>
                <w:b/>
                <w:bCs/>
                <w:color w:val="000000"/>
                <w:sz w:val="18"/>
                <w:szCs w:val="18"/>
              </w:rPr>
              <w:t>0.5x - 12.0x</w:t>
            </w:r>
          </w:p>
          <w:p w:rsidR="00000000" w:rsidRDefault="00C56D69">
            <w:pPr>
              <w:spacing w:after="100"/>
              <w:jc w:val="center"/>
              <w:rPr>
                <w:rFonts w:eastAsia="Times New Roman"/>
              </w:rPr>
            </w:pPr>
            <w:r>
              <w:rPr>
                <w:rFonts w:eastAsia="Times New Roman"/>
                <w:b/>
                <w:bCs/>
                <w:color w:val="000000"/>
                <w:sz w:val="18"/>
                <w:szCs w:val="18"/>
              </w:rPr>
              <w:t>0.0% - 46.7%</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14.1x</w:t>
            </w:r>
          </w:p>
          <w:p w:rsidR="00000000" w:rsidRDefault="00C56D69">
            <w:pPr>
              <w:spacing w:after="100"/>
              <w:jc w:val="center"/>
              <w:rPr>
                <w:rFonts w:eastAsia="Times New Roman"/>
              </w:rPr>
            </w:pPr>
            <w:r>
              <w:rPr>
                <w:rFonts w:eastAsia="Times New Roman"/>
                <w:b/>
                <w:bCs/>
                <w:color w:val="000000"/>
                <w:sz w:val="18"/>
                <w:szCs w:val="18"/>
              </w:rPr>
              <w:t>8.3%</w:t>
            </w:r>
          </w:p>
          <w:p w:rsidR="00000000" w:rsidRDefault="00C56D69">
            <w:pPr>
              <w:spacing w:after="100"/>
              <w:jc w:val="center"/>
              <w:rPr>
                <w:rFonts w:eastAsia="Times New Roman"/>
              </w:rPr>
            </w:pPr>
            <w:r>
              <w:rPr>
                <w:rFonts w:eastAsia="Times New Roman"/>
                <w:b/>
                <w:bCs/>
                <w:color w:val="000000"/>
                <w:sz w:val="18"/>
                <w:szCs w:val="18"/>
              </w:rPr>
              <w:t>6.4x</w:t>
            </w:r>
          </w:p>
          <w:p w:rsidR="00000000" w:rsidRDefault="00C56D69">
            <w:pPr>
              <w:spacing w:after="100"/>
              <w:jc w:val="center"/>
              <w:rPr>
                <w:rFonts w:eastAsia="Times New Roman"/>
              </w:rPr>
            </w:pPr>
            <w:r>
              <w:rPr>
                <w:rFonts w:eastAsia="Times New Roman"/>
                <w:b/>
                <w:bCs/>
                <w:color w:val="000000"/>
                <w:sz w:val="18"/>
                <w:szCs w:val="18"/>
              </w:rPr>
              <w:t>26.3%</w:t>
            </w:r>
          </w:p>
        </w:tc>
      </w:tr>
      <w:tr w:rsidR="00000000">
        <w:trPr>
          <w:divId w:val="1961647945"/>
          <w:jc w:val="center"/>
        </w:trPr>
        <w:tc>
          <w:tcPr>
            <w:tcW w:w="0" w:type="auto"/>
            <w:gridSpan w:val="3"/>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Earnings multiple</w:t>
            </w:r>
          </w:p>
          <w:p w:rsidR="00000000" w:rsidRDefault="00C56D69">
            <w:pPr>
              <w:spacing w:after="100"/>
              <w:jc w:val="right"/>
              <w:rPr>
                <w:rFonts w:eastAsia="Times New Roman"/>
              </w:rPr>
            </w:pPr>
            <w:r>
              <w:rPr>
                <w:rFonts w:eastAsia="Times New Roman"/>
                <w:color w:val="000000"/>
                <w:sz w:val="18"/>
                <w:szCs w:val="18"/>
              </w:rPr>
              <w:t>Discount factor</w:t>
            </w:r>
          </w:p>
          <w:p w:rsidR="00000000" w:rsidRDefault="00C56D69">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7.3x</w:t>
            </w:r>
          </w:p>
          <w:p w:rsidR="00000000" w:rsidRDefault="00C56D69">
            <w:pPr>
              <w:spacing w:after="100"/>
              <w:jc w:val="center"/>
              <w:rPr>
                <w:rFonts w:eastAsia="Times New Roman"/>
              </w:rPr>
            </w:pPr>
            <w:r>
              <w:rPr>
                <w:rFonts w:eastAsia="Times New Roman"/>
                <w:b/>
                <w:bCs/>
                <w:color w:val="000000"/>
                <w:sz w:val="18"/>
                <w:szCs w:val="18"/>
              </w:rPr>
              <w:t>10.0%</w:t>
            </w:r>
          </w:p>
          <w:p w:rsidR="00000000" w:rsidRDefault="00C56D69">
            <w:pPr>
              <w:spacing w:after="100"/>
              <w:jc w:val="center"/>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61647945"/>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0.5x - 9.9x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2.8x</w:t>
            </w:r>
          </w:p>
        </w:tc>
      </w:tr>
      <w:tr w:rsidR="00000000">
        <w:trPr>
          <w:divId w:val="1961647945"/>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1,289</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GMIB Utilization Rates</w:t>
            </w:r>
          </w:p>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Mortality: Ages 0-40</w:t>
            </w:r>
          </w:p>
          <w:p w:rsidR="00000000" w:rsidRDefault="00C56D69">
            <w:pPr>
              <w:spacing w:after="100"/>
              <w:jc w:val="right"/>
              <w:rPr>
                <w:rFonts w:eastAsia="Times New Roman"/>
              </w:rPr>
            </w:pPr>
            <w:r>
              <w:rPr>
                <w:rFonts w:eastAsia="Times New Roman"/>
                <w:color w:val="000000"/>
                <w:sz w:val="18"/>
                <w:szCs w:val="18"/>
              </w:rPr>
              <w:t>Ages 41-60</w:t>
            </w:r>
          </w:p>
          <w:p w:rsidR="00000000" w:rsidRDefault="00C56D69">
            <w:pPr>
              <w:spacing w:after="100"/>
              <w:jc w:val="right"/>
              <w:rPr>
                <w:rFonts w:eastAsia="Times New Roman"/>
              </w:rPr>
            </w:pPr>
            <w:r>
              <w:rPr>
                <w:rFonts w:eastAsia="Times New Roman"/>
                <w:color w:val="000000"/>
                <w:sz w:val="18"/>
                <w:szCs w:val="18"/>
              </w:rPr>
              <w:t>Ages 61-115</w:t>
            </w:r>
          </w:p>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0.38%-22.66%</w:t>
            </w:r>
          </w:p>
          <w:p w:rsidR="00000000" w:rsidRDefault="00C56D69">
            <w:pPr>
              <w:spacing w:after="100"/>
              <w:jc w:val="center"/>
              <w:rPr>
                <w:rFonts w:eastAsia="Times New Roman"/>
              </w:rPr>
            </w:pPr>
            <w:r>
              <w:rPr>
                <w:rFonts w:eastAsia="Times New Roman"/>
                <w:b/>
                <w:bCs/>
                <w:color w:val="000000"/>
                <w:sz w:val="18"/>
                <w:szCs w:val="18"/>
              </w:rPr>
              <w:t>0.14%-10.02%</w:t>
            </w:r>
          </w:p>
          <w:p w:rsidR="00000000" w:rsidRDefault="00C56D69">
            <w:pPr>
              <w:spacing w:after="100"/>
              <w:jc w:val="center"/>
              <w:rPr>
                <w:rFonts w:eastAsia="Times New Roman"/>
              </w:rPr>
            </w:pPr>
            <w:r>
              <w:rPr>
                <w:rFonts w:eastAsia="Times New Roman"/>
                <w:b/>
                <w:bCs/>
                <w:color w:val="000000"/>
                <w:sz w:val="18"/>
                <w:szCs w:val="18"/>
              </w:rPr>
              <w:t>0.04%-60.54%</w:t>
            </w:r>
          </w:p>
          <w:p w:rsidR="00000000" w:rsidRDefault="00C56D69">
            <w:pPr>
              <w:spacing w:after="100"/>
              <w:jc w:val="center"/>
              <w:rPr>
                <w:rFonts w:eastAsia="Times New Roman"/>
              </w:rPr>
            </w:pPr>
            <w:r>
              <w:rPr>
                <w:rFonts w:eastAsia="Times New Roman"/>
                <w:b/>
                <w:bCs/>
                <w:color w:val="000000"/>
                <w:sz w:val="18"/>
                <w:szCs w:val="18"/>
              </w:rPr>
              <w:t>101 bps - 167 bps</w:t>
            </w:r>
          </w:p>
          <w:p w:rsidR="00000000" w:rsidRDefault="00C56D69">
            <w:pPr>
              <w:spacing w:after="100"/>
              <w:jc w:val="center"/>
              <w:rPr>
                <w:rFonts w:eastAsia="Times New Roman"/>
              </w:rPr>
            </w:pPr>
            <w:r>
              <w:rPr>
                <w:rFonts w:eastAsia="Times New Roman"/>
                <w:b/>
                <w:bCs/>
                <w:color w:val="000000"/>
                <w:sz w:val="18"/>
                <w:szCs w:val="18"/>
              </w:rPr>
              <w:t>14%-35%</w:t>
            </w:r>
          </w:p>
          <w:p w:rsidR="00000000" w:rsidRDefault="00C56D69">
            <w:pPr>
              <w:spacing w:after="100"/>
              <w:jc w:val="center"/>
              <w:rPr>
                <w:rFonts w:eastAsia="Times New Roman"/>
              </w:rPr>
            </w:pPr>
            <w:r>
              <w:rPr>
                <w:rFonts w:eastAsia="Times New Roman"/>
                <w:b/>
                <w:bCs/>
                <w:color w:val="000000"/>
                <w:sz w:val="18"/>
                <w:szCs w:val="18"/>
              </w:rPr>
              <w:t>0.01%-0.17%</w:t>
            </w:r>
          </w:p>
          <w:p w:rsidR="00000000" w:rsidRDefault="00C56D69">
            <w:pPr>
              <w:spacing w:after="100"/>
              <w:jc w:val="center"/>
              <w:rPr>
                <w:rFonts w:eastAsia="Times New Roman"/>
              </w:rPr>
            </w:pPr>
            <w:r>
              <w:rPr>
                <w:rFonts w:eastAsia="Times New Roman"/>
                <w:b/>
                <w:bCs/>
                <w:color w:val="000000"/>
                <w:sz w:val="18"/>
                <w:szCs w:val="18"/>
              </w:rPr>
              <w:t>0.06%-0.52%</w:t>
            </w:r>
          </w:p>
          <w:p w:rsidR="00000000" w:rsidRDefault="00C56D69">
            <w:pPr>
              <w:spacing w:after="100"/>
              <w:jc w:val="center"/>
              <w:rPr>
                <w:rFonts w:eastAsia="Times New Roman"/>
              </w:rPr>
            </w:pPr>
            <w:r>
              <w:rPr>
                <w:rFonts w:eastAsia="Times New Roman"/>
                <w:b/>
                <w:bCs/>
                <w:color w:val="000000"/>
                <w:sz w:val="18"/>
                <w:szCs w:val="18"/>
              </w:rPr>
              <w:t>0.32%-40.00%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2.92%</w:t>
            </w:r>
          </w:p>
          <w:p w:rsidR="00000000" w:rsidRDefault="00C56D69">
            <w:pPr>
              <w:spacing w:after="100"/>
              <w:jc w:val="center"/>
              <w:rPr>
                <w:rFonts w:eastAsia="Times New Roman"/>
              </w:rPr>
            </w:pPr>
            <w:r>
              <w:rPr>
                <w:rFonts w:eastAsia="Times New Roman"/>
                <w:b/>
                <w:bCs/>
                <w:color w:val="000000"/>
                <w:sz w:val="18"/>
                <w:szCs w:val="18"/>
              </w:rPr>
              <w:t>1.02%</w:t>
            </w:r>
          </w:p>
          <w:p w:rsidR="00000000" w:rsidRDefault="00C56D69">
            <w:pPr>
              <w:spacing w:after="100"/>
              <w:jc w:val="center"/>
              <w:rPr>
                <w:rFonts w:eastAsia="Times New Roman"/>
              </w:rPr>
            </w:pPr>
            <w:r>
              <w:rPr>
                <w:rFonts w:eastAsia="Times New Roman"/>
                <w:b/>
                <w:bCs/>
                <w:color w:val="000000"/>
                <w:sz w:val="18"/>
                <w:szCs w:val="18"/>
              </w:rPr>
              <w:t>5.61%</w:t>
            </w:r>
          </w:p>
          <w:p w:rsidR="00000000" w:rsidRDefault="00C56D69">
            <w:pPr>
              <w:spacing w:after="100"/>
              <w:jc w:val="center"/>
              <w:rPr>
                <w:rFonts w:eastAsia="Times New Roman"/>
              </w:rPr>
            </w:pPr>
            <w:r>
              <w:rPr>
                <w:rFonts w:eastAsia="Times New Roman"/>
                <w:b/>
                <w:bCs/>
                <w:color w:val="000000"/>
                <w:sz w:val="18"/>
                <w:szCs w:val="18"/>
              </w:rPr>
              <w:t>103 bps</w:t>
            </w:r>
          </w:p>
          <w:p w:rsidR="00000000" w:rsidRDefault="00C56D69">
            <w:pPr>
              <w:spacing w:after="100"/>
              <w:jc w:val="center"/>
              <w:rPr>
                <w:rFonts w:eastAsia="Times New Roman"/>
              </w:rPr>
            </w:pPr>
            <w:r>
              <w:rPr>
                <w:rFonts w:eastAsia="Times New Roman"/>
                <w:b/>
                <w:bCs/>
                <w:color w:val="000000"/>
                <w:sz w:val="18"/>
                <w:szCs w:val="18"/>
              </w:rPr>
              <w:t>25%</w:t>
            </w:r>
          </w:p>
          <w:p w:rsidR="00000000" w:rsidRDefault="00C56D69">
            <w:pPr>
              <w:spacing w:after="100"/>
              <w:jc w:val="center"/>
              <w:rPr>
                <w:rFonts w:eastAsia="Times New Roman"/>
              </w:rPr>
            </w:pPr>
            <w:r>
              <w:rPr>
                <w:rFonts w:eastAsia="Times New Roman"/>
                <w:b/>
                <w:bCs/>
                <w:color w:val="000000"/>
                <w:sz w:val="18"/>
                <w:szCs w:val="18"/>
              </w:rPr>
              <w:t>3.09%</w:t>
            </w:r>
          </w:p>
          <w:p w:rsidR="00000000" w:rsidRDefault="00C56D69">
            <w:pPr>
              <w:spacing w:after="100"/>
              <w:jc w:val="center"/>
              <w:rPr>
                <w:rFonts w:eastAsia="Times New Roman"/>
              </w:rPr>
            </w:pPr>
            <w:r>
              <w:rPr>
                <w:rFonts w:eastAsia="Times New Roman"/>
                <w:b/>
                <w:bCs/>
                <w:color w:val="000000"/>
                <w:sz w:val="18"/>
                <w:szCs w:val="18"/>
              </w:rPr>
              <w:t>(same for all ages)</w:t>
            </w:r>
          </w:p>
          <w:p w:rsidR="00000000" w:rsidRDefault="00C56D69">
            <w:pPr>
              <w:spacing w:after="100"/>
              <w:jc w:val="center"/>
              <w:rPr>
                <w:rFonts w:eastAsia="Times New Roman"/>
              </w:rPr>
            </w:pPr>
            <w:r>
              <w:rPr>
                <w:rFonts w:eastAsia="Times New Roman"/>
                <w:b/>
                <w:bCs/>
                <w:color w:val="000000"/>
                <w:sz w:val="18"/>
                <w:szCs w:val="18"/>
              </w:rPr>
              <w:t>(same for all ages)</w:t>
            </w:r>
          </w:p>
        </w:tc>
      </w:tr>
      <w:tr w:rsidR="00000000">
        <w:trPr>
          <w:divId w:val="1961647945"/>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4,312</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GMIB Utilization Rates</w:t>
            </w:r>
          </w:p>
          <w:p w:rsidR="00000000" w:rsidRDefault="00C56D69">
            <w:pPr>
              <w:spacing w:after="100"/>
              <w:jc w:val="right"/>
              <w:rPr>
                <w:rFonts w:eastAsia="Times New Roman"/>
              </w:rPr>
            </w:pPr>
            <w:r>
              <w:rPr>
                <w:rFonts w:eastAsia="Times New Roman"/>
                <w:color w:val="000000"/>
                <w:sz w:val="18"/>
                <w:szCs w:val="18"/>
              </w:rPr>
              <w:t>Non-performance risk (bps)</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Mortality: Ages 0-40</w:t>
            </w:r>
          </w:p>
          <w:p w:rsidR="00000000" w:rsidRDefault="00C56D69">
            <w:pPr>
              <w:spacing w:after="100"/>
              <w:jc w:val="right"/>
              <w:rPr>
                <w:rFonts w:eastAsia="Times New Roman"/>
              </w:rPr>
            </w:pPr>
            <w:r>
              <w:rPr>
                <w:rFonts w:eastAsia="Times New Roman"/>
                <w:color w:val="000000"/>
                <w:sz w:val="18"/>
                <w:szCs w:val="18"/>
              </w:rPr>
              <w:t>Ages 41-60</w:t>
            </w:r>
          </w:p>
          <w:p w:rsidR="00000000" w:rsidRDefault="00C56D69">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0.38%-22.66%</w:t>
            </w:r>
          </w:p>
          <w:p w:rsidR="00000000" w:rsidRDefault="00C56D69">
            <w:pPr>
              <w:spacing w:after="100"/>
              <w:jc w:val="center"/>
              <w:rPr>
                <w:rFonts w:eastAsia="Times New Roman"/>
              </w:rPr>
            </w:pPr>
            <w:r>
              <w:rPr>
                <w:rFonts w:eastAsia="Times New Roman"/>
                <w:b/>
                <w:bCs/>
                <w:color w:val="000000"/>
                <w:sz w:val="18"/>
                <w:szCs w:val="18"/>
              </w:rPr>
              <w:t>0.14%-10.02%</w:t>
            </w:r>
          </w:p>
          <w:p w:rsidR="00000000" w:rsidRDefault="00C56D69">
            <w:pPr>
              <w:spacing w:after="100"/>
              <w:jc w:val="center"/>
              <w:rPr>
                <w:rFonts w:eastAsia="Times New Roman"/>
              </w:rPr>
            </w:pPr>
            <w:r>
              <w:rPr>
                <w:rFonts w:eastAsia="Times New Roman"/>
                <w:b/>
                <w:bCs/>
                <w:color w:val="000000"/>
                <w:sz w:val="18"/>
                <w:szCs w:val="18"/>
              </w:rPr>
              <w:t>0.04%-60.54%</w:t>
            </w:r>
          </w:p>
          <w:p w:rsidR="00000000" w:rsidRDefault="00C56D69">
            <w:pPr>
              <w:spacing w:after="100"/>
              <w:jc w:val="center"/>
              <w:rPr>
                <w:rFonts w:eastAsia="Times New Roman"/>
              </w:rPr>
            </w:pPr>
            <w:r>
              <w:rPr>
                <w:rFonts w:eastAsia="Times New Roman"/>
                <w:b/>
                <w:bCs/>
                <w:color w:val="000000"/>
                <w:sz w:val="18"/>
                <w:szCs w:val="18"/>
              </w:rPr>
              <w:t>63 bps</w:t>
            </w:r>
          </w:p>
          <w:p w:rsidR="00000000" w:rsidRDefault="00C56D69">
            <w:pPr>
              <w:spacing w:after="100"/>
              <w:jc w:val="center"/>
              <w:rPr>
                <w:rFonts w:eastAsia="Times New Roman"/>
              </w:rPr>
            </w:pPr>
            <w:r>
              <w:rPr>
                <w:rFonts w:eastAsia="Times New Roman"/>
                <w:b/>
                <w:bCs/>
                <w:color w:val="000000"/>
                <w:sz w:val="18"/>
                <w:szCs w:val="18"/>
              </w:rPr>
              <w:t>14%-35%</w:t>
            </w:r>
          </w:p>
          <w:p w:rsidR="00000000" w:rsidRDefault="00C56D69">
            <w:pPr>
              <w:spacing w:after="100"/>
              <w:jc w:val="center"/>
              <w:rPr>
                <w:rFonts w:eastAsia="Times New Roman"/>
              </w:rPr>
            </w:pPr>
            <w:r>
              <w:rPr>
                <w:rFonts w:eastAsia="Times New Roman"/>
                <w:b/>
                <w:bCs/>
                <w:color w:val="000000"/>
                <w:sz w:val="18"/>
                <w:szCs w:val="18"/>
              </w:rPr>
              <w:t>0.01%-0.17%</w:t>
            </w:r>
          </w:p>
          <w:p w:rsidR="00000000" w:rsidRDefault="00C56D69">
            <w:pPr>
              <w:spacing w:after="100"/>
              <w:jc w:val="center"/>
              <w:rPr>
                <w:rFonts w:eastAsia="Times New Roman"/>
              </w:rPr>
            </w:pPr>
            <w:r>
              <w:rPr>
                <w:rFonts w:eastAsia="Times New Roman"/>
                <w:b/>
                <w:bCs/>
                <w:color w:val="000000"/>
                <w:sz w:val="18"/>
                <w:szCs w:val="18"/>
              </w:rPr>
              <w:t>0.06%-0.52%</w:t>
            </w:r>
          </w:p>
          <w:p w:rsidR="00000000" w:rsidRDefault="00C56D69">
            <w:pPr>
              <w:spacing w:after="100"/>
              <w:jc w:val="center"/>
              <w:rPr>
                <w:rFonts w:eastAsia="Times New Roman"/>
              </w:rPr>
            </w:pPr>
            <w:r>
              <w:rPr>
                <w:rFonts w:eastAsia="Times New Roman"/>
                <w:b/>
                <w:bCs/>
                <w:color w:val="000000"/>
                <w:sz w:val="18"/>
                <w:szCs w:val="18"/>
              </w:rPr>
              <w:t>0.32%-40.00%</w:t>
            </w:r>
          </w:p>
          <w:p w:rsidR="00000000" w:rsidRDefault="00C56D69">
            <w:pPr>
              <w:spacing w:after="100"/>
              <w:jc w:val="center"/>
              <w:rPr>
                <w:rFonts w:eastAsia="Times New Roman"/>
              </w:rPr>
            </w:pPr>
          </w:p>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1.93%</w:t>
            </w:r>
          </w:p>
          <w:p w:rsidR="00000000" w:rsidRDefault="00C56D69">
            <w:pPr>
              <w:spacing w:after="100"/>
              <w:jc w:val="center"/>
              <w:rPr>
                <w:rFonts w:eastAsia="Times New Roman"/>
              </w:rPr>
            </w:pPr>
            <w:r>
              <w:rPr>
                <w:rFonts w:eastAsia="Times New Roman"/>
                <w:b/>
                <w:bCs/>
                <w:color w:val="000000"/>
                <w:sz w:val="18"/>
                <w:szCs w:val="18"/>
              </w:rPr>
              <w:t>1.38%</w:t>
            </w:r>
          </w:p>
          <w:p w:rsidR="00000000" w:rsidRDefault="00C56D69">
            <w:pPr>
              <w:spacing w:after="100"/>
              <w:jc w:val="center"/>
              <w:rPr>
                <w:rFonts w:eastAsia="Times New Roman"/>
              </w:rPr>
            </w:pPr>
            <w:r>
              <w:rPr>
                <w:rFonts w:eastAsia="Times New Roman"/>
                <w:b/>
                <w:bCs/>
                <w:color w:val="000000"/>
                <w:sz w:val="18"/>
                <w:szCs w:val="18"/>
              </w:rPr>
              <w:t>8.27%</w:t>
            </w:r>
          </w:p>
          <w:p w:rsidR="00000000" w:rsidRDefault="00C56D69">
            <w:pPr>
              <w:spacing w:after="100"/>
              <w:jc w:val="center"/>
              <w:rPr>
                <w:rFonts w:eastAsia="Times New Roman"/>
              </w:rPr>
            </w:pPr>
            <w:r>
              <w:rPr>
                <w:rFonts w:eastAsia="Times New Roman"/>
                <w:b/>
                <w:bCs/>
                <w:color w:val="000000"/>
                <w:sz w:val="18"/>
                <w:szCs w:val="18"/>
              </w:rPr>
              <w:t>63 bps</w:t>
            </w:r>
          </w:p>
          <w:p w:rsidR="00000000" w:rsidRDefault="00C56D69">
            <w:pPr>
              <w:spacing w:after="100"/>
              <w:jc w:val="center"/>
              <w:rPr>
                <w:rFonts w:eastAsia="Times New Roman"/>
              </w:rPr>
            </w:pPr>
            <w:r>
              <w:rPr>
                <w:rFonts w:eastAsia="Times New Roman"/>
                <w:b/>
                <w:bCs/>
                <w:color w:val="000000"/>
                <w:sz w:val="18"/>
                <w:szCs w:val="18"/>
              </w:rPr>
              <w:t>25%</w:t>
            </w:r>
          </w:p>
          <w:p w:rsidR="00000000" w:rsidRDefault="00C56D69">
            <w:pPr>
              <w:spacing w:after="100"/>
              <w:jc w:val="center"/>
              <w:rPr>
                <w:rFonts w:eastAsia="Times New Roman"/>
              </w:rPr>
            </w:pPr>
            <w:r>
              <w:rPr>
                <w:rFonts w:eastAsia="Times New Roman"/>
                <w:b/>
                <w:bCs/>
                <w:color w:val="000000"/>
                <w:sz w:val="18"/>
                <w:szCs w:val="18"/>
              </w:rPr>
              <w:t>2.28%</w:t>
            </w:r>
          </w:p>
          <w:p w:rsidR="00000000" w:rsidRDefault="00C56D69">
            <w:pPr>
              <w:spacing w:after="100"/>
              <w:jc w:val="center"/>
              <w:rPr>
                <w:rFonts w:eastAsia="Times New Roman"/>
              </w:rPr>
            </w:pPr>
            <w:r>
              <w:rPr>
                <w:rFonts w:eastAsia="Times New Roman"/>
                <w:b/>
                <w:bCs/>
                <w:color w:val="000000"/>
                <w:sz w:val="18"/>
                <w:szCs w:val="18"/>
              </w:rPr>
              <w:t>(same for all ages)</w:t>
            </w:r>
          </w:p>
          <w:p w:rsidR="00000000" w:rsidRDefault="00C56D69">
            <w:pPr>
              <w:spacing w:after="100"/>
              <w:jc w:val="center"/>
              <w:rPr>
                <w:rFonts w:eastAsia="Times New Roman"/>
              </w:rPr>
            </w:pPr>
            <w:r>
              <w:rPr>
                <w:rFonts w:eastAsia="Times New Roman"/>
                <w:b/>
                <w:bCs/>
                <w:color w:val="000000"/>
                <w:sz w:val="18"/>
                <w:szCs w:val="18"/>
              </w:rPr>
              <w:t>(same for all ages)</w:t>
            </w:r>
          </w:p>
        </w:tc>
      </w:tr>
      <w:tr w:rsidR="00000000">
        <w:trPr>
          <w:divId w:val="1961647945"/>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167990656"/>
        <w:rPr>
          <w:rFonts w:eastAsia="Times New Roman"/>
        </w:rPr>
      </w:pPr>
    </w:p>
    <w:p w:rsidR="00000000" w:rsidRDefault="00C56D69">
      <w:pPr>
        <w:jc w:val="center"/>
        <w:divId w:val="167990656"/>
        <w:rPr>
          <w:rFonts w:eastAsia="Times New Roman"/>
        </w:rPr>
      </w:pPr>
      <w:r>
        <w:rPr>
          <w:rFonts w:eastAsia="Times New Roman"/>
          <w:color w:val="000000"/>
          <w:sz w:val="20"/>
          <w:szCs w:val="20"/>
        </w:rPr>
        <w:t>52</w:t>
      </w:r>
    </w:p>
    <w:p w:rsidR="00000000" w:rsidRDefault="00C56D69">
      <w:pPr>
        <w:rPr>
          <w:rFonts w:eastAsia="Times New Roman"/>
        </w:rPr>
      </w:pPr>
      <w:r>
        <w:rPr>
          <w:rFonts w:eastAsia="Times New Roman"/>
        </w:rPr>
        <w:pict>
          <v:rect id="_x0000_i1078" style="width:0;height:1.5pt" o:hralign="center" o:hrstd="t" o:hr="t" fillcolor="#a0a0a0" stroked="f"/>
        </w:pict>
      </w:r>
    </w:p>
    <w:p w:rsidR="00000000" w:rsidRDefault="00C56D69">
      <w:pPr>
        <w:divId w:val="213243198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682975651"/>
        <w:rPr>
          <w:rFonts w:eastAsia="Times New Roman"/>
        </w:rPr>
      </w:pPr>
      <w:r>
        <w:rPr>
          <w:rFonts w:eastAsia="Times New Roman"/>
          <w:b/>
          <w:bCs/>
          <w:color w:val="000000"/>
          <w:sz w:val="20"/>
          <w:szCs w:val="20"/>
        </w:rPr>
        <w:t>EQUITABLE HOLDINGS, INC.</w:t>
      </w:r>
    </w:p>
    <w:p w:rsidR="00000000" w:rsidRDefault="00C56D69">
      <w:pPr>
        <w:jc w:val="center"/>
        <w:divId w:val="1682975651"/>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68297565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85"/>
        <w:gridCol w:w="37"/>
        <w:gridCol w:w="36"/>
        <w:gridCol w:w="36"/>
        <w:gridCol w:w="36"/>
        <w:gridCol w:w="51"/>
        <w:gridCol w:w="1042"/>
        <w:gridCol w:w="37"/>
        <w:gridCol w:w="36"/>
        <w:gridCol w:w="36"/>
        <w:gridCol w:w="36"/>
        <w:gridCol w:w="45"/>
        <w:gridCol w:w="1182"/>
        <w:gridCol w:w="36"/>
      </w:tblGrid>
      <w:tr w:rsidR="00000000">
        <w:trPr>
          <w:divId w:val="884760121"/>
          <w:jc w:val="center"/>
        </w:trPr>
        <w:tc>
          <w:tcPr>
            <w:tcW w:w="50" w:type="pct"/>
            <w:vAlign w:val="center"/>
            <w:hideMark/>
          </w:tcPr>
          <w:p w:rsidR="00000000" w:rsidRDefault="00C56D69">
            <w:pPr>
              <w:jc w:val="center"/>
              <w:rPr>
                <w:rFonts w:eastAsia="Times New Roman"/>
              </w:rPr>
            </w:pPr>
          </w:p>
        </w:tc>
        <w:tc>
          <w:tcPr>
            <w:tcW w:w="105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3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7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884760121"/>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w:t>
            </w:r>
          </w:p>
          <w:p w:rsidR="00000000" w:rsidRDefault="00C56D69">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Valuation</w:t>
            </w:r>
          </w:p>
          <w:p w:rsidR="00000000" w:rsidRDefault="00C56D69">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Significant</w:t>
            </w:r>
          </w:p>
          <w:p w:rsidR="00000000" w:rsidRDefault="00C56D69">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Weighted Average (2)</w:t>
            </w:r>
          </w:p>
        </w:tc>
      </w:tr>
      <w:tr w:rsidR="00000000">
        <w:trPr>
          <w:divId w:val="884760121"/>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273</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Expected revenue growth rates</w:t>
            </w:r>
          </w:p>
          <w:p w:rsidR="00000000" w:rsidRDefault="00C56D69">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2.0% - 83.9%</w:t>
            </w:r>
          </w:p>
          <w:p w:rsidR="00000000" w:rsidRDefault="00C56D69">
            <w:pPr>
              <w:spacing w:after="100"/>
              <w:jc w:val="center"/>
              <w:rPr>
                <w:rFonts w:eastAsia="Times New Roman"/>
              </w:rPr>
            </w:pPr>
            <w:r>
              <w:rPr>
                <w:rFonts w:eastAsia="Times New Roman"/>
                <w:b/>
                <w:bCs/>
                <w:color w:val="000000"/>
                <w:sz w:val="18"/>
                <w:szCs w:val="18"/>
              </w:rPr>
              <w:t xml:space="preserve">1.9% - </w:t>
            </w:r>
            <w:r>
              <w:rPr>
                <w:rFonts w:eastAsia="Times New Roman"/>
                <w:b/>
                <w:bCs/>
                <w:color w:val="000000"/>
                <w:sz w:val="18"/>
                <w:szCs w:val="18"/>
              </w:rPr>
              <w:t>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11.5%</w:t>
            </w:r>
          </w:p>
          <w:p w:rsidR="00000000" w:rsidRDefault="00C56D69">
            <w:pPr>
              <w:spacing w:after="100"/>
              <w:jc w:val="center"/>
              <w:rPr>
                <w:rFonts w:eastAsia="Times New Roman"/>
              </w:rPr>
            </w:pPr>
            <w:r>
              <w:rPr>
                <w:rFonts w:eastAsia="Times New Roman"/>
                <w:b/>
                <w:bCs/>
                <w:color w:val="000000"/>
                <w:sz w:val="18"/>
                <w:szCs w:val="18"/>
              </w:rPr>
              <w:t>4.5%</w:t>
            </w:r>
          </w:p>
        </w:tc>
      </w:tr>
      <w:tr w:rsidR="00000000">
        <w:trPr>
          <w:divId w:val="884760121"/>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5,817</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Annuitization rates</w:t>
            </w:r>
          </w:p>
          <w:p w:rsidR="00000000" w:rsidRDefault="00C56D69">
            <w:pPr>
              <w:spacing w:after="100"/>
              <w:jc w:val="right"/>
              <w:rPr>
                <w:rFonts w:eastAsia="Times New Roman"/>
              </w:rPr>
            </w:pPr>
            <w:r>
              <w:rPr>
                <w:rFonts w:eastAsia="Times New Roman"/>
                <w:color w:val="000000"/>
                <w:sz w:val="18"/>
                <w:szCs w:val="18"/>
              </w:rPr>
              <w:t>Mortality rates (1):</w:t>
            </w:r>
          </w:p>
          <w:p w:rsidR="00000000" w:rsidRDefault="00C56D69">
            <w:pPr>
              <w:spacing w:after="100"/>
              <w:jc w:val="right"/>
              <w:rPr>
                <w:rFonts w:eastAsia="Times New Roman"/>
              </w:rPr>
            </w:pPr>
            <w:r>
              <w:rPr>
                <w:rFonts w:eastAsia="Times New Roman"/>
                <w:color w:val="000000"/>
                <w:sz w:val="18"/>
                <w:szCs w:val="18"/>
              </w:rPr>
              <w:t>Ages 0 - 40</w:t>
            </w:r>
          </w:p>
          <w:p w:rsidR="00000000" w:rsidRDefault="00C56D69">
            <w:pPr>
              <w:spacing w:after="100"/>
              <w:jc w:val="right"/>
              <w:rPr>
                <w:rFonts w:eastAsia="Times New Roman"/>
              </w:rPr>
            </w:pPr>
            <w:r>
              <w:rPr>
                <w:rFonts w:eastAsia="Times New Roman"/>
                <w:color w:val="000000"/>
                <w:sz w:val="18"/>
                <w:szCs w:val="18"/>
              </w:rPr>
              <w:t>Ages 41-60</w:t>
            </w:r>
          </w:p>
          <w:p w:rsidR="00000000" w:rsidRDefault="00C56D69">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186 bps</w:t>
            </w:r>
          </w:p>
          <w:p w:rsidR="00000000" w:rsidRDefault="00C56D69">
            <w:pPr>
              <w:spacing w:after="100"/>
              <w:jc w:val="center"/>
              <w:rPr>
                <w:rFonts w:eastAsia="Times New Roman"/>
              </w:rPr>
            </w:pPr>
            <w:r>
              <w:rPr>
                <w:rFonts w:eastAsia="Times New Roman"/>
                <w:b/>
                <w:bCs/>
                <w:color w:val="000000"/>
                <w:sz w:val="18"/>
                <w:szCs w:val="18"/>
              </w:rPr>
              <w:t>0.38%-28.79%</w:t>
            </w:r>
          </w:p>
          <w:p w:rsidR="00000000" w:rsidRDefault="00C56D69">
            <w:pPr>
              <w:spacing w:after="100"/>
              <w:jc w:val="center"/>
              <w:rPr>
                <w:rFonts w:eastAsia="Times New Roman"/>
              </w:rPr>
            </w:pPr>
            <w:r>
              <w:rPr>
                <w:rFonts w:eastAsia="Times New Roman"/>
                <w:b/>
                <w:bCs/>
                <w:color w:val="000000"/>
                <w:sz w:val="18"/>
                <w:szCs w:val="18"/>
              </w:rPr>
              <w:t>0.14%-10.02%</w:t>
            </w:r>
          </w:p>
          <w:p w:rsidR="00000000" w:rsidRDefault="00C56D69">
            <w:pPr>
              <w:spacing w:after="100"/>
              <w:jc w:val="center"/>
              <w:rPr>
                <w:rFonts w:eastAsia="Times New Roman"/>
              </w:rPr>
            </w:pPr>
            <w:r>
              <w:rPr>
                <w:rFonts w:eastAsia="Times New Roman"/>
                <w:b/>
                <w:bCs/>
                <w:color w:val="000000"/>
                <w:sz w:val="18"/>
                <w:szCs w:val="18"/>
              </w:rPr>
              <w:t>0.04%-</w:t>
            </w:r>
            <w:r>
              <w:rPr>
                <w:rFonts w:eastAsia="Times New Roman"/>
                <w:b/>
                <w:bCs/>
                <w:color w:val="000000"/>
                <w:sz w:val="18"/>
                <w:szCs w:val="18"/>
              </w:rPr>
              <w:t>100.00%</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b/>
                <w:bCs/>
                <w:color w:val="000000"/>
                <w:sz w:val="18"/>
                <w:szCs w:val="18"/>
              </w:rPr>
              <w:t>0.01%-0.18%</w:t>
            </w:r>
          </w:p>
          <w:p w:rsidR="00000000" w:rsidRDefault="00C56D69">
            <w:pPr>
              <w:spacing w:after="100"/>
              <w:jc w:val="center"/>
              <w:rPr>
                <w:rFonts w:eastAsia="Times New Roman"/>
              </w:rPr>
            </w:pPr>
            <w:r>
              <w:rPr>
                <w:rFonts w:eastAsia="Times New Roman"/>
                <w:b/>
                <w:bCs/>
                <w:color w:val="000000"/>
                <w:sz w:val="18"/>
                <w:szCs w:val="18"/>
              </w:rPr>
              <w:t>0.07%-0.56%</w:t>
            </w:r>
          </w:p>
          <w:p w:rsidR="00000000" w:rsidRDefault="00C56D69">
            <w:pPr>
              <w:spacing w:after="100"/>
              <w:jc w:val="center"/>
              <w:rPr>
                <w:rFonts w:eastAsia="Times New Roman"/>
              </w:rPr>
            </w:pPr>
            <w:r>
              <w:rPr>
                <w:rFonts w:eastAsia="Times New Roman"/>
                <w:b/>
                <w:bCs/>
                <w:color w:val="000000"/>
                <w:sz w:val="18"/>
                <w:szCs w:val="18"/>
              </w:rPr>
              <w:t>0.44%-43.60%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186 bps</w:t>
            </w:r>
          </w:p>
          <w:p w:rsidR="00000000" w:rsidRDefault="00C56D69">
            <w:pPr>
              <w:spacing w:after="100"/>
              <w:jc w:val="center"/>
              <w:rPr>
                <w:rFonts w:eastAsia="Times New Roman"/>
              </w:rPr>
            </w:pPr>
            <w:r>
              <w:rPr>
                <w:rFonts w:eastAsia="Times New Roman"/>
                <w:b/>
                <w:bCs/>
                <w:color w:val="000000"/>
                <w:sz w:val="18"/>
                <w:szCs w:val="18"/>
              </w:rPr>
              <w:t>4.23%</w:t>
            </w:r>
          </w:p>
          <w:p w:rsidR="00000000" w:rsidRDefault="00C56D69">
            <w:pPr>
              <w:spacing w:after="100"/>
              <w:jc w:val="center"/>
              <w:rPr>
                <w:rFonts w:eastAsia="Times New Roman"/>
              </w:rPr>
            </w:pPr>
            <w:r>
              <w:rPr>
                <w:rFonts w:eastAsia="Times New Roman"/>
                <w:b/>
                <w:bCs/>
                <w:color w:val="000000"/>
                <w:sz w:val="18"/>
                <w:szCs w:val="18"/>
              </w:rPr>
              <w:t>1.27%</w:t>
            </w:r>
          </w:p>
          <w:p w:rsidR="00000000" w:rsidRDefault="00C56D69">
            <w:pPr>
              <w:spacing w:after="100"/>
              <w:jc w:val="center"/>
              <w:rPr>
                <w:rFonts w:eastAsia="Times New Roman"/>
              </w:rPr>
            </w:pPr>
            <w:r>
              <w:rPr>
                <w:rFonts w:eastAsia="Times New Roman"/>
                <w:b/>
                <w:bCs/>
                <w:color w:val="000000"/>
                <w:sz w:val="18"/>
                <w:szCs w:val="18"/>
              </w:rPr>
              <w:t>6.10%</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b/>
                <w:bCs/>
                <w:color w:val="000000"/>
                <w:sz w:val="18"/>
                <w:szCs w:val="18"/>
              </w:rPr>
              <w:t>1.71%</w:t>
            </w:r>
          </w:p>
          <w:p w:rsidR="00000000" w:rsidRDefault="00C56D69">
            <w:pPr>
              <w:spacing w:after="100"/>
              <w:jc w:val="center"/>
              <w:rPr>
                <w:rFonts w:eastAsia="Times New Roman"/>
              </w:rPr>
            </w:pPr>
            <w:r>
              <w:rPr>
                <w:rFonts w:eastAsia="Times New Roman"/>
                <w:b/>
                <w:bCs/>
                <w:color w:val="000000"/>
                <w:sz w:val="18"/>
                <w:szCs w:val="18"/>
              </w:rPr>
              <w:t>(same for all ages)</w:t>
            </w:r>
          </w:p>
          <w:p w:rsidR="00000000" w:rsidRDefault="00C56D69">
            <w:pPr>
              <w:spacing w:after="100"/>
              <w:jc w:val="center"/>
              <w:rPr>
                <w:rFonts w:eastAsia="Times New Roman"/>
              </w:rPr>
            </w:pPr>
            <w:r>
              <w:rPr>
                <w:rFonts w:eastAsia="Times New Roman"/>
                <w:b/>
                <w:bCs/>
                <w:color w:val="000000"/>
                <w:sz w:val="18"/>
                <w:szCs w:val="18"/>
              </w:rPr>
              <w:t>(same for all ages)</w:t>
            </w:r>
          </w:p>
        </w:tc>
      </w:tr>
      <w:tr w:rsidR="00000000">
        <w:trPr>
          <w:divId w:val="884760121"/>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Utilization Rates</w:t>
            </w:r>
          </w:p>
          <w:p w:rsidR="00000000" w:rsidRDefault="00C56D69">
            <w:pPr>
              <w:spacing w:after="100"/>
              <w:jc w:val="right"/>
              <w:rPr>
                <w:rFonts w:eastAsia="Times New Roman"/>
              </w:rPr>
            </w:pP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0.50%-22.66%</w:t>
            </w:r>
          </w:p>
          <w:p w:rsidR="00000000" w:rsidRDefault="00C56D69">
            <w:pPr>
              <w:spacing w:after="100"/>
              <w:jc w:val="center"/>
              <w:rPr>
                <w:rFonts w:eastAsia="Times New Roman"/>
              </w:rPr>
            </w:pPr>
            <w:r>
              <w:rPr>
                <w:rFonts w:eastAsia="Times New Roman"/>
                <w:b/>
                <w:bCs/>
                <w:color w:val="000000"/>
                <w:sz w:val="18"/>
                <w:szCs w:val="18"/>
              </w:rPr>
              <w:t>0.00%-8.00%</w:t>
            </w:r>
          </w:p>
          <w:p w:rsidR="00000000" w:rsidRDefault="00C56D69">
            <w:pPr>
              <w:spacing w:after="100"/>
              <w:jc w:val="center"/>
              <w:rPr>
                <w:rFonts w:eastAsia="Times New Roman"/>
              </w:rPr>
            </w:pPr>
            <w:r>
              <w:rPr>
                <w:rFonts w:eastAsia="Times New Roman"/>
                <w:b/>
                <w:bCs/>
                <w:color w:val="000000"/>
                <w:sz w:val="18"/>
                <w:szCs w:val="18"/>
              </w:rPr>
              <w:t>100% once starting</w:t>
            </w:r>
          </w:p>
          <w:p w:rsidR="00000000" w:rsidRDefault="00C56D69">
            <w:pPr>
              <w:spacing w:after="100"/>
              <w:jc w:val="center"/>
              <w:rPr>
                <w:rFonts w:eastAsia="Times New Roman"/>
              </w:rPr>
            </w:pPr>
            <w:r>
              <w:rPr>
                <w:rFonts w:eastAsia="Times New Roman"/>
                <w:b/>
                <w:bCs/>
                <w:color w:val="000000"/>
                <w:sz w:val="18"/>
                <w:szCs w:val="18"/>
              </w:rPr>
              <w:t>14%-35%</w:t>
            </w:r>
          </w:p>
          <w:p w:rsidR="00000000" w:rsidRDefault="00C56D69">
            <w:pPr>
              <w:spacing w:after="100"/>
              <w:jc w:val="center"/>
              <w:rPr>
                <w:rFonts w:eastAsia="Times New Roman"/>
              </w:rPr>
            </w:pPr>
            <w:r>
              <w:rPr>
                <w:rFonts w:eastAsia="Times New Roman"/>
                <w:b/>
                <w:bCs/>
                <w:color w:val="000000"/>
                <w:sz w:val="18"/>
                <w:szCs w:val="18"/>
              </w:rPr>
              <w:t>186 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2.92%</w:t>
            </w:r>
          </w:p>
          <w:p w:rsidR="00000000" w:rsidRDefault="00C56D69">
            <w:pPr>
              <w:spacing w:after="100"/>
              <w:jc w:val="center"/>
              <w:rPr>
                <w:rFonts w:eastAsia="Times New Roman"/>
              </w:rPr>
            </w:pPr>
            <w:r>
              <w:rPr>
                <w:rFonts w:eastAsia="Times New Roman"/>
                <w:b/>
                <w:bCs/>
                <w:color w:val="000000"/>
                <w:sz w:val="18"/>
                <w:szCs w:val="18"/>
              </w:rPr>
              <w:t>1.02%</w:t>
            </w:r>
          </w:p>
          <w:p w:rsidR="00000000" w:rsidRDefault="00C56D69">
            <w:pPr>
              <w:spacing w:after="100"/>
              <w:jc w:val="center"/>
              <w:rPr>
                <w:rFonts w:eastAsia="Times New Roman"/>
              </w:rPr>
            </w:pP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b/>
                <w:bCs/>
                <w:color w:val="000000"/>
                <w:sz w:val="18"/>
                <w:szCs w:val="18"/>
              </w:rPr>
              <w:t>25%</w:t>
            </w:r>
          </w:p>
        </w:tc>
      </w:tr>
      <w:tr w:rsidR="00000000">
        <w:trPr>
          <w:divId w:val="884760121"/>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(64)</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Utilization Rates</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0.50%-22.66%</w:t>
            </w:r>
          </w:p>
          <w:p w:rsidR="00000000" w:rsidRDefault="00C56D69">
            <w:pPr>
              <w:spacing w:after="100"/>
              <w:jc w:val="center"/>
              <w:rPr>
                <w:rFonts w:eastAsia="Times New Roman"/>
              </w:rPr>
            </w:pPr>
            <w:r>
              <w:rPr>
                <w:rFonts w:eastAsia="Times New Roman"/>
                <w:b/>
                <w:bCs/>
                <w:color w:val="000000"/>
                <w:sz w:val="18"/>
                <w:szCs w:val="18"/>
              </w:rPr>
              <w:t>0.26%-2.10%</w:t>
            </w:r>
          </w:p>
          <w:p w:rsidR="00000000" w:rsidRDefault="00C56D69">
            <w:pPr>
              <w:spacing w:after="100"/>
              <w:jc w:val="center"/>
              <w:rPr>
                <w:rFonts w:eastAsia="Times New Roman"/>
              </w:rPr>
            </w:pPr>
            <w:r>
              <w:rPr>
                <w:rFonts w:eastAsia="Times New Roman"/>
                <w:b/>
                <w:bCs/>
                <w:color w:val="000000"/>
                <w:sz w:val="18"/>
                <w:szCs w:val="18"/>
              </w:rPr>
              <w:t>0.04%-100.00%</w:t>
            </w:r>
          </w:p>
          <w:p w:rsidR="00000000" w:rsidRDefault="00C56D69">
            <w:pPr>
              <w:spacing w:after="100"/>
              <w:jc w:val="center"/>
              <w:rPr>
                <w:rFonts w:eastAsia="Times New Roman"/>
              </w:rPr>
            </w:pPr>
            <w:r>
              <w:rPr>
                <w:rFonts w:eastAsia="Times New Roman"/>
                <w:b/>
                <w:bCs/>
                <w:color w:val="000000"/>
                <w:sz w:val="18"/>
                <w:szCs w:val="18"/>
              </w:rPr>
              <w:t>14% - 35%</w:t>
            </w:r>
          </w:p>
          <w:p w:rsidR="00000000" w:rsidRDefault="00C56D69">
            <w:pPr>
              <w:spacing w:after="100"/>
              <w:jc w:val="center"/>
              <w:rPr>
                <w:rFonts w:eastAsia="Times New Roman"/>
              </w:rPr>
            </w:pPr>
            <w:r>
              <w:rPr>
                <w:rFonts w:eastAsia="Times New Roman"/>
                <w:b/>
                <w:bCs/>
                <w:color w:val="000000"/>
                <w:sz w:val="18"/>
                <w:szCs w:val="18"/>
              </w:rPr>
              <w:t xml:space="preserve">186 bps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2.92%</w:t>
            </w:r>
          </w:p>
          <w:p w:rsidR="00000000" w:rsidRDefault="00C56D69">
            <w:pPr>
              <w:spacing w:after="100"/>
              <w:jc w:val="center"/>
              <w:rPr>
                <w:rFonts w:eastAsia="Times New Roman"/>
              </w:rPr>
            </w:pPr>
            <w:r>
              <w:rPr>
                <w:rFonts w:eastAsia="Times New Roman"/>
                <w:b/>
                <w:bCs/>
                <w:color w:val="000000"/>
                <w:sz w:val="18"/>
                <w:szCs w:val="18"/>
              </w:rPr>
              <w:t>1.02%</w:t>
            </w:r>
          </w:p>
          <w:p w:rsidR="00000000" w:rsidRDefault="00C56D69">
            <w:pPr>
              <w:spacing w:after="100"/>
              <w:jc w:val="center"/>
              <w:rPr>
                <w:rFonts w:eastAsia="Times New Roman"/>
              </w:rPr>
            </w:pPr>
            <w:r>
              <w:rPr>
                <w:rFonts w:eastAsia="Times New Roman"/>
                <w:b/>
                <w:bCs/>
                <w:color w:val="000000"/>
                <w:sz w:val="18"/>
                <w:szCs w:val="18"/>
              </w:rPr>
              <w:t>5.61%</w:t>
            </w:r>
          </w:p>
          <w:p w:rsidR="00000000" w:rsidRDefault="00C56D69">
            <w:pPr>
              <w:spacing w:after="100"/>
              <w:jc w:val="center"/>
              <w:rPr>
                <w:rFonts w:eastAsia="Times New Roman"/>
              </w:rPr>
            </w:pPr>
            <w:r>
              <w:rPr>
                <w:rFonts w:eastAsia="Times New Roman"/>
                <w:b/>
                <w:bCs/>
                <w:color w:val="000000"/>
                <w:sz w:val="18"/>
                <w:szCs w:val="18"/>
              </w:rPr>
              <w:t>25%</w:t>
            </w:r>
          </w:p>
        </w:tc>
      </w:tr>
      <w:tr w:rsidR="00000000">
        <w:trPr>
          <w:divId w:val="884760121"/>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18"/>
                <w:szCs w:val="18"/>
              </w:rPr>
              <w:t>(1)</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0.50%-22.66%</w:t>
            </w:r>
          </w:p>
          <w:p w:rsidR="00000000" w:rsidRDefault="00C56D69">
            <w:pPr>
              <w:spacing w:after="100"/>
              <w:jc w:val="center"/>
              <w:rPr>
                <w:rFonts w:eastAsia="Times New Roman"/>
              </w:rPr>
            </w:pPr>
            <w:r>
              <w:rPr>
                <w:rFonts w:eastAsia="Times New Roman"/>
                <w:b/>
                <w:bCs/>
                <w:color w:val="000000"/>
                <w:sz w:val="18"/>
                <w:szCs w:val="18"/>
              </w:rPr>
              <w:t>14%-35%</w:t>
            </w:r>
          </w:p>
          <w:p w:rsidR="00000000" w:rsidRDefault="00C56D69">
            <w:pPr>
              <w:spacing w:after="100"/>
              <w:jc w:val="center"/>
              <w:rPr>
                <w:rFonts w:eastAsia="Times New Roman"/>
              </w:rPr>
            </w:pPr>
            <w:r>
              <w:rPr>
                <w:rFonts w:eastAsia="Times New Roman"/>
                <w:b/>
                <w:bCs/>
                <w:color w:val="000000"/>
                <w:sz w:val="18"/>
                <w:szCs w:val="18"/>
              </w:rPr>
              <w:t xml:space="preserve">186 bps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b/>
                <w:bCs/>
                <w:color w:val="000000"/>
                <w:sz w:val="18"/>
                <w:szCs w:val="18"/>
              </w:rPr>
              <w:t>2.92%</w:t>
            </w:r>
          </w:p>
          <w:p w:rsidR="00000000" w:rsidRDefault="00C56D69">
            <w:pPr>
              <w:spacing w:after="100"/>
              <w:jc w:val="center"/>
              <w:rPr>
                <w:rFonts w:eastAsia="Times New Roman"/>
              </w:rPr>
            </w:pPr>
            <w:r>
              <w:rPr>
                <w:rFonts w:eastAsia="Times New Roman"/>
                <w:b/>
                <w:bCs/>
                <w:color w:val="000000"/>
                <w:sz w:val="18"/>
                <w:szCs w:val="18"/>
              </w:rPr>
              <w:t>25%</w:t>
            </w:r>
          </w:p>
        </w:tc>
      </w:tr>
    </w:tbl>
    <w:p w:rsidR="00000000" w:rsidRDefault="00C56D69">
      <w:pPr>
        <w:ind w:hanging="360"/>
        <w:divId w:val="1698458877"/>
        <w:rPr>
          <w:rFonts w:eastAsia="Times New Roman"/>
        </w:rPr>
      </w:pPr>
      <w:r>
        <w:rPr>
          <w:rFonts w:eastAsia="Times New Roman"/>
          <w:color w:val="000000"/>
          <w:sz w:val="20"/>
          <w:szCs w:val="20"/>
        </w:rPr>
        <w:t>______________</w:t>
      </w:r>
    </w:p>
    <w:p w:rsidR="00000000" w:rsidRDefault="00C56D69">
      <w:pPr>
        <w:ind w:hanging="360"/>
        <w:divId w:val="1268612126"/>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C56D69">
      <w:pPr>
        <w:ind w:hanging="360"/>
        <w:divId w:val="866874947"/>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C56D69">
      <w:pPr>
        <w:jc w:val="center"/>
        <w:rPr>
          <w:rFonts w:eastAsia="Times New Roman"/>
        </w:rPr>
      </w:pPr>
      <w:r>
        <w:rPr>
          <w:rFonts w:eastAsia="Times New Roman"/>
          <w:color w:val="000000"/>
          <w:sz w:val="20"/>
          <w:szCs w:val="20"/>
        </w:rPr>
        <w:t>Quantitative Information about Level 3 Fair Value Measurements as of December 31, 2021</w:t>
      </w:r>
    </w:p>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03"/>
        <w:gridCol w:w="36"/>
        <w:gridCol w:w="110"/>
        <w:gridCol w:w="402"/>
        <w:gridCol w:w="36"/>
        <w:gridCol w:w="36"/>
        <w:gridCol w:w="36"/>
        <w:gridCol w:w="36"/>
        <w:gridCol w:w="52"/>
        <w:gridCol w:w="1285"/>
        <w:gridCol w:w="37"/>
        <w:gridCol w:w="36"/>
        <w:gridCol w:w="36"/>
        <w:gridCol w:w="36"/>
        <w:gridCol w:w="55"/>
        <w:gridCol w:w="1840"/>
        <w:gridCol w:w="36"/>
        <w:gridCol w:w="36"/>
        <w:gridCol w:w="36"/>
        <w:gridCol w:w="36"/>
        <w:gridCol w:w="47"/>
        <w:gridCol w:w="936"/>
        <w:gridCol w:w="38"/>
        <w:gridCol w:w="36"/>
        <w:gridCol w:w="36"/>
        <w:gridCol w:w="36"/>
        <w:gridCol w:w="44"/>
        <w:gridCol w:w="1126"/>
        <w:gridCol w:w="36"/>
      </w:tblGrid>
      <w:tr w:rsidR="00000000">
        <w:trPr>
          <w:divId w:val="1677806330"/>
          <w:jc w:val="center"/>
        </w:trPr>
        <w:tc>
          <w:tcPr>
            <w:tcW w:w="50" w:type="pct"/>
            <w:vAlign w:val="center"/>
            <w:hideMark/>
          </w:tcPr>
          <w:p w:rsidR="00000000" w:rsidRDefault="00C56D69">
            <w:pPr>
              <w:jc w:val="center"/>
              <w:rPr>
                <w:rFonts w:eastAsia="Times New Roman"/>
              </w:rPr>
            </w:pPr>
          </w:p>
        </w:tc>
        <w:tc>
          <w:tcPr>
            <w:tcW w:w="10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9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Weighted Average (2)</w:t>
            </w:r>
          </w:p>
        </w:tc>
      </w:tr>
      <w:tr w:rsidR="00000000">
        <w:trPr>
          <w:divId w:val="167780633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Mar>
              <w:top w:w="30" w:type="dxa"/>
              <w:left w:w="155"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258 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8"/>
                <w:szCs w:val="18"/>
              </w:rPr>
              <w:t>20 bps - 270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20"/>
                <w:szCs w:val="20"/>
              </w:rPr>
              <w:t>144 bps</w:t>
            </w:r>
          </w:p>
        </w:tc>
      </w:tr>
      <w:tr w:rsidR="00000000">
        <w:trPr>
          <w:divId w:val="1677806330"/>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888 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EBITDA multiples</w:t>
            </w:r>
          </w:p>
          <w:p w:rsidR="00000000" w:rsidRDefault="00C56D69">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rsidR="00000000" w:rsidRDefault="00C56D69">
            <w:pPr>
              <w:spacing w:after="100"/>
              <w:jc w:val="right"/>
              <w:rPr>
                <w:rFonts w:eastAsia="Times New Roman"/>
              </w:rPr>
            </w:pPr>
            <w:r>
              <w:rPr>
                <w:rFonts w:eastAsia="Times New Roman"/>
                <w:color w:val="000000"/>
                <w:sz w:val="18"/>
                <w:szCs w:val="18"/>
              </w:rPr>
              <w:t> Cash flow multiples</w:t>
            </w:r>
          </w:p>
          <w:p w:rsidR="00000000" w:rsidRDefault="00C56D69">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4.9x - 62.3x</w:t>
            </w:r>
          </w:p>
          <w:p w:rsidR="00000000" w:rsidRDefault="00C56D69">
            <w:pPr>
              <w:spacing w:after="100"/>
              <w:jc w:val="center"/>
              <w:rPr>
                <w:rFonts w:eastAsia="Times New Roman"/>
              </w:rPr>
            </w:pPr>
            <w:r>
              <w:rPr>
                <w:rFonts w:eastAsia="Times New Roman"/>
                <w:color w:val="000000"/>
                <w:sz w:val="18"/>
                <w:szCs w:val="18"/>
              </w:rPr>
              <w:t xml:space="preserve">6.2% - 21.5% </w:t>
            </w:r>
          </w:p>
          <w:p w:rsidR="00000000" w:rsidRDefault="00C56D69">
            <w:pPr>
              <w:spacing w:after="100"/>
              <w:jc w:val="center"/>
              <w:rPr>
                <w:rFonts w:eastAsia="Times New Roman"/>
              </w:rPr>
            </w:pPr>
            <w:r>
              <w:rPr>
                <w:rFonts w:eastAsia="Times New Roman"/>
                <w:color w:val="000000"/>
                <w:sz w:val="18"/>
                <w:szCs w:val="18"/>
              </w:rPr>
              <w:t>0.5x-10.0x</w:t>
            </w:r>
          </w:p>
          <w:p w:rsidR="00000000" w:rsidRDefault="00C56D69">
            <w:pPr>
              <w:spacing w:after="100"/>
              <w:jc w:val="center"/>
              <w:rPr>
                <w:rFonts w:eastAsia="Times New Roman"/>
              </w:rPr>
            </w:pPr>
            <w:r>
              <w:rPr>
                <w:rFonts w:eastAsia="Times New Roman"/>
                <w:color w:val="000000"/>
                <w:sz w:val="18"/>
                <w:szCs w:val="18"/>
              </w:rPr>
              <w:t>3.1%-63.4%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13.0x</w:t>
            </w:r>
          </w:p>
          <w:p w:rsidR="00000000" w:rsidRDefault="00C56D69">
            <w:pPr>
              <w:spacing w:after="100"/>
              <w:jc w:val="center"/>
              <w:rPr>
                <w:rFonts w:eastAsia="Times New Roman"/>
              </w:rPr>
            </w:pPr>
            <w:r>
              <w:rPr>
                <w:rFonts w:eastAsia="Times New Roman"/>
                <w:color w:val="000000"/>
                <w:sz w:val="18"/>
                <w:szCs w:val="18"/>
              </w:rPr>
              <w:t>9.1%</w:t>
            </w:r>
          </w:p>
          <w:p w:rsidR="00000000" w:rsidRDefault="00C56D69">
            <w:pPr>
              <w:spacing w:after="100"/>
              <w:jc w:val="center"/>
              <w:rPr>
                <w:rFonts w:eastAsia="Times New Roman"/>
              </w:rPr>
            </w:pPr>
            <w:r>
              <w:rPr>
                <w:rFonts w:eastAsia="Times New Roman"/>
                <w:color w:val="000000"/>
                <w:sz w:val="18"/>
                <w:szCs w:val="18"/>
              </w:rPr>
              <w:t>5.5x</w:t>
            </w:r>
          </w:p>
          <w:p w:rsidR="00000000" w:rsidRDefault="00C56D69">
            <w:pPr>
              <w:spacing w:after="100"/>
              <w:jc w:val="center"/>
              <w:rPr>
                <w:rFonts w:eastAsia="Times New Roman"/>
              </w:rPr>
            </w:pPr>
            <w:r>
              <w:rPr>
                <w:rFonts w:eastAsia="Times New Roman"/>
                <w:color w:val="000000"/>
                <w:sz w:val="18"/>
                <w:szCs w:val="18"/>
              </w:rPr>
              <w:t>30.8%</w:t>
            </w:r>
          </w:p>
        </w:tc>
      </w:tr>
      <w:tr w:rsidR="00000000">
        <w:trPr>
          <w:divId w:val="1677806330"/>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65 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jc w:val="right"/>
              <w:rPr>
                <w:rFonts w:eastAsia="Times New Roman"/>
              </w:rPr>
            </w:pPr>
            <w:r>
              <w:rPr>
                <w:rFonts w:eastAsia="Times New Roman"/>
                <w:color w:val="000000"/>
                <w:sz w:val="18"/>
                <w:szCs w:val="18"/>
              </w:rPr>
              <w:t>Earnings multiple</w:t>
            </w:r>
          </w:p>
          <w:p w:rsidR="00000000" w:rsidRDefault="00C56D69">
            <w:pPr>
              <w:spacing w:after="100"/>
              <w:jc w:val="right"/>
              <w:rPr>
                <w:rFonts w:eastAsia="Times New Roman"/>
              </w:rPr>
            </w:pPr>
            <w:r>
              <w:rPr>
                <w:rFonts w:eastAsia="Times New Roman"/>
                <w:color w:val="000000"/>
                <w:sz w:val="18"/>
                <w:szCs w:val="18"/>
              </w:rPr>
              <w:t>Discounts factor</w:t>
            </w:r>
          </w:p>
          <w:p w:rsidR="00000000" w:rsidRDefault="00C56D69">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8"/>
                <w:szCs w:val="18"/>
              </w:rPr>
              <w:t>7.3x</w:t>
            </w:r>
          </w:p>
          <w:p w:rsidR="00000000" w:rsidRDefault="00C56D69">
            <w:pPr>
              <w:spacing w:after="100"/>
              <w:jc w:val="center"/>
              <w:rPr>
                <w:rFonts w:eastAsia="Times New Roman"/>
              </w:rPr>
            </w:pPr>
            <w:r>
              <w:rPr>
                <w:rFonts w:eastAsia="Times New Roman"/>
                <w:color w:val="000000"/>
                <w:sz w:val="18"/>
                <w:szCs w:val="18"/>
              </w:rPr>
              <w:t>10.00%</w:t>
            </w:r>
          </w:p>
          <w:p w:rsidR="00000000" w:rsidRDefault="00C56D69">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7806330"/>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4 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8"/>
                <w:szCs w:val="18"/>
              </w:rPr>
              <w:t xml:space="preserve">7.8x - 10.3x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color w:val="000000"/>
                <w:sz w:val="18"/>
                <w:szCs w:val="18"/>
              </w:rPr>
              <w:t>9.5x</w:t>
            </w:r>
          </w:p>
        </w:tc>
      </w:tr>
    </w:tbl>
    <w:p w:rsidR="00000000" w:rsidRDefault="00C56D69">
      <w:pPr>
        <w:jc w:val="center"/>
        <w:divId w:val="2050105142"/>
        <w:rPr>
          <w:rFonts w:eastAsia="Times New Roman"/>
        </w:rPr>
      </w:pPr>
    </w:p>
    <w:p w:rsidR="00000000" w:rsidRDefault="00C56D69">
      <w:pPr>
        <w:jc w:val="center"/>
        <w:divId w:val="2050105142"/>
        <w:rPr>
          <w:rFonts w:eastAsia="Times New Roman"/>
        </w:rPr>
      </w:pPr>
      <w:r>
        <w:rPr>
          <w:rFonts w:eastAsia="Times New Roman"/>
          <w:color w:val="000000"/>
          <w:sz w:val="20"/>
          <w:szCs w:val="20"/>
        </w:rPr>
        <w:t>53</w:t>
      </w:r>
    </w:p>
    <w:p w:rsidR="00000000" w:rsidRDefault="00C56D69">
      <w:pPr>
        <w:rPr>
          <w:rFonts w:eastAsia="Times New Roman"/>
        </w:rPr>
      </w:pPr>
      <w:r>
        <w:rPr>
          <w:rFonts w:eastAsia="Times New Roman"/>
        </w:rPr>
        <w:pict>
          <v:rect id="_x0000_i1079" style="width:0;height:1.5pt" o:hralign="center" o:hrstd="t" o:hr="t" fillcolor="#a0a0a0" stroked="f"/>
        </w:pict>
      </w:r>
    </w:p>
    <w:p w:rsidR="00000000" w:rsidRDefault="00C56D69">
      <w:pPr>
        <w:divId w:val="83299333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2110805589"/>
        <w:rPr>
          <w:rFonts w:eastAsia="Times New Roman"/>
        </w:rPr>
      </w:pPr>
      <w:r>
        <w:rPr>
          <w:rFonts w:eastAsia="Times New Roman"/>
          <w:b/>
          <w:bCs/>
          <w:color w:val="000000"/>
          <w:sz w:val="20"/>
          <w:szCs w:val="20"/>
        </w:rPr>
        <w:t>EQUITABLE HOLDINGS, INC.</w:t>
      </w:r>
    </w:p>
    <w:p w:rsidR="00000000" w:rsidRDefault="00C56D69">
      <w:pPr>
        <w:jc w:val="center"/>
        <w:divId w:val="2110805589"/>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211080558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06"/>
        <w:gridCol w:w="38"/>
        <w:gridCol w:w="77"/>
        <w:gridCol w:w="393"/>
        <w:gridCol w:w="36"/>
        <w:gridCol w:w="36"/>
        <w:gridCol w:w="36"/>
        <w:gridCol w:w="36"/>
        <w:gridCol w:w="51"/>
        <w:gridCol w:w="1289"/>
        <w:gridCol w:w="36"/>
        <w:gridCol w:w="36"/>
        <w:gridCol w:w="36"/>
        <w:gridCol w:w="36"/>
        <w:gridCol w:w="55"/>
        <w:gridCol w:w="1852"/>
        <w:gridCol w:w="36"/>
        <w:gridCol w:w="36"/>
        <w:gridCol w:w="36"/>
        <w:gridCol w:w="36"/>
        <w:gridCol w:w="54"/>
        <w:gridCol w:w="941"/>
        <w:gridCol w:w="37"/>
        <w:gridCol w:w="36"/>
        <w:gridCol w:w="36"/>
        <w:gridCol w:w="36"/>
        <w:gridCol w:w="44"/>
        <w:gridCol w:w="1135"/>
        <w:gridCol w:w="36"/>
      </w:tblGrid>
      <w:tr w:rsidR="00000000">
        <w:trPr>
          <w:divId w:val="796921504"/>
          <w:jc w:val="center"/>
        </w:trPr>
        <w:tc>
          <w:tcPr>
            <w:tcW w:w="50" w:type="pct"/>
            <w:vAlign w:val="center"/>
            <w:hideMark/>
          </w:tcPr>
          <w:p w:rsidR="00000000" w:rsidRDefault="00C56D69">
            <w:pPr>
              <w:jc w:val="center"/>
              <w:rPr>
                <w:rFonts w:eastAsia="Times New Roman"/>
              </w:rPr>
            </w:pPr>
          </w:p>
        </w:tc>
        <w:tc>
          <w:tcPr>
            <w:tcW w:w="10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5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9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796921504"/>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Weighted Average (2)</w:t>
            </w:r>
          </w:p>
        </w:tc>
      </w:tr>
      <w:tr w:rsidR="00000000">
        <w:trPr>
          <w:divId w:val="796921504"/>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79692150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1,848 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Utilization rates</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Mortality rates (1):</w:t>
            </w:r>
          </w:p>
          <w:p w:rsidR="00000000" w:rsidRDefault="00C56D69">
            <w:pPr>
              <w:spacing w:after="100"/>
              <w:jc w:val="right"/>
              <w:rPr>
                <w:rFonts w:eastAsia="Times New Roman"/>
              </w:rPr>
            </w:pPr>
            <w:r>
              <w:rPr>
                <w:rFonts w:eastAsia="Times New Roman"/>
                <w:color w:val="000000"/>
                <w:sz w:val="18"/>
                <w:szCs w:val="18"/>
              </w:rPr>
              <w:t>Ages 0 - 40</w:t>
            </w:r>
          </w:p>
          <w:p w:rsidR="00000000" w:rsidRDefault="00C56D69">
            <w:pPr>
              <w:spacing w:after="100"/>
              <w:jc w:val="right"/>
              <w:rPr>
                <w:rFonts w:eastAsia="Times New Roman"/>
              </w:rPr>
            </w:pPr>
            <w:r>
              <w:rPr>
                <w:rFonts w:eastAsia="Times New Roman"/>
                <w:color w:val="000000"/>
                <w:sz w:val="18"/>
                <w:szCs w:val="18"/>
              </w:rPr>
              <w:t>Ages 41 - 60</w:t>
            </w:r>
          </w:p>
          <w:p w:rsidR="00000000" w:rsidRDefault="00C56D69">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57 bps - 93 bps</w:t>
            </w:r>
          </w:p>
          <w:p w:rsidR="00000000" w:rsidRDefault="00C56D69">
            <w:pPr>
              <w:spacing w:after="100"/>
              <w:jc w:val="center"/>
              <w:rPr>
                <w:rFonts w:eastAsia="Times New Roman"/>
              </w:rPr>
            </w:pPr>
            <w:r>
              <w:rPr>
                <w:rFonts w:eastAsia="Times New Roman"/>
                <w:color w:val="000000"/>
                <w:sz w:val="18"/>
                <w:szCs w:val="18"/>
              </w:rPr>
              <w:t>0.45% - 20.86%</w:t>
            </w:r>
          </w:p>
          <w:p w:rsidR="00000000" w:rsidRDefault="00C56D69">
            <w:pPr>
              <w:spacing w:after="100"/>
              <w:jc w:val="center"/>
              <w:rPr>
                <w:rFonts w:eastAsia="Times New Roman"/>
              </w:rPr>
            </w:pPr>
            <w:r>
              <w:rPr>
                <w:rFonts w:eastAsia="Times New Roman"/>
                <w:color w:val="000000"/>
                <w:sz w:val="18"/>
                <w:szCs w:val="18"/>
              </w:rPr>
              <w:t>0.27% - 8.66%</w:t>
            </w:r>
          </w:p>
          <w:p w:rsidR="00000000" w:rsidRDefault="00C56D69">
            <w:pPr>
              <w:spacing w:after="100"/>
              <w:jc w:val="center"/>
              <w:rPr>
                <w:rFonts w:eastAsia="Times New Roman"/>
              </w:rPr>
            </w:pPr>
            <w:r>
              <w:rPr>
                <w:rFonts w:eastAsia="Times New Roman"/>
                <w:color w:val="000000"/>
                <w:sz w:val="18"/>
                <w:szCs w:val="18"/>
              </w:rPr>
              <w:t>0.04% - 60.44%</w:t>
            </w:r>
          </w:p>
          <w:p w:rsidR="00000000" w:rsidRDefault="00C56D69">
            <w:pPr>
              <w:spacing w:after="100"/>
              <w:jc w:val="center"/>
              <w:rPr>
                <w:rFonts w:eastAsia="Times New Roman"/>
              </w:rPr>
            </w:pPr>
            <w:r>
              <w:rPr>
                <w:rFonts w:eastAsia="Times New Roman"/>
                <w:color w:val="000000"/>
                <w:sz w:val="18"/>
                <w:szCs w:val="18"/>
              </w:rPr>
              <w:t>11% - 31%</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0.01% - 0.17%</w:t>
            </w:r>
          </w:p>
          <w:p w:rsidR="00000000" w:rsidRDefault="00C56D69">
            <w:pPr>
              <w:spacing w:after="100"/>
              <w:jc w:val="center"/>
              <w:rPr>
                <w:rFonts w:eastAsia="Times New Roman"/>
              </w:rPr>
            </w:pPr>
            <w:r>
              <w:rPr>
                <w:rFonts w:eastAsia="Times New Roman"/>
                <w:color w:val="000000"/>
                <w:sz w:val="18"/>
                <w:szCs w:val="18"/>
              </w:rPr>
              <w:t>0.06% - 0.53%</w:t>
            </w:r>
          </w:p>
          <w:p w:rsidR="00000000" w:rsidRDefault="00C56D69">
            <w:pPr>
              <w:spacing w:after="100"/>
              <w:jc w:val="center"/>
              <w:rPr>
                <w:rFonts w:eastAsia="Times New Roman"/>
              </w:rPr>
            </w:pPr>
            <w:r>
              <w:rPr>
                <w:rFonts w:eastAsia="Times New Roman"/>
                <w:color w:val="000000"/>
                <w:sz w:val="18"/>
                <w:szCs w:val="18"/>
              </w:rPr>
              <w:t>0.31% - 40.00%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60 bps</w:t>
            </w:r>
          </w:p>
          <w:p w:rsidR="00000000" w:rsidRDefault="00C56D69">
            <w:pPr>
              <w:spacing w:after="100"/>
              <w:jc w:val="center"/>
              <w:rPr>
                <w:rFonts w:eastAsia="Times New Roman"/>
              </w:rPr>
            </w:pPr>
            <w:r>
              <w:rPr>
                <w:rFonts w:eastAsia="Times New Roman"/>
                <w:color w:val="000000"/>
                <w:sz w:val="18"/>
                <w:szCs w:val="18"/>
              </w:rPr>
              <w:t>2.65%</w:t>
            </w:r>
          </w:p>
          <w:p w:rsidR="00000000" w:rsidRDefault="00C56D69">
            <w:pPr>
              <w:spacing w:after="100"/>
              <w:jc w:val="center"/>
              <w:rPr>
                <w:rFonts w:eastAsia="Times New Roman"/>
              </w:rPr>
            </w:pPr>
            <w:r>
              <w:rPr>
                <w:rFonts w:eastAsia="Times New Roman"/>
                <w:color w:val="000000"/>
                <w:sz w:val="18"/>
                <w:szCs w:val="18"/>
              </w:rPr>
              <w:t>0.93%</w:t>
            </w:r>
          </w:p>
          <w:p w:rsidR="00000000" w:rsidRDefault="00C56D69">
            <w:pPr>
              <w:spacing w:after="100"/>
              <w:jc w:val="center"/>
              <w:rPr>
                <w:rFonts w:eastAsia="Times New Roman"/>
              </w:rPr>
            </w:pPr>
            <w:r>
              <w:rPr>
                <w:rFonts w:eastAsia="Times New Roman"/>
                <w:color w:val="000000"/>
                <w:sz w:val="18"/>
                <w:szCs w:val="18"/>
              </w:rPr>
              <w:t>5.27%</w:t>
            </w:r>
          </w:p>
          <w:p w:rsidR="00000000" w:rsidRDefault="00C56D69">
            <w:pPr>
              <w:spacing w:after="100"/>
              <w:jc w:val="center"/>
              <w:rPr>
                <w:rFonts w:eastAsia="Times New Roman"/>
              </w:rPr>
            </w:pPr>
            <w:r>
              <w:rPr>
                <w:rFonts w:eastAsia="Times New Roman"/>
                <w:color w:val="000000"/>
                <w:sz w:val="18"/>
                <w:szCs w:val="18"/>
              </w:rPr>
              <w:t>24%</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2.79%</w:t>
            </w:r>
          </w:p>
          <w:p w:rsidR="00000000" w:rsidRDefault="00C56D69">
            <w:pPr>
              <w:spacing w:after="100"/>
              <w:jc w:val="center"/>
              <w:rPr>
                <w:rFonts w:eastAsia="Times New Roman"/>
              </w:rPr>
            </w:pPr>
            <w:r>
              <w:rPr>
                <w:rFonts w:eastAsia="Times New Roman"/>
                <w:color w:val="000000"/>
                <w:sz w:val="18"/>
                <w:szCs w:val="18"/>
              </w:rPr>
              <w:t>(same for all ages)</w:t>
            </w:r>
          </w:p>
          <w:p w:rsidR="00000000" w:rsidRDefault="00C56D69">
            <w:pPr>
              <w:spacing w:after="100"/>
              <w:jc w:val="center"/>
              <w:rPr>
                <w:rFonts w:eastAsia="Times New Roman"/>
              </w:rPr>
            </w:pPr>
            <w:r>
              <w:rPr>
                <w:rFonts w:eastAsia="Times New Roman"/>
                <w:color w:val="000000"/>
                <w:sz w:val="18"/>
                <w:szCs w:val="18"/>
              </w:rPr>
              <w:t>(same for all ages)</w:t>
            </w:r>
          </w:p>
        </w:tc>
      </w:tr>
      <w:tr w:rsidR="00000000">
        <w:trPr>
          <w:divId w:val="79692150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5,813 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GMIB Utilization Rates</w:t>
            </w:r>
          </w:p>
          <w:p w:rsidR="00000000" w:rsidRDefault="00C56D69">
            <w:pPr>
              <w:spacing w:after="100"/>
              <w:jc w:val="right"/>
              <w:rPr>
                <w:rFonts w:eastAsia="Times New Roman"/>
              </w:rPr>
            </w:pPr>
            <w:r>
              <w:rPr>
                <w:rFonts w:eastAsia="Times New Roman"/>
                <w:color w:val="000000"/>
                <w:sz w:val="18"/>
                <w:szCs w:val="18"/>
              </w:rPr>
              <w:t>Non-performance risk (bps)</w:t>
            </w:r>
          </w:p>
          <w:p w:rsidR="00000000" w:rsidRDefault="00C56D69">
            <w:pPr>
              <w:spacing w:after="100"/>
              <w:jc w:val="right"/>
              <w:rPr>
                <w:rFonts w:eastAsia="Times New Roman"/>
              </w:rPr>
            </w:pPr>
            <w:r>
              <w:rPr>
                <w:rFonts w:eastAsia="Times New Roman"/>
                <w:color w:val="000000"/>
                <w:sz w:val="18"/>
                <w:szCs w:val="18"/>
              </w:rPr>
              <w:t>Volatility rates - Equity</w:t>
            </w:r>
          </w:p>
          <w:p w:rsidR="00000000" w:rsidRDefault="00C56D69">
            <w:pPr>
              <w:spacing w:after="100"/>
              <w:jc w:val="right"/>
              <w:rPr>
                <w:rFonts w:eastAsia="Times New Roman"/>
              </w:rPr>
            </w:pPr>
            <w:r>
              <w:rPr>
                <w:rFonts w:eastAsia="Times New Roman"/>
                <w:color w:val="000000"/>
                <w:sz w:val="18"/>
                <w:szCs w:val="18"/>
              </w:rPr>
              <w:t>Mortality: Ages 0-40</w:t>
            </w:r>
          </w:p>
          <w:p w:rsidR="00000000" w:rsidRDefault="00C56D69">
            <w:pPr>
              <w:spacing w:after="100"/>
              <w:jc w:val="right"/>
              <w:rPr>
                <w:rFonts w:eastAsia="Times New Roman"/>
              </w:rPr>
            </w:pPr>
            <w:r>
              <w:rPr>
                <w:rFonts w:eastAsia="Times New Roman"/>
                <w:color w:val="000000"/>
                <w:sz w:val="18"/>
                <w:szCs w:val="18"/>
              </w:rPr>
              <w:t>Ages 41-60</w:t>
            </w:r>
          </w:p>
          <w:p w:rsidR="00000000" w:rsidRDefault="00C56D69">
            <w:pPr>
              <w:spacing w:after="100"/>
              <w:jc w:val="right"/>
              <w:rPr>
                <w:rFonts w:eastAsia="Times New Roman"/>
              </w:rPr>
            </w:pPr>
            <w:r>
              <w:rPr>
                <w:rFonts w:eastAsia="Times New Roman"/>
                <w:color w:val="000000"/>
                <w:sz w:val="18"/>
                <w:szCs w:val="18"/>
              </w:rPr>
              <w:t>Ages 61-115</w:t>
            </w:r>
          </w:p>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0.45%-20.86%</w:t>
            </w:r>
          </w:p>
          <w:p w:rsidR="00000000" w:rsidRDefault="00C56D69">
            <w:pPr>
              <w:spacing w:after="100"/>
              <w:jc w:val="center"/>
              <w:rPr>
                <w:rFonts w:eastAsia="Times New Roman"/>
              </w:rPr>
            </w:pPr>
            <w:r>
              <w:rPr>
                <w:rFonts w:eastAsia="Times New Roman"/>
                <w:color w:val="000000"/>
                <w:sz w:val="18"/>
                <w:szCs w:val="18"/>
              </w:rPr>
              <w:t>0.27%-8.66%</w:t>
            </w:r>
          </w:p>
          <w:p w:rsidR="00000000" w:rsidRDefault="00C56D69">
            <w:pPr>
              <w:spacing w:after="100"/>
              <w:jc w:val="center"/>
              <w:rPr>
                <w:rFonts w:eastAsia="Times New Roman"/>
              </w:rPr>
            </w:pPr>
            <w:r>
              <w:rPr>
                <w:rFonts w:eastAsia="Times New Roman"/>
                <w:color w:val="000000"/>
                <w:sz w:val="18"/>
                <w:szCs w:val="18"/>
              </w:rPr>
              <w:t>0.04%-60.44%</w:t>
            </w:r>
          </w:p>
          <w:p w:rsidR="00000000" w:rsidRDefault="00C56D69">
            <w:pPr>
              <w:spacing w:after="100"/>
              <w:jc w:val="center"/>
              <w:rPr>
                <w:rFonts w:eastAsia="Times New Roman"/>
              </w:rPr>
            </w:pPr>
            <w:r>
              <w:rPr>
                <w:rFonts w:eastAsia="Times New Roman"/>
                <w:color w:val="000000"/>
                <w:sz w:val="18"/>
                <w:szCs w:val="18"/>
              </w:rPr>
              <w:t>37 bps</w:t>
            </w:r>
          </w:p>
          <w:p w:rsidR="00000000" w:rsidRDefault="00C56D69">
            <w:pPr>
              <w:spacing w:after="100"/>
              <w:jc w:val="center"/>
              <w:rPr>
                <w:rFonts w:eastAsia="Times New Roman"/>
              </w:rPr>
            </w:pPr>
            <w:r>
              <w:rPr>
                <w:rFonts w:eastAsia="Times New Roman"/>
                <w:color w:val="000000"/>
                <w:sz w:val="18"/>
                <w:szCs w:val="18"/>
              </w:rPr>
              <w:t>11%-31%</w:t>
            </w:r>
          </w:p>
          <w:p w:rsidR="00000000" w:rsidRDefault="00C56D69">
            <w:pPr>
              <w:spacing w:after="100"/>
              <w:jc w:val="center"/>
              <w:rPr>
                <w:rFonts w:eastAsia="Times New Roman"/>
              </w:rPr>
            </w:pPr>
            <w:r>
              <w:rPr>
                <w:rFonts w:eastAsia="Times New Roman"/>
                <w:color w:val="000000"/>
                <w:sz w:val="18"/>
                <w:szCs w:val="18"/>
              </w:rPr>
              <w:t>0.01%-0.17%</w:t>
            </w:r>
          </w:p>
          <w:p w:rsidR="00000000" w:rsidRDefault="00C56D69">
            <w:pPr>
              <w:spacing w:after="100"/>
              <w:jc w:val="center"/>
              <w:rPr>
                <w:rFonts w:eastAsia="Times New Roman"/>
              </w:rPr>
            </w:pPr>
            <w:r>
              <w:rPr>
                <w:rFonts w:eastAsia="Times New Roman"/>
                <w:color w:val="000000"/>
                <w:sz w:val="18"/>
                <w:szCs w:val="18"/>
              </w:rPr>
              <w:t>0.06%-</w:t>
            </w:r>
            <w:r>
              <w:rPr>
                <w:rFonts w:eastAsia="Times New Roman"/>
                <w:color w:val="000000"/>
                <w:sz w:val="18"/>
                <w:szCs w:val="18"/>
              </w:rPr>
              <w:t>0.53%</w:t>
            </w:r>
          </w:p>
          <w:p w:rsidR="00000000" w:rsidRDefault="00C56D69">
            <w:pPr>
              <w:spacing w:after="100"/>
              <w:jc w:val="center"/>
              <w:rPr>
                <w:rFonts w:eastAsia="Times New Roman"/>
              </w:rPr>
            </w:pPr>
            <w:r>
              <w:rPr>
                <w:rFonts w:eastAsia="Times New Roman"/>
                <w:color w:val="000000"/>
                <w:sz w:val="18"/>
                <w:szCs w:val="18"/>
              </w:rPr>
              <w:t>0.31%-40.00%</w:t>
            </w:r>
          </w:p>
          <w:p w:rsidR="00000000" w:rsidRDefault="00C56D69">
            <w:pPr>
              <w:spacing w:after="100"/>
              <w:jc w:val="center"/>
              <w:rPr>
                <w:rFonts w:eastAsia="Times New Roman"/>
              </w:rPr>
            </w:pPr>
          </w:p>
          <w:p w:rsidR="00000000" w:rsidRDefault="00C56D69">
            <w:pPr>
              <w:spacing w:after="100"/>
              <w:jc w:val="center"/>
              <w:rPr>
                <w:rFonts w:eastAsia="Times New Roman"/>
              </w:rPr>
            </w:pPr>
          </w:p>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1.70%</w:t>
            </w:r>
          </w:p>
          <w:p w:rsidR="00000000" w:rsidRDefault="00C56D69">
            <w:pPr>
              <w:spacing w:after="100"/>
              <w:jc w:val="center"/>
              <w:rPr>
                <w:rFonts w:eastAsia="Times New Roman"/>
              </w:rPr>
            </w:pPr>
            <w:r>
              <w:rPr>
                <w:rFonts w:eastAsia="Times New Roman"/>
                <w:color w:val="000000"/>
                <w:sz w:val="18"/>
                <w:szCs w:val="18"/>
              </w:rPr>
              <w:t>1.18%</w:t>
            </w:r>
          </w:p>
          <w:p w:rsidR="00000000" w:rsidRDefault="00C56D69">
            <w:pPr>
              <w:spacing w:after="100"/>
              <w:jc w:val="center"/>
              <w:rPr>
                <w:rFonts w:eastAsia="Times New Roman"/>
              </w:rPr>
            </w:pPr>
            <w:r>
              <w:rPr>
                <w:rFonts w:eastAsia="Times New Roman"/>
                <w:color w:val="000000"/>
                <w:sz w:val="18"/>
                <w:szCs w:val="18"/>
              </w:rPr>
              <w:t>7.20%</w:t>
            </w:r>
          </w:p>
          <w:p w:rsidR="00000000" w:rsidRDefault="00C56D69">
            <w:pPr>
              <w:spacing w:after="100"/>
              <w:jc w:val="center"/>
              <w:rPr>
                <w:rFonts w:eastAsia="Times New Roman"/>
              </w:rPr>
            </w:pPr>
            <w:r>
              <w:rPr>
                <w:rFonts w:eastAsia="Times New Roman"/>
                <w:color w:val="000000"/>
                <w:sz w:val="18"/>
                <w:szCs w:val="18"/>
              </w:rPr>
              <w:t>37 bps</w:t>
            </w:r>
          </w:p>
          <w:p w:rsidR="00000000" w:rsidRDefault="00C56D69">
            <w:pPr>
              <w:spacing w:after="100"/>
              <w:jc w:val="center"/>
              <w:rPr>
                <w:rFonts w:eastAsia="Times New Roman"/>
              </w:rPr>
            </w:pPr>
            <w:r>
              <w:rPr>
                <w:rFonts w:eastAsia="Times New Roman"/>
                <w:color w:val="000000"/>
                <w:sz w:val="18"/>
                <w:szCs w:val="18"/>
              </w:rPr>
              <w:t>24%</w:t>
            </w:r>
          </w:p>
          <w:p w:rsidR="00000000" w:rsidRDefault="00C56D69">
            <w:pPr>
              <w:spacing w:after="100"/>
              <w:jc w:val="center"/>
              <w:rPr>
                <w:rFonts w:eastAsia="Times New Roman"/>
              </w:rPr>
            </w:pPr>
            <w:r>
              <w:rPr>
                <w:rFonts w:eastAsia="Times New Roman"/>
                <w:color w:val="000000"/>
                <w:sz w:val="18"/>
                <w:szCs w:val="18"/>
              </w:rPr>
              <w:t>2.17%</w:t>
            </w:r>
          </w:p>
          <w:p w:rsidR="00000000" w:rsidRDefault="00C56D69">
            <w:pPr>
              <w:spacing w:after="100"/>
              <w:jc w:val="center"/>
              <w:rPr>
                <w:rFonts w:eastAsia="Times New Roman"/>
              </w:rPr>
            </w:pPr>
            <w:r>
              <w:rPr>
                <w:rFonts w:eastAsia="Times New Roman"/>
                <w:color w:val="000000"/>
                <w:sz w:val="18"/>
                <w:szCs w:val="18"/>
              </w:rPr>
              <w:t>(same for all ages)</w:t>
            </w:r>
          </w:p>
          <w:p w:rsidR="00000000" w:rsidRDefault="00C56D69">
            <w:pPr>
              <w:spacing w:after="100"/>
              <w:jc w:val="center"/>
              <w:rPr>
                <w:rFonts w:eastAsia="Times New Roman"/>
              </w:rPr>
            </w:pPr>
            <w:r>
              <w:rPr>
                <w:rFonts w:eastAsia="Times New Roman"/>
                <w:color w:val="000000"/>
                <w:sz w:val="18"/>
                <w:szCs w:val="18"/>
              </w:rPr>
              <w:t>(same for all ages)</w:t>
            </w:r>
          </w:p>
        </w:tc>
      </w:tr>
      <w:tr w:rsidR="00000000">
        <w:trPr>
          <w:divId w:val="796921504"/>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79692150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38 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Expected revenue growth rates</w:t>
            </w:r>
          </w:p>
          <w:p w:rsidR="00000000" w:rsidRDefault="00C56D69">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2.0% - 83.9%</w:t>
            </w:r>
          </w:p>
          <w:p w:rsidR="00000000" w:rsidRDefault="00C56D69">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11.9%</w:t>
            </w:r>
          </w:p>
          <w:p w:rsidR="00000000" w:rsidRDefault="00C56D69">
            <w:pPr>
              <w:spacing w:after="100"/>
              <w:jc w:val="center"/>
              <w:rPr>
                <w:rFonts w:eastAsia="Times New Roman"/>
              </w:rPr>
            </w:pPr>
            <w:r>
              <w:rPr>
                <w:rFonts w:eastAsia="Times New Roman"/>
                <w:color w:val="000000"/>
                <w:sz w:val="18"/>
                <w:szCs w:val="18"/>
              </w:rPr>
              <w:t>7.0%</w:t>
            </w:r>
          </w:p>
        </w:tc>
      </w:tr>
      <w:tr w:rsidR="00000000">
        <w:trPr>
          <w:divId w:val="79692150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8,503 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Annuitization rates</w:t>
            </w:r>
          </w:p>
          <w:p w:rsidR="00000000" w:rsidRDefault="00C56D69">
            <w:pPr>
              <w:spacing w:after="100"/>
              <w:jc w:val="right"/>
              <w:rPr>
                <w:rFonts w:eastAsia="Times New Roman"/>
              </w:rPr>
            </w:pPr>
            <w:r>
              <w:rPr>
                <w:rFonts w:eastAsia="Times New Roman"/>
                <w:color w:val="000000"/>
                <w:sz w:val="18"/>
                <w:szCs w:val="18"/>
              </w:rPr>
              <w:t>Mortality rates (1):</w:t>
            </w:r>
          </w:p>
          <w:p w:rsidR="00000000" w:rsidRDefault="00C56D69">
            <w:pPr>
              <w:spacing w:after="100"/>
              <w:jc w:val="right"/>
              <w:rPr>
                <w:rFonts w:eastAsia="Times New Roman"/>
              </w:rPr>
            </w:pPr>
            <w:r>
              <w:rPr>
                <w:rFonts w:eastAsia="Times New Roman"/>
                <w:color w:val="000000"/>
                <w:sz w:val="18"/>
                <w:szCs w:val="18"/>
              </w:rPr>
              <w:t>Ages 0 - 40</w:t>
            </w:r>
          </w:p>
          <w:p w:rsidR="00000000" w:rsidRDefault="00C56D69">
            <w:pPr>
              <w:spacing w:after="100"/>
              <w:jc w:val="right"/>
              <w:rPr>
                <w:rFonts w:eastAsia="Times New Roman"/>
              </w:rPr>
            </w:pPr>
            <w:r>
              <w:rPr>
                <w:rFonts w:eastAsia="Times New Roman"/>
                <w:color w:val="000000"/>
                <w:sz w:val="18"/>
                <w:szCs w:val="18"/>
              </w:rPr>
              <w:t>Ages 41 - 60</w:t>
            </w:r>
          </w:p>
          <w:p w:rsidR="00000000" w:rsidRDefault="00C56D69">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111 bps</w:t>
            </w:r>
          </w:p>
          <w:p w:rsidR="00000000" w:rsidRDefault="00C56D69">
            <w:pPr>
              <w:spacing w:after="100"/>
              <w:jc w:val="center"/>
              <w:rPr>
                <w:rFonts w:eastAsia="Times New Roman"/>
              </w:rPr>
            </w:pPr>
            <w:r>
              <w:rPr>
                <w:rFonts w:eastAsia="Times New Roman"/>
                <w:color w:val="000000"/>
                <w:sz w:val="18"/>
                <w:szCs w:val="18"/>
              </w:rPr>
              <w:t>1.04% - 23.57%</w:t>
            </w:r>
          </w:p>
          <w:p w:rsidR="00000000" w:rsidRDefault="00C56D69">
            <w:pPr>
              <w:spacing w:after="100"/>
              <w:jc w:val="center"/>
              <w:rPr>
                <w:rFonts w:eastAsia="Times New Roman"/>
              </w:rPr>
            </w:pPr>
            <w:r>
              <w:rPr>
                <w:rFonts w:eastAsia="Times New Roman"/>
                <w:color w:val="000000"/>
                <w:sz w:val="18"/>
                <w:szCs w:val="18"/>
              </w:rPr>
              <w:t>0.27% - 8.66%</w:t>
            </w:r>
          </w:p>
          <w:p w:rsidR="00000000" w:rsidRDefault="00C56D69">
            <w:pPr>
              <w:spacing w:after="100"/>
              <w:jc w:val="center"/>
              <w:rPr>
                <w:rFonts w:eastAsia="Times New Roman"/>
              </w:rPr>
            </w:pPr>
            <w:r>
              <w:rPr>
                <w:rFonts w:eastAsia="Times New Roman"/>
                <w:color w:val="000000"/>
                <w:sz w:val="18"/>
                <w:szCs w:val="18"/>
              </w:rPr>
              <w:t>0.03% -100.00%</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0.01% - 0.19%</w:t>
            </w:r>
          </w:p>
          <w:p w:rsidR="00000000" w:rsidRDefault="00C56D69">
            <w:pPr>
              <w:spacing w:after="100"/>
              <w:jc w:val="center"/>
              <w:rPr>
                <w:rFonts w:eastAsia="Times New Roman"/>
              </w:rPr>
            </w:pPr>
            <w:r>
              <w:rPr>
                <w:rFonts w:eastAsia="Times New Roman"/>
                <w:color w:val="000000"/>
                <w:sz w:val="18"/>
                <w:szCs w:val="18"/>
              </w:rPr>
              <w:t>0.07% - 0.57%</w:t>
            </w:r>
          </w:p>
          <w:p w:rsidR="00000000" w:rsidRDefault="00C56D69">
            <w:pPr>
              <w:spacing w:after="100"/>
              <w:jc w:val="center"/>
              <w:rPr>
                <w:rFonts w:eastAsia="Times New Roman"/>
              </w:rPr>
            </w:pPr>
            <w:r>
              <w:rPr>
                <w:rFonts w:eastAsia="Times New Roman"/>
                <w:color w:val="000000"/>
                <w:sz w:val="18"/>
                <w:szCs w:val="18"/>
              </w:rPr>
              <w:t>0.44% - 43.60%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111 bps</w:t>
            </w:r>
          </w:p>
          <w:p w:rsidR="00000000" w:rsidRDefault="00C56D69">
            <w:pPr>
              <w:spacing w:after="100"/>
              <w:jc w:val="center"/>
              <w:rPr>
                <w:rFonts w:eastAsia="Times New Roman"/>
              </w:rPr>
            </w:pPr>
            <w:r>
              <w:rPr>
                <w:rFonts w:eastAsia="Times New Roman"/>
                <w:color w:val="000000"/>
                <w:sz w:val="18"/>
                <w:szCs w:val="18"/>
              </w:rPr>
              <w:t>3.55%</w:t>
            </w:r>
          </w:p>
          <w:p w:rsidR="00000000" w:rsidRDefault="00C56D69">
            <w:pPr>
              <w:spacing w:after="100"/>
              <w:jc w:val="center"/>
              <w:rPr>
                <w:rFonts w:eastAsia="Times New Roman"/>
              </w:rPr>
            </w:pPr>
            <w:r>
              <w:rPr>
                <w:rFonts w:eastAsia="Times New Roman"/>
                <w:color w:val="000000"/>
                <w:sz w:val="18"/>
                <w:szCs w:val="18"/>
              </w:rPr>
              <w:t>1.04%</w:t>
            </w:r>
          </w:p>
          <w:p w:rsidR="00000000" w:rsidRDefault="00C56D69">
            <w:pPr>
              <w:spacing w:after="100"/>
              <w:jc w:val="center"/>
              <w:rPr>
                <w:rFonts w:eastAsia="Times New Roman"/>
              </w:rPr>
            </w:pPr>
            <w:r>
              <w:rPr>
                <w:rFonts w:eastAsia="Times New Roman"/>
                <w:color w:val="000000"/>
                <w:sz w:val="18"/>
                <w:szCs w:val="18"/>
              </w:rPr>
              <w:t>5.24%</w:t>
            </w: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1.62%</w:t>
            </w:r>
          </w:p>
          <w:p w:rsidR="00000000" w:rsidRDefault="00C56D69">
            <w:pPr>
              <w:spacing w:after="100"/>
              <w:jc w:val="center"/>
              <w:rPr>
                <w:rFonts w:eastAsia="Times New Roman"/>
              </w:rPr>
            </w:pPr>
            <w:r>
              <w:rPr>
                <w:rFonts w:eastAsia="Times New Roman"/>
                <w:color w:val="000000"/>
                <w:sz w:val="18"/>
                <w:szCs w:val="18"/>
              </w:rPr>
              <w:t>(same for all ages)</w:t>
            </w:r>
          </w:p>
          <w:p w:rsidR="00000000" w:rsidRDefault="00C56D69">
            <w:pPr>
              <w:spacing w:after="100"/>
              <w:jc w:val="center"/>
              <w:rPr>
                <w:rFonts w:eastAsia="Times New Roman"/>
              </w:rPr>
            </w:pPr>
            <w:r>
              <w:rPr>
                <w:rFonts w:eastAsia="Times New Roman"/>
                <w:color w:val="000000"/>
                <w:sz w:val="18"/>
                <w:szCs w:val="18"/>
              </w:rPr>
              <w:t>(same for all ages)</w:t>
            </w:r>
          </w:p>
        </w:tc>
      </w:tr>
      <w:tr w:rsidR="00000000">
        <w:trPr>
          <w:divId w:val="796921504"/>
          <w:jc w:val="center"/>
        </w:trPr>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79692150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99 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Utilization rates</w:t>
            </w:r>
          </w:p>
          <w:p w:rsidR="00000000" w:rsidRDefault="00C56D69">
            <w:pPr>
              <w:spacing w:after="100"/>
              <w:jc w:val="right"/>
              <w:rPr>
                <w:rFonts w:eastAsia="Times New Roman"/>
              </w:rPr>
            </w:pPr>
          </w:p>
          <w:p w:rsidR="00000000" w:rsidRDefault="00C56D69">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111 bps</w:t>
            </w:r>
          </w:p>
          <w:p w:rsidR="00000000" w:rsidRDefault="00C56D69">
            <w:pPr>
              <w:spacing w:after="100"/>
              <w:jc w:val="center"/>
              <w:rPr>
                <w:rFonts w:eastAsia="Times New Roman"/>
              </w:rPr>
            </w:pPr>
            <w:r>
              <w:rPr>
                <w:rFonts w:eastAsia="Times New Roman"/>
                <w:color w:val="000000"/>
                <w:sz w:val="18"/>
                <w:szCs w:val="18"/>
              </w:rPr>
              <w:t>0.60%-20.86%</w:t>
            </w:r>
          </w:p>
          <w:p w:rsidR="00000000" w:rsidRDefault="00C56D69">
            <w:pPr>
              <w:spacing w:after="100"/>
              <w:jc w:val="center"/>
              <w:rPr>
                <w:rFonts w:eastAsia="Times New Roman"/>
              </w:rPr>
            </w:pPr>
            <w:r>
              <w:rPr>
                <w:rFonts w:eastAsia="Times New Roman"/>
                <w:color w:val="000000"/>
                <w:sz w:val="18"/>
                <w:szCs w:val="18"/>
              </w:rPr>
              <w:t>0.00%-8.00%</w:t>
            </w:r>
          </w:p>
          <w:p w:rsidR="00000000" w:rsidRDefault="00C56D69">
            <w:pPr>
              <w:spacing w:after="100"/>
              <w:jc w:val="center"/>
              <w:rPr>
                <w:rFonts w:eastAsia="Times New Roman"/>
              </w:rPr>
            </w:pPr>
            <w:r>
              <w:rPr>
                <w:rFonts w:eastAsia="Times New Roman"/>
                <w:color w:val="000000"/>
                <w:sz w:val="18"/>
                <w:szCs w:val="18"/>
              </w:rPr>
              <w:t xml:space="preserve">100% once starting </w:t>
            </w:r>
          </w:p>
          <w:p w:rsidR="00000000" w:rsidRDefault="00C56D69">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2.65%</w:t>
            </w:r>
          </w:p>
          <w:p w:rsidR="00000000" w:rsidRDefault="00C56D69">
            <w:pPr>
              <w:spacing w:after="100"/>
              <w:jc w:val="center"/>
              <w:rPr>
                <w:rFonts w:eastAsia="Times New Roman"/>
              </w:rPr>
            </w:pPr>
            <w:r>
              <w:rPr>
                <w:rFonts w:eastAsia="Times New Roman"/>
                <w:color w:val="000000"/>
                <w:sz w:val="18"/>
                <w:szCs w:val="18"/>
              </w:rPr>
              <w:t>0.93%</w:t>
            </w:r>
          </w:p>
          <w:p w:rsidR="00000000" w:rsidRDefault="00C56D69">
            <w:pPr>
              <w:spacing w:after="100"/>
              <w:jc w:val="center"/>
              <w:rPr>
                <w:rFonts w:eastAsia="Times New Roman"/>
              </w:rPr>
            </w:pPr>
          </w:p>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24%</w:t>
            </w:r>
          </w:p>
        </w:tc>
      </w:tr>
      <w:tr w:rsidR="00000000">
        <w:trPr>
          <w:divId w:val="79692150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(75)</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Withdrawal rates</w:t>
            </w:r>
          </w:p>
          <w:p w:rsidR="00000000" w:rsidRDefault="00C56D69">
            <w:pPr>
              <w:spacing w:after="100"/>
              <w:jc w:val="right"/>
              <w:rPr>
                <w:rFonts w:eastAsia="Times New Roman"/>
              </w:rPr>
            </w:pPr>
            <w:r>
              <w:rPr>
                <w:rFonts w:eastAsia="Times New Roman"/>
                <w:color w:val="000000"/>
                <w:sz w:val="18"/>
                <w:szCs w:val="18"/>
              </w:rPr>
              <w:t>Utilization rates</w:t>
            </w:r>
          </w:p>
          <w:p w:rsidR="00000000" w:rsidRDefault="00C56D69">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111 bps</w:t>
            </w:r>
          </w:p>
          <w:p w:rsidR="00000000" w:rsidRDefault="00C56D69">
            <w:pPr>
              <w:spacing w:after="100"/>
              <w:jc w:val="center"/>
              <w:rPr>
                <w:rFonts w:eastAsia="Times New Roman"/>
              </w:rPr>
            </w:pPr>
            <w:r>
              <w:rPr>
                <w:rFonts w:eastAsia="Times New Roman"/>
                <w:color w:val="000000"/>
                <w:sz w:val="18"/>
                <w:szCs w:val="18"/>
              </w:rPr>
              <w:t>0.60%-20.86%</w:t>
            </w:r>
          </w:p>
          <w:p w:rsidR="00000000" w:rsidRDefault="00C56D69">
            <w:pPr>
              <w:spacing w:after="100"/>
              <w:jc w:val="center"/>
              <w:rPr>
                <w:rFonts w:eastAsia="Times New Roman"/>
              </w:rPr>
            </w:pPr>
            <w:r>
              <w:rPr>
                <w:rFonts w:eastAsia="Times New Roman"/>
                <w:color w:val="000000"/>
                <w:sz w:val="18"/>
                <w:szCs w:val="18"/>
              </w:rPr>
              <w:t>0.13%-8.66%</w:t>
            </w:r>
          </w:p>
          <w:p w:rsidR="00000000" w:rsidRDefault="00C56D69">
            <w:pPr>
              <w:spacing w:after="100"/>
              <w:jc w:val="center"/>
              <w:rPr>
                <w:rFonts w:eastAsia="Times New Roman"/>
              </w:rPr>
            </w:pPr>
            <w:r>
              <w:rPr>
                <w:rFonts w:eastAsia="Times New Roman"/>
                <w:color w:val="000000"/>
                <w:sz w:val="18"/>
                <w:szCs w:val="18"/>
              </w:rPr>
              <w:t>0.04%-100.00%</w:t>
            </w:r>
          </w:p>
          <w:p w:rsidR="00000000" w:rsidRDefault="00C56D69">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2.65%</w:t>
            </w:r>
          </w:p>
          <w:p w:rsidR="00000000" w:rsidRDefault="00C56D69">
            <w:pPr>
              <w:spacing w:after="100"/>
              <w:jc w:val="center"/>
              <w:rPr>
                <w:rFonts w:eastAsia="Times New Roman"/>
              </w:rPr>
            </w:pPr>
            <w:r>
              <w:rPr>
                <w:rFonts w:eastAsia="Times New Roman"/>
                <w:color w:val="000000"/>
                <w:sz w:val="18"/>
                <w:szCs w:val="18"/>
              </w:rPr>
              <w:t>0.93%</w:t>
            </w:r>
          </w:p>
          <w:p w:rsidR="00000000" w:rsidRDefault="00C56D69">
            <w:pPr>
              <w:spacing w:after="100"/>
              <w:jc w:val="center"/>
              <w:rPr>
                <w:rFonts w:eastAsia="Times New Roman"/>
              </w:rPr>
            </w:pPr>
            <w:r>
              <w:rPr>
                <w:rFonts w:eastAsia="Times New Roman"/>
                <w:color w:val="000000"/>
                <w:sz w:val="18"/>
                <w:szCs w:val="18"/>
              </w:rPr>
              <w:t>5.27%</w:t>
            </w:r>
          </w:p>
          <w:p w:rsidR="00000000" w:rsidRDefault="00C56D69">
            <w:pPr>
              <w:spacing w:after="100"/>
              <w:jc w:val="center"/>
              <w:rPr>
                <w:rFonts w:eastAsia="Times New Roman"/>
              </w:rPr>
            </w:pPr>
            <w:r>
              <w:rPr>
                <w:rFonts w:eastAsia="Times New Roman"/>
                <w:color w:val="000000"/>
                <w:sz w:val="18"/>
                <w:szCs w:val="18"/>
              </w:rPr>
              <w:t>24%</w:t>
            </w:r>
          </w:p>
        </w:tc>
      </w:tr>
      <w:tr w:rsidR="00000000">
        <w:trPr>
          <w:divId w:val="796921504"/>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C56D69">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18"/>
                <w:szCs w:val="18"/>
              </w:rPr>
              <w:t>Non-performance risk</w:t>
            </w:r>
          </w:p>
          <w:p w:rsidR="00000000" w:rsidRDefault="00C56D69">
            <w:pPr>
              <w:spacing w:after="100"/>
              <w:jc w:val="right"/>
              <w:rPr>
                <w:rFonts w:eastAsia="Times New Roman"/>
              </w:rPr>
            </w:pPr>
            <w:r>
              <w:rPr>
                <w:rFonts w:eastAsia="Times New Roman"/>
                <w:color w:val="000000"/>
                <w:sz w:val="18"/>
                <w:szCs w:val="18"/>
              </w:rPr>
              <w:t>Lapse rates</w:t>
            </w:r>
          </w:p>
          <w:p w:rsidR="00000000" w:rsidRDefault="00C56D69">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18"/>
                <w:szCs w:val="18"/>
              </w:rPr>
              <w:t>111 bps</w:t>
            </w:r>
          </w:p>
          <w:p w:rsidR="00000000" w:rsidRDefault="00C56D69">
            <w:pPr>
              <w:spacing w:after="100"/>
              <w:jc w:val="center"/>
              <w:rPr>
                <w:rFonts w:eastAsia="Times New Roman"/>
              </w:rPr>
            </w:pPr>
            <w:r>
              <w:rPr>
                <w:rFonts w:eastAsia="Times New Roman"/>
                <w:color w:val="000000"/>
                <w:sz w:val="18"/>
                <w:szCs w:val="18"/>
              </w:rPr>
              <w:t>0.60%-20.86%</w:t>
            </w:r>
          </w:p>
          <w:p w:rsidR="00000000" w:rsidRDefault="00C56D69">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C56D69">
            <w:pPr>
              <w:spacing w:after="100"/>
              <w:jc w:val="center"/>
              <w:rPr>
                <w:rFonts w:eastAsia="Times New Roman"/>
              </w:rPr>
            </w:pPr>
          </w:p>
          <w:p w:rsidR="00000000" w:rsidRDefault="00C56D69">
            <w:pPr>
              <w:spacing w:after="100"/>
              <w:jc w:val="center"/>
              <w:rPr>
                <w:rFonts w:eastAsia="Times New Roman"/>
              </w:rPr>
            </w:pPr>
            <w:r>
              <w:rPr>
                <w:rFonts w:eastAsia="Times New Roman"/>
                <w:color w:val="000000"/>
                <w:sz w:val="18"/>
                <w:szCs w:val="18"/>
              </w:rPr>
              <w:t>2.65%</w:t>
            </w:r>
          </w:p>
          <w:p w:rsidR="00000000" w:rsidRDefault="00C56D69">
            <w:pPr>
              <w:spacing w:after="100"/>
              <w:jc w:val="center"/>
              <w:rPr>
                <w:rFonts w:eastAsia="Times New Roman"/>
              </w:rPr>
            </w:pPr>
            <w:r>
              <w:rPr>
                <w:rFonts w:eastAsia="Times New Roman"/>
                <w:color w:val="000000"/>
                <w:sz w:val="18"/>
                <w:szCs w:val="18"/>
              </w:rPr>
              <w:t>24%</w:t>
            </w:r>
          </w:p>
        </w:tc>
      </w:tr>
    </w:tbl>
    <w:p w:rsidR="00000000" w:rsidRDefault="00C56D69">
      <w:pPr>
        <w:jc w:val="both"/>
        <w:rPr>
          <w:rFonts w:eastAsia="Times New Roman"/>
        </w:rPr>
      </w:pPr>
      <w:r>
        <w:rPr>
          <w:rFonts w:eastAsia="Times New Roman"/>
          <w:color w:val="000000"/>
          <w:sz w:val="20"/>
          <w:szCs w:val="20"/>
        </w:rPr>
        <w:t>_______</w:t>
      </w:r>
      <w:r>
        <w:rPr>
          <w:rFonts w:eastAsia="Times New Roman"/>
          <w:color w:val="000000"/>
          <w:sz w:val="20"/>
          <w:szCs w:val="20"/>
        </w:rPr>
        <w:t>_______</w:t>
      </w:r>
    </w:p>
    <w:p w:rsidR="00000000" w:rsidRDefault="00C56D69">
      <w:pPr>
        <w:ind w:hanging="360"/>
        <w:divId w:val="276302177"/>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contract, mort</w:t>
      </w:r>
      <w:r>
        <w:rPr>
          <w:rFonts w:eastAsia="Times New Roman"/>
          <w:color w:val="000000"/>
          <w:sz w:val="18"/>
          <w:szCs w:val="18"/>
        </w:rPr>
        <w:t>ality rates vary throughout the period over which cash flows are projected for purposes of valuating the embedded derivatives.</w:t>
      </w:r>
    </w:p>
    <w:p w:rsidR="00000000" w:rsidRDefault="00C56D69">
      <w:pPr>
        <w:ind w:hanging="360"/>
        <w:divId w:val="1399672361"/>
        <w:rPr>
          <w:rFonts w:eastAsia="Times New Roman"/>
        </w:rPr>
      </w:pPr>
      <w:r>
        <w:rPr>
          <w:rFonts w:eastAsia="Times New Roman"/>
          <w:color w:val="000000"/>
          <w:sz w:val="18"/>
          <w:szCs w:val="18"/>
        </w:rPr>
        <w:t>(2)For lapses, withdrawals, and utilizations the rates were weighted by counts; for mortality weighted average rates are shown fo</w:t>
      </w:r>
      <w:r>
        <w:rPr>
          <w:rFonts w:eastAsia="Times New Roman"/>
          <w:color w:val="000000"/>
          <w:sz w:val="18"/>
          <w:szCs w:val="18"/>
        </w:rPr>
        <w:t>r all ages combined; and for withdrawals the weighted averages were based on an estimated split of partial withdrawal and dollar-for-dollar withdrawals.</w:t>
      </w:r>
    </w:p>
    <w:p w:rsidR="00000000" w:rsidRDefault="00C56D69">
      <w:pPr>
        <w:jc w:val="center"/>
        <w:divId w:val="404299922"/>
        <w:rPr>
          <w:rFonts w:eastAsia="Times New Roman"/>
        </w:rPr>
      </w:pPr>
    </w:p>
    <w:p w:rsidR="00000000" w:rsidRDefault="00C56D69">
      <w:pPr>
        <w:jc w:val="center"/>
        <w:divId w:val="404299922"/>
        <w:rPr>
          <w:rFonts w:eastAsia="Times New Roman"/>
        </w:rPr>
      </w:pPr>
      <w:r>
        <w:rPr>
          <w:rFonts w:eastAsia="Times New Roman"/>
          <w:color w:val="000000"/>
          <w:sz w:val="20"/>
          <w:szCs w:val="20"/>
        </w:rPr>
        <w:t>54</w:t>
      </w:r>
    </w:p>
    <w:p w:rsidR="00000000" w:rsidRDefault="00C56D69">
      <w:pPr>
        <w:rPr>
          <w:rFonts w:eastAsia="Times New Roman"/>
        </w:rPr>
      </w:pPr>
      <w:r>
        <w:rPr>
          <w:rFonts w:eastAsia="Times New Roman"/>
        </w:rPr>
        <w:pict>
          <v:rect id="_x0000_i1080" style="width:0;height:1.5pt" o:hralign="center" o:hrstd="t" o:hr="t" fillcolor="#a0a0a0" stroked="f"/>
        </w:pict>
      </w:r>
    </w:p>
    <w:p w:rsidR="00000000" w:rsidRDefault="00C56D69">
      <w:pPr>
        <w:divId w:val="23497462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733504048"/>
        <w:rPr>
          <w:rFonts w:eastAsia="Times New Roman"/>
        </w:rPr>
      </w:pPr>
      <w:r>
        <w:rPr>
          <w:rFonts w:eastAsia="Times New Roman"/>
          <w:b/>
          <w:bCs/>
          <w:color w:val="000000"/>
          <w:sz w:val="20"/>
          <w:szCs w:val="20"/>
        </w:rPr>
        <w:t>EQUITABLE HOLDINGS, INC.</w:t>
      </w:r>
    </w:p>
    <w:p w:rsidR="00000000" w:rsidRDefault="00C56D69">
      <w:pPr>
        <w:jc w:val="center"/>
        <w:divId w:val="1733504048"/>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733504048"/>
        <w:rPr>
          <w:rFonts w:eastAsia="Times New Roman"/>
        </w:rPr>
      </w:pPr>
    </w:p>
    <w:p w:rsidR="00000000" w:rsidRDefault="00C56D69">
      <w:pPr>
        <w:jc w:val="both"/>
        <w:divId w:val="812596799"/>
        <w:rPr>
          <w:rFonts w:eastAsia="Times New Roman"/>
        </w:rPr>
      </w:pPr>
      <w:r>
        <w:rPr>
          <w:rFonts w:eastAsia="Times New Roman"/>
          <w:b/>
          <w:bCs/>
          <w:i/>
          <w:iCs/>
          <w:color w:val="000000"/>
          <w:sz w:val="20"/>
          <w:szCs w:val="20"/>
        </w:rPr>
        <w:t>Level 3 Financial Instruments for which Quantitative Inputs are Not Available</w:t>
      </w:r>
    </w:p>
    <w:p w:rsidR="00000000" w:rsidRDefault="00C56D69">
      <w:pPr>
        <w:jc w:val="both"/>
        <w:divId w:val="402604160"/>
        <w:rPr>
          <w:rFonts w:eastAsia="Times New Roman"/>
        </w:rPr>
      </w:pPr>
      <w:r>
        <w:rPr>
          <w:rFonts w:eastAsia="Times New Roman"/>
          <w:color w:val="000000"/>
          <w:sz w:val="20"/>
          <w:szCs w:val="20"/>
          <w:u w:val="single"/>
        </w:rPr>
        <w:t xml:space="preserve">Certain </w:t>
      </w:r>
      <w:r>
        <w:rPr>
          <w:rFonts w:eastAsia="Times New Roman"/>
          <w:color w:val="000000"/>
          <w:sz w:val="20"/>
          <w:szCs w:val="20"/>
          <w:u w:val="single"/>
        </w:rPr>
        <w:t>Privately Placed Debt Securities with Limited Trading Activity</w:t>
      </w:r>
    </w:p>
    <w:p w:rsidR="00000000" w:rsidRDefault="00C56D69">
      <w:pPr>
        <w:divId w:val="210269306"/>
        <w:rPr>
          <w:rFonts w:eastAsia="Times New Roman"/>
        </w:rPr>
      </w:pPr>
      <w:r>
        <w:rPr>
          <w:rFonts w:eastAsia="Times New Roman"/>
          <w:color w:val="000000"/>
          <w:sz w:val="20"/>
          <w:szCs w:val="20"/>
        </w:rPr>
        <w:t>Excluded from the tables above as of September 30, 2022 and December 31, 2021, respectively, are approximately $1.2 billion and $635 million of Level 3 fair value measurements of investments fo</w:t>
      </w:r>
      <w:r>
        <w:rPr>
          <w:rFonts w:eastAsia="Times New Roman"/>
          <w:color w:val="000000"/>
          <w:sz w:val="20"/>
          <w:szCs w:val="20"/>
        </w:rPr>
        <w:t>r which the underlying quantitative inputs are not developed by the Company and are not readily available. These investments primarily consist of certain privately placed debt securities with limited trading activity, including residential mortgage- and as</w:t>
      </w:r>
      <w:r>
        <w:rPr>
          <w:rFonts w:eastAsia="Times New Roman"/>
          <w:color w:val="000000"/>
          <w:sz w:val="20"/>
          <w:szCs w:val="20"/>
        </w:rPr>
        <w:t>set-backed instruments, and their fair values generally reflect unadjusted prices obtained from independent valuation service providers and indicative, non-binding quotes obtained from third-party broker-dealers recognized as market participants. Significa</w:t>
      </w:r>
      <w:r>
        <w:rPr>
          <w:rFonts w:eastAsia="Times New Roman"/>
          <w:color w:val="000000"/>
          <w:sz w:val="20"/>
          <w:szCs w:val="20"/>
        </w:rPr>
        <w:t>nt increases or decreases in the fair value amounts received from these pricing sources may result in the Company’s reporting significantly higher or lower fair value measurements for these Level 3 investments.</w:t>
      </w:r>
    </w:p>
    <w:p w:rsidR="00000000" w:rsidRDefault="00C56D69">
      <w:pPr>
        <w:ind w:hanging="360"/>
        <w:jc w:val="both"/>
        <w:divId w:val="472984762"/>
        <w:rPr>
          <w:rFonts w:eastAsia="Times New Roman"/>
        </w:rPr>
      </w:pPr>
      <w:r>
        <w:rPr>
          <w:rFonts w:eastAsia="Times New Roman"/>
          <w:color w:val="000000"/>
          <w:sz w:val="20"/>
          <w:szCs w:val="20"/>
        </w:rPr>
        <w:t>•The fair value of private placement securiti</w:t>
      </w:r>
      <w:r>
        <w:rPr>
          <w:rFonts w:eastAsia="Times New Roman"/>
          <w:color w:val="000000"/>
          <w:sz w:val="20"/>
          <w:szCs w:val="20"/>
        </w:rPr>
        <w:t>es is determined by application of a matrix pricing model or a market comparable company value technique. The significant unobservable input to the matrix pricing model valuation technique is the spread over the industry-specific benchmark yield curve. Gen</w:t>
      </w:r>
      <w:r>
        <w:rPr>
          <w:rFonts w:eastAsia="Times New Roman"/>
          <w:color w:val="000000"/>
          <w:sz w:val="20"/>
          <w:szCs w:val="20"/>
        </w:rPr>
        <w:t>erally, an increase or decrease in spreads would lead to directionally inverse movement in the fair value measurements of these securities. The significant unobservable input to the market comparable company valuation technique is the discount rate. Genera</w:t>
      </w:r>
      <w:r>
        <w:rPr>
          <w:rFonts w:eastAsia="Times New Roman"/>
          <w:color w:val="000000"/>
          <w:sz w:val="20"/>
          <w:szCs w:val="20"/>
        </w:rPr>
        <w:t>lly, a significant increase (decrease) in the discount rate would result in significantly lower (higher) fair value measurements of these securities.</w:t>
      </w:r>
    </w:p>
    <w:p w:rsidR="00000000" w:rsidRDefault="00C56D69">
      <w:pPr>
        <w:ind w:hanging="360"/>
        <w:jc w:val="both"/>
        <w:divId w:val="41249482"/>
        <w:rPr>
          <w:rFonts w:eastAsia="Times New Roman"/>
        </w:rPr>
      </w:pPr>
      <w:r>
        <w:rPr>
          <w:rFonts w:eastAsia="Times New Roman"/>
          <w:color w:val="000000"/>
          <w:sz w:val="20"/>
          <w:szCs w:val="20"/>
        </w:rPr>
        <w:t>•</w:t>
      </w:r>
      <w:r>
        <w:rPr>
          <w:rFonts w:eastAsia="Times New Roman"/>
          <w:color w:val="000000"/>
          <w:sz w:val="20"/>
          <w:szCs w:val="20"/>
        </w:rPr>
        <w:t>Residential mortgage-backed securities classified as Level 3 primarily consist of non-agency paper with low trading activity. Included in the tables above as of September 30, 2022 and December 31, 2021, there were no Level 3 securities that were determined</w:t>
      </w:r>
      <w:r>
        <w:rPr>
          <w:rFonts w:eastAsia="Times New Roman"/>
          <w:color w:val="000000"/>
          <w:sz w:val="20"/>
          <w:szCs w:val="20"/>
        </w:rPr>
        <w:t xml:space="preserve"> by application of a matrix pricing model and for which the spread over the U.S. Treasury curve is the most significant unobservable input to the pricing result. Generally, a change in spreads would lead to directionally inverse movement in the fair value </w:t>
      </w:r>
      <w:r>
        <w:rPr>
          <w:rFonts w:eastAsia="Times New Roman"/>
          <w:color w:val="000000"/>
          <w:sz w:val="20"/>
          <w:szCs w:val="20"/>
        </w:rPr>
        <w:t>measurements of these securities.</w:t>
      </w:r>
    </w:p>
    <w:p w:rsidR="00000000" w:rsidRDefault="00C56D69">
      <w:pPr>
        <w:ind w:hanging="360"/>
        <w:divId w:val="1572035006"/>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credit risk transfer securities, and equipment financings. Included in th</w:t>
      </w:r>
      <w:r>
        <w:rPr>
          <w:rFonts w:eastAsia="Times New Roman"/>
          <w:color w:val="000000"/>
          <w:sz w:val="20"/>
          <w:szCs w:val="20"/>
        </w:rPr>
        <w:t>e tables above as of September 30, 2022 and December 31, 2021, there were no securities that were determined by the application of matrix-pricing for which the spread over the U.S. Treasury curve is the most significant unobservable input to the pricing re</w:t>
      </w:r>
      <w:r>
        <w:rPr>
          <w:rFonts w:eastAsia="Times New Roman"/>
          <w:color w:val="000000"/>
          <w:sz w:val="20"/>
          <w:szCs w:val="20"/>
        </w:rPr>
        <w:t>sult. Significant increases (decreases) in spreads would have resulted in significantly lower (higher) fair value measurements.</w:t>
      </w:r>
    </w:p>
    <w:p w:rsidR="00000000" w:rsidRDefault="00C56D69">
      <w:pPr>
        <w:jc w:val="both"/>
        <w:divId w:val="2036151666"/>
        <w:rPr>
          <w:rFonts w:eastAsia="Times New Roman"/>
        </w:rPr>
      </w:pPr>
      <w:r>
        <w:rPr>
          <w:rFonts w:eastAsia="Times New Roman"/>
          <w:color w:val="000000"/>
          <w:sz w:val="20"/>
          <w:szCs w:val="20"/>
          <w:u w:val="single"/>
        </w:rPr>
        <w:t>Other Equity Investments</w:t>
      </w:r>
    </w:p>
    <w:p w:rsidR="00000000" w:rsidRDefault="00C56D69">
      <w:pPr>
        <w:divId w:val="1533877797"/>
        <w:rPr>
          <w:rFonts w:eastAsia="Times New Roman"/>
        </w:rPr>
      </w:pPr>
      <w:r>
        <w:rPr>
          <w:rFonts w:eastAsia="Times New Roman"/>
          <w:color w:val="000000"/>
          <w:sz w:val="20"/>
          <w:szCs w:val="20"/>
        </w:rPr>
        <w:t>Included in other equity investments classified as Level 3 are venture capital securities in the Techno</w:t>
      </w:r>
      <w:r>
        <w:rPr>
          <w:rFonts w:eastAsia="Times New Roman"/>
          <w:color w:val="000000"/>
          <w:sz w:val="20"/>
          <w:szCs w:val="20"/>
        </w:rPr>
        <w:t>logy, Media and Telecommunications industries. The fair value measurements of these securities include significant unobservable inputs including an enterprise value to revenue multiples and a discount rate to account for liquidity and various risk factors.</w:t>
      </w:r>
      <w:r>
        <w:rPr>
          <w:rFonts w:eastAsia="Times New Roman"/>
          <w:color w:val="000000"/>
          <w:sz w:val="20"/>
          <w:szCs w:val="20"/>
        </w:rPr>
        <w:t xml:space="preserve"> Significant increases (decreases) in the enterprise value to revenue multiple inputs in isolation would have resulted in a significantly higher (lower) fair value measurement. Significant increases (decreases) in the discount rate would have resulted in a</w:t>
      </w:r>
      <w:r>
        <w:rPr>
          <w:rFonts w:eastAsia="Times New Roman"/>
          <w:color w:val="000000"/>
          <w:sz w:val="20"/>
          <w:szCs w:val="20"/>
        </w:rPr>
        <w:t xml:space="preserve"> significantly lower (higher) fair value measurement.</w:t>
      </w:r>
    </w:p>
    <w:p w:rsidR="00000000" w:rsidRDefault="00C56D69">
      <w:pPr>
        <w:jc w:val="both"/>
        <w:divId w:val="2071536134"/>
        <w:rPr>
          <w:rFonts w:eastAsia="Times New Roman"/>
        </w:rPr>
      </w:pPr>
      <w:r>
        <w:rPr>
          <w:rFonts w:eastAsia="Times New Roman"/>
          <w:color w:val="000000"/>
          <w:sz w:val="20"/>
          <w:szCs w:val="20"/>
          <w:u w:val="single"/>
        </w:rPr>
        <w:t xml:space="preserve">GMIB Reinsurance Contract Asset, Amounts Due from Reinsurers and GMxB Derivative Features </w:t>
      </w:r>
    </w:p>
    <w:p w:rsidR="00000000" w:rsidRDefault="00C56D69">
      <w:pPr>
        <w:divId w:val="1108549655"/>
        <w:rPr>
          <w:rFonts w:eastAsia="Times New Roman"/>
        </w:rPr>
      </w:pPr>
      <w:r>
        <w:rPr>
          <w:rFonts w:eastAsia="Times New Roman"/>
          <w:color w:val="000000"/>
          <w:sz w:val="20"/>
          <w:szCs w:val="20"/>
        </w:rPr>
        <w:t>Significant unobservable inputs with respect to the fair value measurement of the Level 3 GMIB reinsurance cont</w:t>
      </w:r>
      <w:r>
        <w:rPr>
          <w:rFonts w:eastAsia="Times New Roman"/>
          <w:color w:val="000000"/>
          <w:sz w:val="20"/>
          <w:szCs w:val="20"/>
        </w:rPr>
        <w:t>ract asset and the Level 3 liabilities identified in the table above are developed using Company data.</w:t>
      </w:r>
    </w:p>
    <w:p w:rsidR="00000000" w:rsidRDefault="00C56D69">
      <w:pPr>
        <w:divId w:val="290095015"/>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w:t>
      </w:r>
      <w:r>
        <w:rPr>
          <w:rFonts w:eastAsia="Times New Roman"/>
          <w:color w:val="000000"/>
          <w:sz w:val="20"/>
          <w:szCs w:val="20"/>
        </w:rPr>
        <w:t>, and GMIB utilization rates. Significant increases in GMIB utilization rates or decreases in lapse or withdrawal rates in isolation would tend to increase the GMIB reinsurance contract asset.</w:t>
      </w:r>
    </w:p>
    <w:p w:rsidR="00000000" w:rsidRDefault="00C56D69">
      <w:pPr>
        <w:divId w:val="1220482812"/>
        <w:rPr>
          <w:rFonts w:eastAsia="Times New Roman"/>
        </w:rPr>
      </w:pPr>
      <w:r>
        <w:rPr>
          <w:rFonts w:eastAsia="Times New Roman"/>
          <w:color w:val="000000"/>
          <w:sz w:val="20"/>
          <w:szCs w:val="20"/>
        </w:rPr>
        <w:t xml:space="preserve">Fair value measurement of the GMIB reinsurance contract asset, </w:t>
      </w:r>
      <w:r>
        <w:rPr>
          <w:rFonts w:eastAsia="Times New Roman"/>
          <w:color w:val="000000"/>
          <w:sz w:val="20"/>
          <w:szCs w:val="20"/>
        </w:rPr>
        <w:t>GMIB NLG Reinsurance and liabilities includes dynamic lapse and GMIB utilization assumptions whereby projected contractual lapses and GMIB utilization reflect the projected net amount of risks of the contract. As the net amount of risk of a contract increa</w:t>
      </w:r>
      <w:r>
        <w:rPr>
          <w:rFonts w:eastAsia="Times New Roman"/>
          <w:color w:val="000000"/>
          <w:sz w:val="20"/>
          <w:szCs w:val="20"/>
        </w:rPr>
        <w:t>ses, the assumed lapse rate decreases and the GMIB utilization increases. Increases in volatility would increase the asset and liabilities.</w:t>
      </w:r>
    </w:p>
    <w:p w:rsidR="00000000" w:rsidRDefault="00C56D69">
      <w:pPr>
        <w:divId w:val="1391229633"/>
        <w:rPr>
          <w:rFonts w:eastAsia="Times New Roman"/>
        </w:rPr>
      </w:pPr>
      <w:r>
        <w:rPr>
          <w:rFonts w:eastAsia="Times New Roman"/>
          <w:color w:val="000000"/>
          <w:sz w:val="20"/>
          <w:szCs w:val="20"/>
        </w:rPr>
        <w:t xml:space="preserve">The significant unobservable inputs used in the fair value measurement of the Company’s GMIB NLG liability and GMIB </w:t>
      </w:r>
      <w:r>
        <w:rPr>
          <w:rFonts w:eastAsia="Times New Roman"/>
          <w:color w:val="000000"/>
          <w:sz w:val="20"/>
          <w:szCs w:val="20"/>
        </w:rPr>
        <w:t xml:space="preserve">NLG Reinsurance are lapse rates, withdrawal rates, GMIB utilization rates, adjustment for non-performance risk and NLG forfeiture rates. NLG forfeiture rates are caused by excess withdrawals above the annual GMIB accrual rate that cause the NLG to expire. </w:t>
      </w:r>
      <w:r>
        <w:rPr>
          <w:rFonts w:eastAsia="Times New Roman"/>
          <w:color w:val="000000"/>
          <w:sz w:val="20"/>
          <w:szCs w:val="20"/>
        </w:rPr>
        <w:t>Significant decreases in lapse rates, NLG forfeiture rates, adjustment for non-</w:t>
      </w:r>
    </w:p>
    <w:p w:rsidR="00000000" w:rsidRDefault="00C56D69">
      <w:pPr>
        <w:jc w:val="center"/>
        <w:divId w:val="1824194647"/>
        <w:rPr>
          <w:rFonts w:eastAsia="Times New Roman"/>
        </w:rPr>
      </w:pPr>
    </w:p>
    <w:p w:rsidR="00000000" w:rsidRDefault="00C56D69">
      <w:pPr>
        <w:jc w:val="center"/>
        <w:divId w:val="1824194647"/>
        <w:rPr>
          <w:rFonts w:eastAsia="Times New Roman"/>
        </w:rPr>
      </w:pPr>
      <w:r>
        <w:rPr>
          <w:rFonts w:eastAsia="Times New Roman"/>
          <w:color w:val="000000"/>
          <w:sz w:val="20"/>
          <w:szCs w:val="20"/>
        </w:rPr>
        <w:t>55</w:t>
      </w:r>
    </w:p>
    <w:p w:rsidR="00000000" w:rsidRDefault="00C56D69">
      <w:pPr>
        <w:rPr>
          <w:rFonts w:eastAsia="Times New Roman"/>
        </w:rPr>
      </w:pPr>
      <w:r>
        <w:rPr>
          <w:rFonts w:eastAsia="Times New Roman"/>
        </w:rPr>
        <w:pict>
          <v:rect id="_x0000_i1081" style="width:0;height:1.5pt" o:hralign="center" o:hrstd="t" o:hr="t" fillcolor="#a0a0a0" stroked="f"/>
        </w:pict>
      </w:r>
    </w:p>
    <w:p w:rsidR="00000000" w:rsidRDefault="00C56D69">
      <w:pPr>
        <w:divId w:val="23228177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64982040"/>
        <w:rPr>
          <w:rFonts w:eastAsia="Times New Roman"/>
        </w:rPr>
      </w:pPr>
      <w:r>
        <w:rPr>
          <w:rFonts w:eastAsia="Times New Roman"/>
          <w:b/>
          <w:bCs/>
          <w:color w:val="000000"/>
          <w:sz w:val="20"/>
          <w:szCs w:val="20"/>
        </w:rPr>
        <w:t>EQUITABLE HOLDINGS, INC.</w:t>
      </w:r>
    </w:p>
    <w:p w:rsidR="00000000" w:rsidRDefault="00C56D69">
      <w:pPr>
        <w:jc w:val="center"/>
        <w:divId w:val="164982040"/>
        <w:rPr>
          <w:rFonts w:eastAsia="Times New Roman"/>
        </w:rPr>
      </w:pPr>
      <w:r>
        <w:rPr>
          <w:rFonts w:eastAsia="Times New Roman"/>
          <w:b/>
          <w:bCs/>
          <w:color w:val="000000"/>
          <w:sz w:val="20"/>
          <w:szCs w:val="20"/>
        </w:rPr>
        <w:t xml:space="preserve">Notes to Consolidated Financial </w:t>
      </w:r>
      <w:r>
        <w:rPr>
          <w:rFonts w:eastAsia="Times New Roman"/>
          <w:b/>
          <w:bCs/>
          <w:color w:val="000000"/>
          <w:sz w:val="20"/>
          <w:szCs w:val="20"/>
        </w:rPr>
        <w:t>Statements (Unaudited), Continued</w:t>
      </w:r>
    </w:p>
    <w:p w:rsidR="00000000" w:rsidRDefault="00C56D69">
      <w:pPr>
        <w:jc w:val="center"/>
        <w:divId w:val="164982040"/>
        <w:rPr>
          <w:rFonts w:eastAsia="Times New Roman"/>
        </w:rPr>
      </w:pPr>
    </w:p>
    <w:p w:rsidR="00000000" w:rsidRDefault="00C56D69">
      <w:pPr>
        <w:divId w:val="1434856502"/>
        <w:rPr>
          <w:rFonts w:eastAsia="Times New Roman"/>
        </w:rPr>
      </w:pPr>
      <w:r>
        <w:rPr>
          <w:rFonts w:eastAsia="Times New Roman"/>
          <w:color w:val="000000"/>
          <w:sz w:val="20"/>
          <w:szCs w:val="20"/>
        </w:rPr>
        <w:t>performance risk and GMIB utilization rates would tend to increase the GMIB NLG liability and GMIB NLG Reinsurance, while decreases in withdrawal rates and volatility rates would tend to decrease the GMIB NLG liability a</w:t>
      </w:r>
      <w:r>
        <w:rPr>
          <w:rFonts w:eastAsia="Times New Roman"/>
          <w:color w:val="000000"/>
          <w:sz w:val="20"/>
          <w:szCs w:val="20"/>
        </w:rPr>
        <w:t>nd GMIB NLG Reinsurance.</w:t>
      </w:r>
    </w:p>
    <w:p w:rsidR="00000000" w:rsidRDefault="00C56D69">
      <w:pPr>
        <w:divId w:val="571427255"/>
        <w:rPr>
          <w:rFonts w:eastAsia="Times New Roman"/>
        </w:rPr>
      </w:pPr>
      <w:r>
        <w:rPr>
          <w:rFonts w:eastAsia="Times New Roman"/>
          <w:color w:val="000000"/>
          <w:sz w:val="20"/>
          <w:szCs w:val="20"/>
        </w:rPr>
        <w:t>The significant unobservable inputs used in the fair value measurement of the Company’</w:t>
      </w:r>
      <w:r>
        <w:rPr>
          <w:rFonts w:eastAsia="Times New Roman"/>
          <w:color w:val="000000"/>
          <w:sz w:val="20"/>
          <w:szCs w:val="20"/>
        </w:rPr>
        <w:t>s GMWB and GWBL liability are lapse rates and withdrawal rates. Significant increases in withdrawal rates or decreases in lapse rates in isolation would tend to increase these liabilities. Increases in volatility would increase these liabilities.</w:t>
      </w:r>
    </w:p>
    <w:p w:rsidR="00000000" w:rsidRDefault="00C56D69">
      <w:pPr>
        <w:jc w:val="both"/>
        <w:divId w:val="561788981"/>
        <w:rPr>
          <w:rFonts w:eastAsia="Times New Roman"/>
        </w:rPr>
      </w:pPr>
      <w:r>
        <w:rPr>
          <w:rFonts w:eastAsia="Times New Roman"/>
          <w:color w:val="000000"/>
          <w:sz w:val="20"/>
          <w:szCs w:val="20"/>
          <w:u w:val="single"/>
        </w:rPr>
        <w:t xml:space="preserve">Carrying </w:t>
      </w:r>
      <w:r>
        <w:rPr>
          <w:rFonts w:eastAsia="Times New Roman"/>
          <w:color w:val="000000"/>
          <w:sz w:val="20"/>
          <w:szCs w:val="20"/>
          <w:u w:val="single"/>
        </w:rPr>
        <w:t>Value of Financial Instruments Not Otherwise Disclosed in Note 3 and Note 4 of the Notes to these Consolidated Financial Statements</w:t>
      </w:r>
    </w:p>
    <w:p w:rsidR="00000000" w:rsidRDefault="00C56D69">
      <w:pPr>
        <w:divId w:val="1682272667"/>
        <w:rPr>
          <w:rFonts w:eastAsia="Times New Roman"/>
        </w:rPr>
      </w:pPr>
      <w:r>
        <w:rPr>
          <w:rFonts w:eastAsia="Times New Roman"/>
          <w:color w:val="000000"/>
          <w:sz w:val="20"/>
          <w:szCs w:val="20"/>
        </w:rPr>
        <w:t>The carrying values and fair values as of September 30, 2022 and December 31, 2021 for financial instruments not otherwise d</w:t>
      </w:r>
      <w:r>
        <w:rPr>
          <w:rFonts w:eastAsia="Times New Roman"/>
          <w:color w:val="000000"/>
          <w:sz w:val="20"/>
          <w:szCs w:val="20"/>
        </w:rPr>
        <w:t>isclosed in Note 3 and Note 4 of the Notes to these Consolidated Financial Statements are presented in the table below.</w:t>
      </w:r>
    </w:p>
    <w:p w:rsidR="00000000" w:rsidRDefault="00C56D69">
      <w:pPr>
        <w:jc w:val="center"/>
        <w:rPr>
          <w:rFonts w:eastAsia="Times New Roman"/>
        </w:rPr>
      </w:pPr>
      <w:r>
        <w:rPr>
          <w:rFonts w:eastAsia="Times New Roman"/>
          <w:b/>
          <w:bCs/>
          <w:color w:val="000000"/>
          <w:sz w:val="20"/>
          <w:szCs w:val="20"/>
        </w:rPr>
        <w:t>Carrying Values and Fair Values for Financial Instruments Not Otherwise Disclosed</w:t>
      </w:r>
    </w:p>
    <w:p w:rsidR="00000000" w:rsidRDefault="00C56D6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86"/>
        <w:gridCol w:w="37"/>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4"/>
        <w:gridCol w:w="36"/>
      </w:tblGrid>
      <w:tr w:rsidR="00000000">
        <w:trPr>
          <w:divId w:val="111827999"/>
          <w:jc w:val="center"/>
        </w:trPr>
        <w:tc>
          <w:tcPr>
            <w:tcW w:w="50" w:type="pct"/>
            <w:vAlign w:val="center"/>
            <w:hideMark/>
          </w:tcPr>
          <w:p w:rsidR="00000000" w:rsidRDefault="00C56D69">
            <w:pPr>
              <w:jc w:val="center"/>
              <w:rPr>
                <w:rFonts w:eastAsia="Times New Roman"/>
              </w:rPr>
            </w:pPr>
          </w:p>
        </w:tc>
        <w:tc>
          <w:tcPr>
            <w:tcW w:w="207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11827999"/>
          <w:trHeight w:val="24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r>
            <w:r>
              <w:rPr>
                <w:rFonts w:eastAsia="Times New Roman"/>
                <w:b/>
                <w:bCs/>
                <w:color w:val="000000"/>
                <w:sz w:val="16"/>
                <w:szCs w:val="16"/>
              </w:rPr>
              <w:t>Value</w:t>
            </w:r>
          </w:p>
        </w:tc>
        <w:tc>
          <w:tcPr>
            <w:tcW w:w="0" w:type="auto"/>
            <w:gridSpan w:val="3"/>
            <w:vMerge w:val="restart"/>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r>
      <w:tr w:rsidR="00000000">
        <w:trPr>
          <w:divId w:val="111827999"/>
          <w:trHeight w:val="240"/>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C56D69">
            <w:pPr>
              <w:spacing w:after="100"/>
              <w:rPr>
                <w:rFonts w:eastAsia="Times New Roman"/>
              </w:rPr>
            </w:pPr>
          </w:p>
        </w:tc>
        <w:tc>
          <w:tcPr>
            <w:tcW w:w="0" w:type="auto"/>
            <w:gridSpan w:val="3"/>
            <w:vMerge/>
            <w:vAlign w:val="center"/>
            <w:hideMark/>
          </w:tcPr>
          <w:p w:rsidR="00000000" w:rsidRDefault="00C56D69">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w:t>
            </w:r>
          </w:p>
        </w:tc>
      </w:tr>
      <w:tr w:rsidR="00000000">
        <w:trPr>
          <w:divId w:val="111827999"/>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11827999"/>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13,946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13,946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Policyholders’ liabilities: Investment contracts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and long-term debt (1)</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182799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11827999"/>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14,033 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 loans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Policyholders’ liabilities: Investment contracts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2,035 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and long-term debt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1827999"/>
          <w:jc w:val="center"/>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866262033"/>
        <w:rPr>
          <w:rFonts w:eastAsia="Times New Roman"/>
        </w:rPr>
      </w:pPr>
      <w:r>
        <w:rPr>
          <w:rFonts w:eastAsia="Times New Roman"/>
          <w:color w:val="000000"/>
          <w:sz w:val="18"/>
          <w:szCs w:val="18"/>
        </w:rPr>
        <w:t>_____________</w:t>
      </w:r>
    </w:p>
    <w:p w:rsidR="00000000" w:rsidRDefault="00C56D69">
      <w:pPr>
        <w:ind w:hanging="360"/>
        <w:divId w:val="1345280294"/>
        <w:rPr>
          <w:rFonts w:eastAsia="Times New Roman"/>
        </w:rPr>
      </w:pPr>
      <w:r>
        <w:rPr>
          <w:rFonts w:eastAsia="Times New Roman"/>
          <w:color w:val="000000"/>
          <w:sz w:val="18"/>
          <w:szCs w:val="18"/>
        </w:rPr>
        <w:t xml:space="preserve">(1)As of </w:t>
      </w:r>
      <w:r>
        <w:rPr>
          <w:rFonts w:eastAsia="Times New Roman"/>
          <w:color w:val="000000"/>
          <w:sz w:val="20"/>
          <w:szCs w:val="20"/>
        </w:rPr>
        <w:t>September 30, 2022 and December 31, 2021 e</w:t>
      </w:r>
      <w:r>
        <w:rPr>
          <w:rFonts w:eastAsia="Times New Roman"/>
          <w:color w:val="000000"/>
          <w:sz w:val="18"/>
          <w:szCs w:val="18"/>
        </w:rPr>
        <w:t>xcludes CLO short-term debt of $248 million and $92 million</w:t>
      </w:r>
      <w:r>
        <w:rPr>
          <w:rFonts w:eastAsia="Times New Roman"/>
          <w:color w:val="000000"/>
          <w:sz w:val="20"/>
          <w:szCs w:val="20"/>
        </w:rPr>
        <w:t xml:space="preserve">, </w:t>
      </w:r>
      <w:r>
        <w:rPr>
          <w:rFonts w:eastAsia="Times New Roman"/>
          <w:color w:val="000000"/>
          <w:sz w:val="18"/>
          <w:szCs w:val="18"/>
        </w:rPr>
        <w:t>which is inclusive as fair valued within Notes issued by consolidated VIE’s, at fair value using the fair value option.</w:t>
      </w:r>
    </w:p>
    <w:p w:rsidR="00000000" w:rsidRDefault="00C56D69">
      <w:pPr>
        <w:ind w:hanging="360"/>
        <w:divId w:val="865631747"/>
        <w:rPr>
          <w:rFonts w:eastAsia="Times New Roman"/>
        </w:rPr>
      </w:pPr>
    </w:p>
    <w:p w:rsidR="00000000" w:rsidRDefault="00C56D69">
      <w:pPr>
        <w:jc w:val="both"/>
        <w:divId w:val="1771928400"/>
        <w:rPr>
          <w:rFonts w:eastAsia="Times New Roman"/>
        </w:rPr>
      </w:pPr>
      <w:r>
        <w:rPr>
          <w:rFonts w:eastAsia="Times New Roman"/>
          <w:b/>
          <w:bCs/>
          <w:i/>
          <w:iCs/>
          <w:color w:val="000000"/>
          <w:sz w:val="20"/>
          <w:szCs w:val="20"/>
        </w:rPr>
        <w:t>Mortgage Loans on Real Estate</w:t>
      </w:r>
    </w:p>
    <w:p w:rsidR="00000000" w:rsidRDefault="00C56D69">
      <w:pPr>
        <w:divId w:val="1734811589"/>
        <w:rPr>
          <w:rFonts w:eastAsia="Times New Roman"/>
        </w:rPr>
      </w:pPr>
      <w:r>
        <w:rPr>
          <w:rFonts w:eastAsia="Times New Roman"/>
          <w:color w:val="000000"/>
          <w:sz w:val="20"/>
          <w:szCs w:val="20"/>
        </w:rPr>
        <w:t>Fair values for commercial and agricultural</w:t>
      </w:r>
      <w:r>
        <w:rPr>
          <w:rFonts w:eastAsia="Times New Roman"/>
          <w:color w:val="000000"/>
          <w:sz w:val="20"/>
          <w:szCs w:val="20"/>
        </w:rPr>
        <w:t xml:space="preserve"> mortgage loans on real estate are measured by discounting future contractual cash flows to be received on the mortgage loan using interest rates at which loans with similar characteristics and credit quality would be made. The discount rate is derived bas</w:t>
      </w:r>
      <w:r>
        <w:rPr>
          <w:rFonts w:eastAsia="Times New Roman"/>
          <w:color w:val="000000"/>
          <w:sz w:val="20"/>
          <w:szCs w:val="20"/>
        </w:rPr>
        <w:t>ed on the appropriate U.S. Treasury rate with a like term to the remaining term of the loan to which a spread reflective of the risk premium associated with the specific loan is added. Fair values for mortgage loans anticipated to be foreclosed and problem</w:t>
      </w:r>
      <w:r>
        <w:rPr>
          <w:rFonts w:eastAsia="Times New Roman"/>
          <w:color w:val="000000"/>
          <w:sz w:val="20"/>
          <w:szCs w:val="20"/>
        </w:rPr>
        <w:t xml:space="preserve"> mortgage loans are limited to the fair value of the underlying collateral, if lower.</w:t>
      </w:r>
    </w:p>
    <w:p w:rsidR="00000000" w:rsidRDefault="00C56D69">
      <w:pPr>
        <w:jc w:val="center"/>
        <w:divId w:val="1515534594"/>
        <w:rPr>
          <w:rFonts w:eastAsia="Times New Roman"/>
        </w:rPr>
      </w:pPr>
    </w:p>
    <w:p w:rsidR="00000000" w:rsidRDefault="00C56D69">
      <w:pPr>
        <w:jc w:val="center"/>
        <w:divId w:val="1515534594"/>
        <w:rPr>
          <w:rFonts w:eastAsia="Times New Roman"/>
        </w:rPr>
      </w:pPr>
      <w:r>
        <w:rPr>
          <w:rFonts w:eastAsia="Times New Roman"/>
          <w:color w:val="000000"/>
          <w:sz w:val="20"/>
          <w:szCs w:val="20"/>
        </w:rPr>
        <w:t>56</w:t>
      </w:r>
    </w:p>
    <w:p w:rsidR="00000000" w:rsidRDefault="00C56D69">
      <w:pPr>
        <w:rPr>
          <w:rFonts w:eastAsia="Times New Roman"/>
        </w:rPr>
      </w:pPr>
      <w:r>
        <w:rPr>
          <w:rFonts w:eastAsia="Times New Roman"/>
        </w:rPr>
        <w:pict>
          <v:rect id="_x0000_i1082" style="width:0;height:1.5pt" o:hralign="center" o:hrstd="t" o:hr="t" fillcolor="#a0a0a0" stroked="f"/>
        </w:pict>
      </w:r>
    </w:p>
    <w:p w:rsidR="00000000" w:rsidRDefault="00C56D69">
      <w:pPr>
        <w:divId w:val="197788022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53099209"/>
        <w:rPr>
          <w:rFonts w:eastAsia="Times New Roman"/>
        </w:rPr>
      </w:pPr>
      <w:r>
        <w:rPr>
          <w:rFonts w:eastAsia="Times New Roman"/>
          <w:b/>
          <w:bCs/>
          <w:color w:val="000000"/>
          <w:sz w:val="20"/>
          <w:szCs w:val="20"/>
        </w:rPr>
        <w:t>EQUITABLE HOLDINGS, INC.</w:t>
      </w:r>
    </w:p>
    <w:p w:rsidR="00000000" w:rsidRDefault="00C56D69">
      <w:pPr>
        <w:jc w:val="center"/>
        <w:divId w:val="953099209"/>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953099209"/>
        <w:rPr>
          <w:rFonts w:eastAsia="Times New Roman"/>
        </w:rPr>
      </w:pPr>
    </w:p>
    <w:p w:rsidR="00000000" w:rsidRDefault="00C56D69">
      <w:pPr>
        <w:jc w:val="both"/>
        <w:divId w:val="2068140905"/>
        <w:rPr>
          <w:rFonts w:eastAsia="Times New Roman"/>
        </w:rPr>
      </w:pPr>
      <w:r>
        <w:rPr>
          <w:rFonts w:eastAsia="Times New Roman"/>
          <w:b/>
          <w:bCs/>
          <w:i/>
          <w:iCs/>
          <w:color w:val="000000"/>
          <w:sz w:val="20"/>
          <w:szCs w:val="20"/>
        </w:rPr>
        <w:t>Policy Loans</w:t>
      </w:r>
    </w:p>
    <w:p w:rsidR="00000000" w:rsidRDefault="00C56D69">
      <w:pPr>
        <w:divId w:val="147593194"/>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C56D69">
      <w:pPr>
        <w:jc w:val="both"/>
        <w:divId w:val="207030097"/>
        <w:rPr>
          <w:rFonts w:eastAsia="Times New Roman"/>
        </w:rPr>
      </w:pPr>
      <w:r>
        <w:rPr>
          <w:rFonts w:eastAsia="Times New Roman"/>
          <w:b/>
          <w:bCs/>
          <w:i/>
          <w:iCs/>
          <w:color w:val="000000"/>
          <w:sz w:val="20"/>
          <w:szCs w:val="20"/>
        </w:rPr>
        <w:t>Short-term and</w:t>
      </w:r>
      <w:r>
        <w:rPr>
          <w:rFonts w:eastAsia="Times New Roman"/>
          <w:b/>
          <w:bCs/>
          <w:i/>
          <w:iCs/>
          <w:color w:val="000000"/>
          <w:sz w:val="20"/>
          <w:szCs w:val="20"/>
        </w:rPr>
        <w:t xml:space="preserve"> Long-term Debt</w:t>
      </w:r>
    </w:p>
    <w:p w:rsidR="00000000" w:rsidRDefault="00C56D69">
      <w:pPr>
        <w:divId w:val="922225011"/>
        <w:rPr>
          <w:rFonts w:eastAsia="Times New Roman"/>
        </w:rPr>
      </w:pPr>
      <w:r>
        <w:rPr>
          <w:rFonts w:eastAsia="Times New Roman"/>
          <w:color w:val="000000"/>
          <w:sz w:val="20"/>
          <w:szCs w:val="20"/>
        </w:rPr>
        <w:t>The Company’s short-term debt primarily includes commercial paper with short-term maturities and carrying value approximates fair value. The fair values for the Company’s long-term debt are determined by Bloomberg’s evaluated pricing servic</w:t>
      </w:r>
      <w:r>
        <w:rPr>
          <w:rFonts w:eastAsia="Times New Roman"/>
          <w:color w:val="000000"/>
          <w:sz w:val="20"/>
          <w:szCs w:val="20"/>
        </w:rPr>
        <w:t xml:space="preserve">e, which uses direct observations or observed comparables. </w:t>
      </w:r>
    </w:p>
    <w:p w:rsidR="00000000" w:rsidRDefault="00C56D69">
      <w:pPr>
        <w:jc w:val="both"/>
        <w:divId w:val="2070759754"/>
        <w:rPr>
          <w:rFonts w:eastAsia="Times New Roman"/>
        </w:rPr>
      </w:pPr>
      <w:r>
        <w:rPr>
          <w:rFonts w:eastAsia="Times New Roman"/>
          <w:b/>
          <w:bCs/>
          <w:i/>
          <w:iCs/>
          <w:color w:val="000000"/>
          <w:sz w:val="20"/>
          <w:szCs w:val="20"/>
        </w:rPr>
        <w:t>FHLB Funding Agreements</w:t>
      </w:r>
    </w:p>
    <w:p w:rsidR="00000000" w:rsidRDefault="00C56D69">
      <w:pPr>
        <w:divId w:val="999194242"/>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w:t>
      </w:r>
      <w:r>
        <w:rPr>
          <w:rFonts w:eastAsia="Times New Roman"/>
          <w:color w:val="000000"/>
          <w:sz w:val="20"/>
          <w:szCs w:val="20"/>
        </w:rPr>
        <w:t>LB.</w:t>
      </w:r>
    </w:p>
    <w:p w:rsidR="00000000" w:rsidRDefault="00C56D69">
      <w:pPr>
        <w:jc w:val="both"/>
        <w:divId w:val="2025356675"/>
        <w:rPr>
          <w:rFonts w:eastAsia="Times New Roman"/>
        </w:rPr>
      </w:pPr>
      <w:r>
        <w:rPr>
          <w:rFonts w:eastAsia="Times New Roman"/>
          <w:b/>
          <w:bCs/>
          <w:i/>
          <w:iCs/>
          <w:color w:val="000000"/>
          <w:sz w:val="20"/>
          <w:szCs w:val="20"/>
        </w:rPr>
        <w:t>FABN Funding Agreements</w:t>
      </w:r>
    </w:p>
    <w:p w:rsidR="00000000" w:rsidRDefault="00C56D69">
      <w:pPr>
        <w:divId w:val="1203589126"/>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observed comparables.</w:t>
      </w:r>
    </w:p>
    <w:p w:rsidR="00000000" w:rsidRDefault="00C56D69">
      <w:pPr>
        <w:jc w:val="both"/>
        <w:divId w:val="354161305"/>
        <w:rPr>
          <w:rFonts w:eastAsia="Times New Roman"/>
        </w:rPr>
      </w:pPr>
      <w:r>
        <w:rPr>
          <w:rFonts w:eastAsia="Times New Roman"/>
          <w:b/>
          <w:bCs/>
          <w:i/>
          <w:iCs/>
          <w:color w:val="000000"/>
          <w:sz w:val="20"/>
          <w:szCs w:val="20"/>
        </w:rPr>
        <w:t>Policyholder Liabilities - Investment Contracts an</w:t>
      </w:r>
      <w:r>
        <w:rPr>
          <w:rFonts w:eastAsia="Times New Roman"/>
          <w:b/>
          <w:bCs/>
          <w:i/>
          <w:iCs/>
          <w:color w:val="000000"/>
          <w:sz w:val="20"/>
          <w:szCs w:val="20"/>
        </w:rPr>
        <w:t>d Separate Accounts Liabilities</w:t>
      </w:r>
    </w:p>
    <w:p w:rsidR="00000000" w:rsidRDefault="00C56D69">
      <w:pPr>
        <w:divId w:val="272708176"/>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investments in Separate Accounts, are estimated using pr</w:t>
      </w:r>
      <w:r>
        <w:rPr>
          <w:rFonts w:eastAsia="Times New Roman"/>
          <w:color w:val="000000"/>
          <w:sz w:val="20"/>
          <w:szCs w:val="20"/>
        </w:rPr>
        <w:t>ojected cash flows discounted at rates reflecting current market rates. Significant unobservable inputs reflected in the cash flows include lapse rates and withdrawal rates. Incremental adjustments may be made to the fair value to reflect non-performance r</w:t>
      </w:r>
      <w:r>
        <w:rPr>
          <w:rFonts w:eastAsia="Times New Roman"/>
          <w:color w:val="000000"/>
          <w:sz w:val="20"/>
          <w:szCs w:val="20"/>
        </w:rPr>
        <w:t>isk. Certain other products such as the Company’s association plans contracts, supplementary contracts not involving life contingencies, Access Accounts and Escrow Shield Plus product reserves are held at book value.</w:t>
      </w:r>
    </w:p>
    <w:p w:rsidR="00000000" w:rsidRDefault="00C56D69">
      <w:pPr>
        <w:divId w:val="1067267503"/>
        <w:rPr>
          <w:rFonts w:eastAsia="Times New Roman"/>
        </w:rPr>
      </w:pPr>
      <w:r>
        <w:rPr>
          <w:rFonts w:eastAsia="Times New Roman"/>
          <w:color w:val="000000"/>
          <w:sz w:val="20"/>
          <w:szCs w:val="20"/>
          <w:u w:val="single"/>
        </w:rPr>
        <w:t xml:space="preserve">Financial Instruments Exempt from Fair </w:t>
      </w:r>
      <w:r>
        <w:rPr>
          <w:rFonts w:eastAsia="Times New Roman"/>
          <w:color w:val="000000"/>
          <w:sz w:val="20"/>
          <w:szCs w:val="20"/>
          <w:u w:val="single"/>
        </w:rPr>
        <w:t>Value Disclosure or Otherwise Not Required to be Disclosed</w:t>
      </w:r>
    </w:p>
    <w:p w:rsidR="00000000" w:rsidRDefault="00C56D69">
      <w:pPr>
        <w:jc w:val="both"/>
        <w:divId w:val="1402382"/>
        <w:rPr>
          <w:rFonts w:eastAsia="Times New Roman"/>
        </w:rPr>
      </w:pPr>
      <w:r>
        <w:rPr>
          <w:rFonts w:eastAsia="Times New Roman"/>
          <w:b/>
          <w:bCs/>
          <w:i/>
          <w:iCs/>
          <w:color w:val="000000"/>
          <w:sz w:val="20"/>
          <w:szCs w:val="20"/>
        </w:rPr>
        <w:t>Exempt from Fair Value Disclosure Requirements</w:t>
      </w:r>
    </w:p>
    <w:p w:rsidR="00000000" w:rsidRDefault="00C56D69">
      <w:pPr>
        <w:divId w:val="1058432002"/>
        <w:rPr>
          <w:rFonts w:eastAsia="Times New Roman"/>
        </w:rPr>
      </w:pPr>
      <w:r>
        <w:rPr>
          <w:rFonts w:eastAsia="Times New Roman"/>
          <w:color w:val="000000"/>
          <w:sz w:val="20"/>
          <w:szCs w:val="20"/>
        </w:rPr>
        <w:t>Certain financial instruments are exempt from the requirements for fair value disclosure, such as insurance liabilities other than financial guarantee</w:t>
      </w:r>
      <w:r>
        <w:rPr>
          <w:rFonts w:eastAsia="Times New Roman"/>
          <w:color w:val="000000"/>
          <w:sz w:val="20"/>
          <w:szCs w:val="20"/>
        </w:rPr>
        <w:t xml:space="preserve">s and investment contracts, limited partnerships accounted for under the equity method and pension and other postretirement obligations. </w:t>
      </w:r>
    </w:p>
    <w:p w:rsidR="00000000" w:rsidRDefault="00C56D69">
      <w:pPr>
        <w:jc w:val="both"/>
        <w:divId w:val="1244342566"/>
        <w:rPr>
          <w:rFonts w:eastAsia="Times New Roman"/>
        </w:rPr>
      </w:pPr>
      <w:r>
        <w:rPr>
          <w:rFonts w:eastAsia="Times New Roman"/>
          <w:b/>
          <w:bCs/>
          <w:i/>
          <w:iCs/>
          <w:color w:val="000000"/>
          <w:sz w:val="20"/>
          <w:szCs w:val="20"/>
        </w:rPr>
        <w:t>Otherwise Not Required to be Included in the Table Above</w:t>
      </w:r>
    </w:p>
    <w:p w:rsidR="00000000" w:rsidRDefault="00C56D69">
      <w:pPr>
        <w:divId w:val="1023168386"/>
        <w:rPr>
          <w:rFonts w:eastAsia="Times New Roman"/>
        </w:rPr>
      </w:pPr>
      <w:r>
        <w:rPr>
          <w:rFonts w:eastAsia="Times New Roman"/>
          <w:color w:val="000000"/>
          <w:sz w:val="20"/>
          <w:szCs w:val="20"/>
        </w:rPr>
        <w:t>The Company’s investment in COLI policies are recorded at the</w:t>
      </w:r>
      <w:r>
        <w:rPr>
          <w:rFonts w:eastAsia="Times New Roman"/>
          <w:color w:val="000000"/>
          <w:sz w:val="20"/>
          <w:szCs w:val="20"/>
        </w:rPr>
        <w:t>ir cash surrender value and are therefore not required to be included in the table above. See Note 2 of the Notes to these Consolidated Financial Statements for further description of the Company’s accounting policy related to its investment in COLI polici</w:t>
      </w:r>
      <w:r>
        <w:rPr>
          <w:rFonts w:eastAsia="Times New Roman"/>
          <w:color w:val="000000"/>
          <w:sz w:val="20"/>
          <w:szCs w:val="20"/>
        </w:rPr>
        <w:t>es.</w:t>
      </w:r>
    </w:p>
    <w:p w:rsidR="00000000" w:rsidRDefault="00C56D69">
      <w:pPr>
        <w:divId w:val="1368720594"/>
        <w:rPr>
          <w:rFonts w:eastAsia="Times New Roman"/>
        </w:rPr>
      </w:pPr>
      <w:r>
        <w:rPr>
          <w:rFonts w:eastAsia="Times New Roman"/>
          <w:b/>
          <w:bCs/>
          <w:color w:val="000000"/>
          <w:sz w:val="20"/>
          <w:szCs w:val="20"/>
        </w:rPr>
        <w:t xml:space="preserve">8)    EMPLOYEE BENEFIT PLANS </w:t>
      </w:r>
    </w:p>
    <w:p w:rsidR="00000000" w:rsidRDefault="00C56D69">
      <w:pPr>
        <w:divId w:val="2073233063"/>
        <w:rPr>
          <w:rFonts w:eastAsia="Times New Roman"/>
        </w:rPr>
      </w:pPr>
      <w:r>
        <w:rPr>
          <w:rFonts w:eastAsia="Times New Roman"/>
          <w:color w:val="000000"/>
          <w:sz w:val="20"/>
          <w:szCs w:val="20"/>
          <w:u w:val="single"/>
        </w:rPr>
        <w:t>Pension Plans</w:t>
      </w:r>
    </w:p>
    <w:p w:rsidR="00000000" w:rsidRDefault="00C56D69">
      <w:pPr>
        <w:jc w:val="both"/>
        <w:divId w:val="1364599630"/>
        <w:rPr>
          <w:rFonts w:eastAsia="Times New Roman"/>
        </w:rPr>
      </w:pPr>
      <w:r>
        <w:rPr>
          <w:rFonts w:eastAsia="Times New Roman"/>
          <w:b/>
          <w:bCs/>
          <w:i/>
          <w:iCs/>
          <w:color w:val="000000"/>
          <w:sz w:val="20"/>
          <w:szCs w:val="20"/>
        </w:rPr>
        <w:t>Holdings and Equitable Financial Retirement Plans</w:t>
      </w:r>
    </w:p>
    <w:p w:rsidR="00000000" w:rsidRDefault="00C56D69">
      <w:pPr>
        <w:divId w:val="1724672130"/>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Financial QP”), both of which are frozen qualified defined benefit plans covering eligible employee</w:t>
      </w:r>
      <w:r>
        <w:rPr>
          <w:rFonts w:eastAsia="Times New Roman"/>
          <w:color w:val="000000"/>
          <w:sz w:val="20"/>
          <w:szCs w:val="20"/>
        </w:rPr>
        <w:t>s and financial professionals. These pension plans are non-contributory, and their benefits are generally based on a cash balance formula and/or, for certain participants, years of service and average earnings over a specified period. Holdings and Equitabl</w:t>
      </w:r>
      <w:r>
        <w:rPr>
          <w:rFonts w:eastAsia="Times New Roman"/>
          <w:color w:val="000000"/>
          <w:sz w:val="20"/>
          <w:szCs w:val="20"/>
        </w:rPr>
        <w:t xml:space="preserve">e Financial also sponsor certain nonqualified defined benefit plans, including the Equitable Excess Retirement Plan, that provide retirement benefits in excess of the amount permitted under the tax law for the qualified plans. Holdings has assumed primary </w:t>
      </w:r>
      <w:r>
        <w:rPr>
          <w:rFonts w:eastAsia="Times New Roman"/>
          <w:color w:val="000000"/>
          <w:sz w:val="20"/>
          <w:szCs w:val="20"/>
        </w:rPr>
        <w:t>liability for both plans. Equitable Financial remains secondarily liable for its obligations under the Equitable Financial QP and would recognize such liability in the event Holdings does not perform.</w:t>
      </w:r>
    </w:p>
    <w:p w:rsidR="00000000" w:rsidRDefault="00C56D69">
      <w:pPr>
        <w:jc w:val="center"/>
        <w:divId w:val="2082019491"/>
        <w:rPr>
          <w:rFonts w:eastAsia="Times New Roman"/>
        </w:rPr>
      </w:pPr>
    </w:p>
    <w:p w:rsidR="00000000" w:rsidRDefault="00C56D69">
      <w:pPr>
        <w:jc w:val="center"/>
        <w:divId w:val="2082019491"/>
        <w:rPr>
          <w:rFonts w:eastAsia="Times New Roman"/>
        </w:rPr>
      </w:pPr>
      <w:r>
        <w:rPr>
          <w:rFonts w:eastAsia="Times New Roman"/>
          <w:color w:val="000000"/>
          <w:sz w:val="20"/>
          <w:szCs w:val="20"/>
        </w:rPr>
        <w:t>57</w:t>
      </w:r>
    </w:p>
    <w:p w:rsidR="00000000" w:rsidRDefault="00C56D69">
      <w:pPr>
        <w:rPr>
          <w:rFonts w:eastAsia="Times New Roman"/>
        </w:rPr>
      </w:pPr>
      <w:r>
        <w:rPr>
          <w:rFonts w:eastAsia="Times New Roman"/>
        </w:rPr>
        <w:pict>
          <v:rect id="_x0000_i1083" style="width:0;height:1.5pt" o:hralign="center" o:hrstd="t" o:hr="t" fillcolor="#a0a0a0" stroked="f"/>
        </w:pict>
      </w:r>
    </w:p>
    <w:p w:rsidR="00000000" w:rsidRDefault="00C56D69">
      <w:pPr>
        <w:divId w:val="197914036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16597364"/>
        <w:rPr>
          <w:rFonts w:eastAsia="Times New Roman"/>
        </w:rPr>
      </w:pPr>
      <w:r>
        <w:rPr>
          <w:rFonts w:eastAsia="Times New Roman"/>
          <w:b/>
          <w:bCs/>
          <w:color w:val="000000"/>
          <w:sz w:val="20"/>
          <w:szCs w:val="20"/>
        </w:rPr>
        <w:t>EQUITABLE HOLDINGS, INC.</w:t>
      </w:r>
    </w:p>
    <w:p w:rsidR="00000000" w:rsidRDefault="00C56D69">
      <w:pPr>
        <w:jc w:val="center"/>
        <w:divId w:val="916597364"/>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916597364"/>
        <w:rPr>
          <w:rFonts w:eastAsia="Times New Roman"/>
        </w:rPr>
      </w:pPr>
    </w:p>
    <w:p w:rsidR="00000000" w:rsidRDefault="00C56D69">
      <w:pPr>
        <w:jc w:val="both"/>
        <w:divId w:val="938833200"/>
        <w:rPr>
          <w:rFonts w:eastAsia="Times New Roman"/>
        </w:rPr>
      </w:pPr>
      <w:r>
        <w:rPr>
          <w:rFonts w:eastAsia="Times New Roman"/>
          <w:b/>
          <w:bCs/>
          <w:i/>
          <w:iCs/>
          <w:color w:val="000000"/>
          <w:sz w:val="20"/>
          <w:szCs w:val="20"/>
        </w:rPr>
        <w:t>AB Retirement Plans</w:t>
      </w:r>
    </w:p>
    <w:p w:rsidR="00000000" w:rsidRDefault="00C56D69">
      <w:pPr>
        <w:divId w:val="1847359668"/>
        <w:rPr>
          <w:rFonts w:eastAsia="Times New Roman"/>
        </w:rPr>
      </w:pPr>
      <w:r>
        <w:rPr>
          <w:rFonts w:eastAsia="Times New Roman"/>
          <w:color w:val="000000"/>
          <w:sz w:val="20"/>
          <w:szCs w:val="20"/>
        </w:rPr>
        <w:t>AB maintain</w:t>
      </w:r>
      <w:r>
        <w:rPr>
          <w:rFonts w:eastAsia="Times New Roman"/>
          <w:color w:val="000000"/>
          <w:sz w:val="20"/>
          <w:szCs w:val="20"/>
        </w:rPr>
        <w:t>s a qualified, non-contributory, defined benefit retirement plan covering current and former employees who were employed by AB in the United States prior to October 2, 2000 (the “AB Plan”). Benefits under the AB Plan are based on years of credited service,</w:t>
      </w:r>
      <w:r>
        <w:rPr>
          <w:rFonts w:eastAsia="Times New Roman"/>
          <w:color w:val="000000"/>
          <w:sz w:val="20"/>
          <w:szCs w:val="20"/>
        </w:rPr>
        <w:t xml:space="preserve"> average final base salary, and primary Social Security benefits. Service and compensation after December 31, 2008 are not taken into account in determining participants’ retirement benefits.</w:t>
      </w:r>
    </w:p>
    <w:p w:rsidR="00000000" w:rsidRDefault="00C56D69">
      <w:pPr>
        <w:jc w:val="both"/>
        <w:divId w:val="1176841138"/>
        <w:rPr>
          <w:rFonts w:eastAsia="Times New Roman"/>
        </w:rPr>
      </w:pPr>
      <w:r>
        <w:rPr>
          <w:rFonts w:eastAsia="Times New Roman"/>
          <w:b/>
          <w:bCs/>
          <w:i/>
          <w:iCs/>
          <w:color w:val="000000"/>
          <w:sz w:val="20"/>
          <w:szCs w:val="20"/>
        </w:rPr>
        <w:t>Net Periodic Pension Expense</w:t>
      </w:r>
    </w:p>
    <w:p w:rsidR="00000000" w:rsidRDefault="00C56D69">
      <w:pPr>
        <w:divId w:val="1575240339"/>
        <w:rPr>
          <w:rFonts w:eastAsia="Times New Roman"/>
        </w:rPr>
      </w:pPr>
      <w:r>
        <w:rPr>
          <w:rFonts w:eastAsia="Times New Roman"/>
          <w:color w:val="000000"/>
          <w:sz w:val="20"/>
          <w:szCs w:val="20"/>
        </w:rPr>
        <w:t xml:space="preserve">Components of net periodic pension </w:t>
      </w:r>
      <w:r>
        <w:rPr>
          <w:rFonts w:eastAsia="Times New Roman"/>
          <w:color w:val="000000"/>
          <w:sz w:val="20"/>
          <w:szCs w:val="20"/>
        </w:rPr>
        <w:t>expense for the Company’s plans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653"/>
        <w:gridCol w:w="38"/>
        <w:gridCol w:w="120"/>
        <w:gridCol w:w="584"/>
        <w:gridCol w:w="36"/>
        <w:gridCol w:w="36"/>
        <w:gridCol w:w="36"/>
        <w:gridCol w:w="36"/>
        <w:gridCol w:w="121"/>
        <w:gridCol w:w="529"/>
        <w:gridCol w:w="37"/>
        <w:gridCol w:w="36"/>
        <w:gridCol w:w="36"/>
        <w:gridCol w:w="36"/>
        <w:gridCol w:w="120"/>
        <w:gridCol w:w="585"/>
        <w:gridCol w:w="36"/>
        <w:gridCol w:w="36"/>
        <w:gridCol w:w="36"/>
        <w:gridCol w:w="36"/>
        <w:gridCol w:w="121"/>
        <w:gridCol w:w="530"/>
        <w:gridCol w:w="36"/>
        <w:gridCol w:w="36"/>
        <w:gridCol w:w="36"/>
        <w:gridCol w:w="36"/>
        <w:gridCol w:w="36"/>
        <w:gridCol w:w="36"/>
        <w:gridCol w:w="36"/>
        <w:gridCol w:w="36"/>
        <w:gridCol w:w="36"/>
        <w:gridCol w:w="36"/>
        <w:gridCol w:w="36"/>
      </w:tblGrid>
      <w:tr w:rsidR="00000000">
        <w:trPr>
          <w:divId w:val="1732387713"/>
          <w:jc w:val="center"/>
        </w:trPr>
        <w:tc>
          <w:tcPr>
            <w:tcW w:w="50" w:type="pct"/>
            <w:vAlign w:val="center"/>
            <w:hideMark/>
          </w:tcPr>
          <w:p w:rsidR="00000000" w:rsidRDefault="00C56D69">
            <w:pPr>
              <w:rPr>
                <w:rFonts w:eastAsia="Times New Roman"/>
              </w:rPr>
            </w:pPr>
          </w:p>
        </w:tc>
        <w:tc>
          <w:tcPr>
            <w:tcW w:w="29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w:t>
            </w: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Prior Period Svc Cost Amortization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amortization</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Impact of settlement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32387713"/>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640617259"/>
        <w:rPr>
          <w:rFonts w:eastAsia="Times New Roman"/>
        </w:rPr>
      </w:pPr>
      <w:r>
        <w:rPr>
          <w:rFonts w:eastAsia="Times New Roman"/>
          <w:b/>
          <w:bCs/>
          <w:color w:val="000000"/>
          <w:sz w:val="20"/>
          <w:szCs w:val="20"/>
        </w:rPr>
        <w:t xml:space="preserve">9)    INCOME TAXES </w:t>
      </w:r>
    </w:p>
    <w:p w:rsidR="00000000" w:rsidRDefault="00C56D69">
      <w:pPr>
        <w:divId w:val="1836337422"/>
        <w:rPr>
          <w:rFonts w:eastAsia="Times New Roman"/>
        </w:rPr>
      </w:pPr>
      <w:r>
        <w:rPr>
          <w:rFonts w:eastAsia="Times New Roman"/>
          <w:color w:val="000000"/>
          <w:sz w:val="20"/>
          <w:szCs w:val="20"/>
        </w:rPr>
        <w:t>Income tax expense for the three and nine months ended September 30, 2022 and 2021 was computed using an esti</w:t>
      </w:r>
      <w:r>
        <w:rPr>
          <w:rFonts w:eastAsia="Times New Roman"/>
          <w:color w:val="000000"/>
          <w:sz w:val="20"/>
          <w:szCs w:val="20"/>
        </w:rPr>
        <w:t xml:space="preserve">mated annual effective tax rate (“ETR”), with discrete items recognized in the period in which they occur. The estimated ETR is revised, as necessary, at the end of successive interim reporting periods. </w:t>
      </w:r>
    </w:p>
    <w:p w:rsidR="00000000" w:rsidRDefault="00C56D69">
      <w:pPr>
        <w:divId w:val="1118985833"/>
        <w:rPr>
          <w:rFonts w:eastAsia="Times New Roman"/>
        </w:rPr>
      </w:pPr>
      <w:r>
        <w:rPr>
          <w:rFonts w:eastAsia="Times New Roman"/>
          <w:b/>
          <w:bCs/>
          <w:color w:val="000000"/>
          <w:sz w:val="20"/>
          <w:szCs w:val="20"/>
        </w:rPr>
        <w:t xml:space="preserve">10)    EQUITY </w:t>
      </w:r>
    </w:p>
    <w:p w:rsidR="00000000" w:rsidRDefault="00C56D69">
      <w:pPr>
        <w:divId w:val="2139832670"/>
        <w:rPr>
          <w:rFonts w:eastAsia="Times New Roman"/>
        </w:rPr>
      </w:pPr>
      <w:r>
        <w:rPr>
          <w:rFonts w:eastAsia="Times New Roman"/>
          <w:color w:val="000000"/>
          <w:sz w:val="20"/>
          <w:szCs w:val="20"/>
          <w:u w:val="single"/>
        </w:rPr>
        <w:t xml:space="preserve">Preferred Stock </w:t>
      </w:r>
    </w:p>
    <w:p w:rsidR="00000000" w:rsidRDefault="00C56D69">
      <w:pPr>
        <w:divId w:val="1429811862"/>
        <w:rPr>
          <w:rFonts w:eastAsia="Times New Roman"/>
        </w:rPr>
      </w:pPr>
      <w:r>
        <w:rPr>
          <w:rFonts w:eastAsia="Times New Roman"/>
          <w:color w:val="000000"/>
          <w:sz w:val="20"/>
          <w:szCs w:val="20"/>
        </w:rPr>
        <w:t>Preferred stock auth</w:t>
      </w:r>
      <w:r>
        <w:rPr>
          <w:rFonts w:eastAsia="Times New Roman"/>
          <w:color w:val="000000"/>
          <w:sz w:val="20"/>
          <w:szCs w:val="20"/>
        </w:rPr>
        <w:t>orized, issued and outstanding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2515"/>
        <w:gridCol w:w="36"/>
        <w:gridCol w:w="36"/>
        <w:gridCol w:w="36"/>
        <w:gridCol w:w="36"/>
        <w:gridCol w:w="77"/>
        <w:gridCol w:w="730"/>
        <w:gridCol w:w="37"/>
        <w:gridCol w:w="37"/>
        <w:gridCol w:w="37"/>
        <w:gridCol w:w="37"/>
        <w:gridCol w:w="59"/>
        <w:gridCol w:w="725"/>
        <w:gridCol w:w="36"/>
        <w:gridCol w:w="36"/>
        <w:gridCol w:w="36"/>
        <w:gridCol w:w="36"/>
        <w:gridCol w:w="84"/>
        <w:gridCol w:w="802"/>
        <w:gridCol w:w="36"/>
        <w:gridCol w:w="36"/>
        <w:gridCol w:w="36"/>
        <w:gridCol w:w="36"/>
        <w:gridCol w:w="72"/>
        <w:gridCol w:w="691"/>
        <w:gridCol w:w="37"/>
        <w:gridCol w:w="37"/>
        <w:gridCol w:w="37"/>
        <w:gridCol w:w="36"/>
        <w:gridCol w:w="59"/>
        <w:gridCol w:w="729"/>
        <w:gridCol w:w="36"/>
        <w:gridCol w:w="36"/>
        <w:gridCol w:w="36"/>
        <w:gridCol w:w="36"/>
        <w:gridCol w:w="78"/>
        <w:gridCol w:w="738"/>
        <w:gridCol w:w="36"/>
      </w:tblGrid>
      <w:tr w:rsidR="00000000">
        <w:trPr>
          <w:divId w:val="117451141"/>
        </w:trPr>
        <w:tc>
          <w:tcPr>
            <w:tcW w:w="50" w:type="pct"/>
            <w:vAlign w:val="center"/>
            <w:hideMark/>
          </w:tcPr>
          <w:p w:rsidR="00000000" w:rsidRDefault="00C56D69">
            <w:pPr>
              <w:rPr>
                <w:rFonts w:eastAsia="Times New Roman"/>
              </w:rPr>
            </w:pPr>
          </w:p>
        </w:tc>
        <w:tc>
          <w:tcPr>
            <w:tcW w:w="153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1745114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rPr>
          <w:divId w:val="11745114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Shares Outstanding</w:t>
            </w:r>
          </w:p>
        </w:tc>
      </w:tr>
      <w:tr w:rsidR="00000000">
        <w:trPr>
          <w:divId w:val="11745114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745114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745114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745114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595093039"/>
        <w:rPr>
          <w:rFonts w:eastAsia="Times New Roman"/>
        </w:rPr>
      </w:pPr>
    </w:p>
    <w:p w:rsidR="00000000" w:rsidRDefault="00C56D69">
      <w:pPr>
        <w:divId w:val="570433797"/>
        <w:rPr>
          <w:rFonts w:eastAsia="Times New Roman"/>
        </w:rPr>
      </w:pPr>
      <w:r>
        <w:rPr>
          <w:rFonts w:eastAsia="Times New Roman"/>
          <w:color w:val="000000"/>
          <w:sz w:val="20"/>
          <w:szCs w:val="20"/>
        </w:rPr>
        <w:t>Dividends declared per share were as fo</w:t>
      </w:r>
      <w:r>
        <w:rPr>
          <w:rFonts w:eastAsia="Times New Roman"/>
          <w:color w:val="000000"/>
          <w:sz w:val="20"/>
          <w:szCs w:val="20"/>
        </w:rPr>
        <w:t>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87"/>
        <w:gridCol w:w="36"/>
        <w:gridCol w:w="120"/>
        <w:gridCol w:w="604"/>
        <w:gridCol w:w="36"/>
        <w:gridCol w:w="36"/>
        <w:gridCol w:w="36"/>
        <w:gridCol w:w="36"/>
        <w:gridCol w:w="120"/>
        <w:gridCol w:w="558"/>
        <w:gridCol w:w="36"/>
        <w:gridCol w:w="36"/>
        <w:gridCol w:w="36"/>
        <w:gridCol w:w="36"/>
        <w:gridCol w:w="120"/>
        <w:gridCol w:w="560"/>
        <w:gridCol w:w="36"/>
        <w:gridCol w:w="36"/>
        <w:gridCol w:w="36"/>
        <w:gridCol w:w="36"/>
        <w:gridCol w:w="120"/>
        <w:gridCol w:w="560"/>
        <w:gridCol w:w="36"/>
        <w:gridCol w:w="36"/>
        <w:gridCol w:w="36"/>
        <w:gridCol w:w="36"/>
        <w:gridCol w:w="36"/>
        <w:gridCol w:w="36"/>
        <w:gridCol w:w="36"/>
      </w:tblGrid>
      <w:tr w:rsidR="00000000">
        <w:trPr>
          <w:divId w:val="1230191630"/>
        </w:trPr>
        <w:tc>
          <w:tcPr>
            <w:tcW w:w="50" w:type="pct"/>
            <w:vAlign w:val="center"/>
            <w:hideMark/>
          </w:tcPr>
          <w:p w:rsidR="00000000" w:rsidRDefault="00C56D69">
            <w:pPr>
              <w:rPr>
                <w:rFonts w:eastAsia="Times New Roman"/>
              </w:rPr>
            </w:pPr>
          </w:p>
        </w:tc>
        <w:tc>
          <w:tcPr>
            <w:tcW w:w="29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Series B dividends declared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Series C dividends declared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738 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30191630"/>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01192188"/>
        <w:rPr>
          <w:rFonts w:eastAsia="Times New Roman"/>
        </w:rPr>
      </w:pPr>
      <w:r>
        <w:rPr>
          <w:rFonts w:eastAsia="Times New Roman"/>
          <w:color w:val="000000"/>
          <w:sz w:val="20"/>
          <w:szCs w:val="20"/>
          <w:u w:val="single"/>
        </w:rPr>
        <w:t>Common Stock</w:t>
      </w:r>
    </w:p>
    <w:p w:rsidR="00000000" w:rsidRDefault="00C56D69">
      <w:pPr>
        <w:divId w:val="175196651"/>
        <w:rPr>
          <w:rFonts w:eastAsia="Times New Roman"/>
        </w:rPr>
      </w:pPr>
      <w:r>
        <w:rPr>
          <w:rFonts w:eastAsia="Times New Roman"/>
          <w:color w:val="000000"/>
          <w:sz w:val="20"/>
          <w:szCs w:val="20"/>
        </w:rPr>
        <w:t>Dividends declared per share of common stock were as follows for the periods indicated:</w:t>
      </w:r>
    </w:p>
    <w:p w:rsidR="00000000" w:rsidRDefault="00C56D69">
      <w:pPr>
        <w:jc w:val="center"/>
        <w:divId w:val="1332177805"/>
        <w:rPr>
          <w:rFonts w:eastAsia="Times New Roman"/>
        </w:rPr>
      </w:pPr>
    </w:p>
    <w:p w:rsidR="00000000" w:rsidRDefault="00C56D69">
      <w:pPr>
        <w:jc w:val="center"/>
        <w:divId w:val="1332177805"/>
        <w:rPr>
          <w:rFonts w:eastAsia="Times New Roman"/>
        </w:rPr>
      </w:pPr>
      <w:r>
        <w:rPr>
          <w:rFonts w:eastAsia="Times New Roman"/>
          <w:color w:val="000000"/>
          <w:sz w:val="20"/>
          <w:szCs w:val="20"/>
        </w:rPr>
        <w:t>58</w:t>
      </w:r>
    </w:p>
    <w:p w:rsidR="00000000" w:rsidRDefault="00C56D69">
      <w:pPr>
        <w:rPr>
          <w:rFonts w:eastAsia="Times New Roman"/>
        </w:rPr>
      </w:pPr>
      <w:r>
        <w:rPr>
          <w:rFonts w:eastAsia="Times New Roman"/>
        </w:rPr>
        <w:pict>
          <v:rect id="_x0000_i1084" style="width:0;height:1.5pt" o:hralign="center" o:hrstd="t" o:hr="t" fillcolor="#a0a0a0" stroked="f"/>
        </w:pict>
      </w:r>
    </w:p>
    <w:p w:rsidR="00000000" w:rsidRDefault="00C56D69">
      <w:pPr>
        <w:divId w:val="85376343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975914228"/>
        <w:rPr>
          <w:rFonts w:eastAsia="Times New Roman"/>
        </w:rPr>
      </w:pPr>
      <w:r>
        <w:rPr>
          <w:rFonts w:eastAsia="Times New Roman"/>
          <w:b/>
          <w:bCs/>
          <w:color w:val="000000"/>
          <w:sz w:val="20"/>
          <w:szCs w:val="20"/>
        </w:rPr>
        <w:t>EQUITABLE HOLDINGS, INC.</w:t>
      </w:r>
    </w:p>
    <w:p w:rsidR="00000000" w:rsidRDefault="00C56D69">
      <w:pPr>
        <w:jc w:val="center"/>
        <w:divId w:val="1975914228"/>
        <w:rPr>
          <w:rFonts w:eastAsia="Times New Roman"/>
        </w:rPr>
      </w:pPr>
      <w:r>
        <w:rPr>
          <w:rFonts w:eastAsia="Times New Roman"/>
          <w:b/>
          <w:bCs/>
          <w:color w:val="000000"/>
          <w:sz w:val="20"/>
          <w:szCs w:val="20"/>
        </w:rPr>
        <w:t>Notes to Consolidated Fi</w:t>
      </w:r>
      <w:r>
        <w:rPr>
          <w:rFonts w:eastAsia="Times New Roman"/>
          <w:b/>
          <w:bCs/>
          <w:color w:val="000000"/>
          <w:sz w:val="20"/>
          <w:szCs w:val="20"/>
        </w:rPr>
        <w:t>nancial Statements (Unaudited), Continued</w:t>
      </w:r>
    </w:p>
    <w:p w:rsidR="00000000" w:rsidRDefault="00C56D69">
      <w:pPr>
        <w:jc w:val="center"/>
        <w:divId w:val="197591422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4773"/>
        <w:gridCol w:w="36"/>
        <w:gridCol w:w="120"/>
        <w:gridCol w:w="605"/>
        <w:gridCol w:w="36"/>
        <w:gridCol w:w="36"/>
        <w:gridCol w:w="36"/>
        <w:gridCol w:w="36"/>
        <w:gridCol w:w="120"/>
        <w:gridCol w:w="558"/>
        <w:gridCol w:w="36"/>
        <w:gridCol w:w="36"/>
        <w:gridCol w:w="36"/>
        <w:gridCol w:w="36"/>
        <w:gridCol w:w="120"/>
        <w:gridCol w:w="560"/>
        <w:gridCol w:w="36"/>
        <w:gridCol w:w="36"/>
        <w:gridCol w:w="36"/>
        <w:gridCol w:w="36"/>
        <w:gridCol w:w="120"/>
        <w:gridCol w:w="560"/>
        <w:gridCol w:w="36"/>
        <w:gridCol w:w="36"/>
        <w:gridCol w:w="36"/>
        <w:gridCol w:w="36"/>
        <w:gridCol w:w="36"/>
        <w:gridCol w:w="36"/>
        <w:gridCol w:w="36"/>
      </w:tblGrid>
      <w:tr w:rsidR="00000000">
        <w:trPr>
          <w:jc w:val="center"/>
        </w:trPr>
        <w:tc>
          <w:tcPr>
            <w:tcW w:w="50" w:type="pct"/>
            <w:vAlign w:val="center"/>
            <w:hideMark/>
          </w:tcPr>
          <w:p w:rsidR="00000000" w:rsidRDefault="00C56D69">
            <w:pPr>
              <w:jc w:val="center"/>
              <w:rPr>
                <w:rFonts w:eastAsia="Times New Roman"/>
              </w:rPr>
            </w:pPr>
          </w:p>
        </w:tc>
        <w:tc>
          <w:tcPr>
            <w:tcW w:w="29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Dividends declared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4" w:space="0" w:color="000000"/>
              <w:bottom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793865085"/>
        <w:rPr>
          <w:rFonts w:eastAsia="Times New Roman"/>
        </w:rPr>
      </w:pPr>
    </w:p>
    <w:p w:rsidR="00000000" w:rsidRDefault="00C56D69">
      <w:pPr>
        <w:jc w:val="both"/>
        <w:divId w:val="51779292"/>
        <w:rPr>
          <w:rFonts w:eastAsia="Times New Roman"/>
        </w:rPr>
      </w:pPr>
      <w:r>
        <w:rPr>
          <w:rFonts w:eastAsia="Times New Roman"/>
          <w:b/>
          <w:bCs/>
          <w:i/>
          <w:iCs/>
          <w:color w:val="000000"/>
          <w:sz w:val="20"/>
          <w:szCs w:val="20"/>
        </w:rPr>
        <w:t>Share Repurchase</w:t>
      </w:r>
    </w:p>
    <w:p w:rsidR="00000000" w:rsidRDefault="00C56D69">
      <w:pPr>
        <w:divId w:val="148256158"/>
        <w:rPr>
          <w:rFonts w:eastAsia="Times New Roman"/>
        </w:rPr>
      </w:pPr>
    </w:p>
    <w:p w:rsidR="00000000" w:rsidRDefault="00C56D69">
      <w:pPr>
        <w:divId w:val="2128498173"/>
        <w:rPr>
          <w:rFonts w:eastAsia="Times New Roman"/>
        </w:rPr>
      </w:pPr>
      <w:r>
        <w:rPr>
          <w:rFonts w:eastAsia="Times New Roman"/>
          <w:color w:val="000000"/>
          <w:sz w:val="20"/>
          <w:szCs w:val="20"/>
        </w:rPr>
        <w:t>On February 9, 2022, the Company’s Board of Directors authorized a new $1.2 billion share repurchase program. Under this program, the Company may, from time to time purchase shares of its common stock through various means. The Company may choose to suspen</w:t>
      </w:r>
      <w:r>
        <w:rPr>
          <w:rFonts w:eastAsia="Times New Roman"/>
          <w:color w:val="000000"/>
          <w:sz w:val="20"/>
          <w:szCs w:val="20"/>
        </w:rPr>
        <w:t>d or discontinue the repurchase program at any time. The repurchase program does not obligate the Company to purchase any particular number of shares. As of September 30, 2022, Holdings had authorized capacity of approximately $578 million remaining in its</w:t>
      </w:r>
      <w:r>
        <w:rPr>
          <w:rFonts w:eastAsia="Times New Roman"/>
          <w:color w:val="000000"/>
          <w:sz w:val="20"/>
          <w:szCs w:val="20"/>
        </w:rPr>
        <w:t xml:space="preserve"> share repurchase program. </w:t>
      </w:r>
    </w:p>
    <w:p w:rsidR="00000000" w:rsidRDefault="00C56D69">
      <w:pPr>
        <w:divId w:val="1885753306"/>
        <w:rPr>
          <w:rFonts w:eastAsia="Times New Roman"/>
        </w:rPr>
      </w:pPr>
      <w:r>
        <w:rPr>
          <w:rFonts w:eastAsia="Times New Roman"/>
          <w:color w:val="000000"/>
          <w:sz w:val="20"/>
          <w:szCs w:val="20"/>
        </w:rPr>
        <w:t>Holdings repurchased a total of 7.0 million, 15.6 million, 23.2 million and 38.2 million shares of its common stock at an average price of $28.67, $29.50, $30.17, and $30.56 per share, respectively through open market repurchase</w:t>
      </w:r>
      <w:r>
        <w:rPr>
          <w:rFonts w:eastAsia="Times New Roman"/>
          <w:color w:val="000000"/>
          <w:sz w:val="20"/>
          <w:szCs w:val="20"/>
        </w:rPr>
        <w:t xml:space="preserve">s, ASRs and privately negotiated transactions during the three and nine months ended September 30, 2022 and 2021. </w:t>
      </w:r>
    </w:p>
    <w:p w:rsidR="00000000" w:rsidRDefault="00C56D69">
      <w:pPr>
        <w:divId w:val="99449955"/>
        <w:rPr>
          <w:rFonts w:eastAsia="Times New Roman"/>
        </w:rPr>
      </w:pPr>
      <w:r>
        <w:rPr>
          <w:rFonts w:eastAsia="Times New Roman"/>
          <w:color w:val="000000"/>
          <w:sz w:val="20"/>
          <w:szCs w:val="20"/>
        </w:rPr>
        <w:t>Holdings purchased 4.7 million and 0 shares of its common stock through open market purchases in the three months ended September 30, 2022 an</w:t>
      </w:r>
      <w:r>
        <w:rPr>
          <w:rFonts w:eastAsia="Times New Roman"/>
          <w:color w:val="000000"/>
          <w:sz w:val="20"/>
          <w:szCs w:val="20"/>
        </w:rPr>
        <w:t>d 2021. During the nine months ended September 30, 2022 and 2021, Holdings repurchased 12.6 million and 3.2 million shares of its common stock through open market repurchases.</w:t>
      </w:r>
    </w:p>
    <w:p w:rsidR="00000000" w:rsidRDefault="00C56D69">
      <w:pPr>
        <w:divId w:val="2085445651"/>
        <w:rPr>
          <w:rFonts w:eastAsia="Times New Roman"/>
        </w:rPr>
      </w:pPr>
      <w:r>
        <w:rPr>
          <w:rFonts w:eastAsia="Times New Roman"/>
          <w:color w:val="000000"/>
          <w:sz w:val="20"/>
          <w:szCs w:val="20"/>
        </w:rPr>
        <w:t>In April 2022, Holdings entered into an ASR with a third-party financial institu</w:t>
      </w:r>
      <w:r>
        <w:rPr>
          <w:rFonts w:eastAsia="Times New Roman"/>
          <w:color w:val="000000"/>
          <w:sz w:val="20"/>
          <w:szCs w:val="20"/>
        </w:rPr>
        <w:t>tion to repurchase an aggregate of $100 million of Holdings’ common stock. Pursuant to the ASR, Holdings made a prepayment of $100 million and initially received 2.6 million shares. The ASR terminated during April 2022, at which time 684,700 additional sha</w:t>
      </w:r>
      <w:r>
        <w:rPr>
          <w:rFonts w:eastAsia="Times New Roman"/>
          <w:color w:val="000000"/>
          <w:sz w:val="20"/>
          <w:szCs w:val="20"/>
        </w:rPr>
        <w:t xml:space="preserve">res of common stock were received. </w:t>
      </w:r>
    </w:p>
    <w:p w:rsidR="00000000" w:rsidRDefault="00C56D69">
      <w:pPr>
        <w:divId w:val="1796756557"/>
        <w:rPr>
          <w:rFonts w:eastAsia="Times New Roman"/>
        </w:rPr>
      </w:pPr>
      <w:r>
        <w:rPr>
          <w:rFonts w:eastAsia="Times New Roman"/>
          <w:color w:val="000000"/>
          <w:sz w:val="20"/>
          <w:szCs w:val="20"/>
        </w:rPr>
        <w:t>In May 2022, Holdings entered into an ASR with a third-party financial institution to repurchase an aggregate of $150 million of Holdings’ common stock. Pursuant to the ASR, Holdings made a prepayment of $150 million and</w:t>
      </w:r>
      <w:r>
        <w:rPr>
          <w:rFonts w:eastAsia="Times New Roman"/>
          <w:color w:val="000000"/>
          <w:sz w:val="20"/>
          <w:szCs w:val="20"/>
        </w:rPr>
        <w:t xml:space="preserve"> initially received 4.3 million shares. The ASR terminated during July 2022, at which time 1.2 million additional shares of common stock were received. </w:t>
      </w:r>
    </w:p>
    <w:p w:rsidR="00000000" w:rsidRDefault="00C56D69">
      <w:pPr>
        <w:divId w:val="764348374"/>
        <w:rPr>
          <w:rFonts w:eastAsia="Times New Roman"/>
        </w:rPr>
      </w:pPr>
      <w:r>
        <w:rPr>
          <w:rFonts w:eastAsia="Times New Roman"/>
          <w:color w:val="000000"/>
          <w:sz w:val="20"/>
          <w:szCs w:val="20"/>
        </w:rPr>
        <w:t>In September 2022, Holdings entered into an ASR contract with a third-party financial institution to re</w:t>
      </w:r>
      <w:r>
        <w:rPr>
          <w:rFonts w:eastAsia="Times New Roman"/>
          <w:color w:val="000000"/>
          <w:sz w:val="20"/>
          <w:szCs w:val="20"/>
        </w:rPr>
        <w:t>purchase an aggregate of $37.5 million of Holdings’ common stock. Pursuant to the ASR, Holdings made a prepayment of $37.5 million and received initial delivery of 1.1 million shares. The ASR is scheduled to terminate on November 4, 2022, at which time add</w:t>
      </w:r>
      <w:r>
        <w:rPr>
          <w:rFonts w:eastAsia="Times New Roman"/>
          <w:color w:val="000000"/>
          <w:sz w:val="20"/>
          <w:szCs w:val="20"/>
        </w:rPr>
        <w:t>itional shares may be delivered or returned depending on the daily volume weighted average price of Holdings’ common stock.</w:t>
      </w:r>
    </w:p>
    <w:p w:rsidR="00000000" w:rsidRDefault="00C56D69">
      <w:pPr>
        <w:divId w:val="955334262"/>
        <w:rPr>
          <w:rFonts w:eastAsia="Times New Roman"/>
        </w:rPr>
      </w:pPr>
      <w:r>
        <w:rPr>
          <w:rFonts w:eastAsia="Times New Roman"/>
          <w:color w:val="000000"/>
          <w:sz w:val="20"/>
          <w:szCs w:val="20"/>
          <w:u w:val="single"/>
        </w:rPr>
        <w:t>Accumulated Other Comprehensive Income (Loss)</w:t>
      </w:r>
    </w:p>
    <w:p w:rsidR="00000000" w:rsidRDefault="00C56D69">
      <w:pPr>
        <w:divId w:val="1248731464"/>
        <w:rPr>
          <w:rFonts w:eastAsia="Times New Roman"/>
        </w:rPr>
      </w:pPr>
      <w:r>
        <w:rPr>
          <w:rFonts w:eastAsia="Times New Roman"/>
          <w:color w:val="000000"/>
          <w:sz w:val="20"/>
          <w:szCs w:val="20"/>
        </w:rPr>
        <w:t>AOCI represents cumulative gains (losses) on items that are not reflected in net incom</w:t>
      </w:r>
      <w:r>
        <w:rPr>
          <w:rFonts w:eastAsia="Times New Roman"/>
          <w:color w:val="000000"/>
          <w:sz w:val="20"/>
          <w:szCs w:val="20"/>
        </w:rPr>
        <w:t>e (loss). The balances as of September 30, 2022 and December 31, 2021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885"/>
        <w:gridCol w:w="37"/>
        <w:gridCol w:w="121"/>
        <w:gridCol w:w="873"/>
        <w:gridCol w:w="36"/>
        <w:gridCol w:w="36"/>
        <w:gridCol w:w="36"/>
        <w:gridCol w:w="36"/>
        <w:gridCol w:w="121"/>
        <w:gridCol w:w="835"/>
        <w:gridCol w:w="36"/>
        <w:gridCol w:w="36"/>
        <w:gridCol w:w="36"/>
        <w:gridCol w:w="36"/>
        <w:gridCol w:w="36"/>
        <w:gridCol w:w="36"/>
        <w:gridCol w:w="36"/>
      </w:tblGrid>
      <w:tr w:rsidR="00000000">
        <w:trPr>
          <w:divId w:val="1709907"/>
        </w:trPr>
        <w:tc>
          <w:tcPr>
            <w:tcW w:w="50" w:type="pct"/>
            <w:vAlign w:val="center"/>
            <w:hideMark/>
          </w:tcPr>
          <w:p w:rsidR="00000000" w:rsidRDefault="00C56D69">
            <w:pPr>
              <w:rPr>
                <w:rFonts w:eastAsia="Times New Roman"/>
              </w:rPr>
            </w:pPr>
          </w:p>
        </w:tc>
        <w:tc>
          <w:tcPr>
            <w:tcW w:w="366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0990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(7,210)</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2,684 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(120)</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(7,938)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0990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(7,876)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699742977"/>
        <w:rPr>
          <w:rFonts w:eastAsia="Times New Roman"/>
        </w:rPr>
      </w:pPr>
    </w:p>
    <w:p w:rsidR="00000000" w:rsidRDefault="00C56D69">
      <w:pPr>
        <w:jc w:val="center"/>
        <w:divId w:val="1974601249"/>
        <w:rPr>
          <w:rFonts w:eastAsia="Times New Roman"/>
        </w:rPr>
      </w:pPr>
    </w:p>
    <w:p w:rsidR="00000000" w:rsidRDefault="00C56D69">
      <w:pPr>
        <w:jc w:val="center"/>
        <w:divId w:val="1974601249"/>
        <w:rPr>
          <w:rFonts w:eastAsia="Times New Roman"/>
        </w:rPr>
      </w:pPr>
      <w:r>
        <w:rPr>
          <w:rFonts w:eastAsia="Times New Roman"/>
          <w:color w:val="000000"/>
          <w:sz w:val="20"/>
          <w:szCs w:val="20"/>
        </w:rPr>
        <w:t>59</w:t>
      </w:r>
    </w:p>
    <w:p w:rsidR="00000000" w:rsidRDefault="00C56D69">
      <w:pPr>
        <w:rPr>
          <w:rFonts w:eastAsia="Times New Roman"/>
        </w:rPr>
      </w:pPr>
      <w:r>
        <w:rPr>
          <w:rFonts w:eastAsia="Times New Roman"/>
        </w:rPr>
        <w:pict>
          <v:rect id="_x0000_i1085" style="width:0;height:1.5pt" o:hralign="center" o:hrstd="t" o:hr="t" fillcolor="#a0a0a0" stroked="f"/>
        </w:pict>
      </w:r>
    </w:p>
    <w:p w:rsidR="00000000" w:rsidRDefault="00C56D69">
      <w:pPr>
        <w:divId w:val="34401428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951590715"/>
        <w:rPr>
          <w:rFonts w:eastAsia="Times New Roman"/>
        </w:rPr>
      </w:pPr>
      <w:r>
        <w:rPr>
          <w:rFonts w:eastAsia="Times New Roman"/>
          <w:b/>
          <w:bCs/>
          <w:color w:val="000000"/>
          <w:sz w:val="20"/>
          <w:szCs w:val="20"/>
        </w:rPr>
        <w:t>EQUITABLE HOLDINGS, INC.</w:t>
      </w:r>
    </w:p>
    <w:p w:rsidR="00000000" w:rsidRDefault="00C56D69">
      <w:pPr>
        <w:jc w:val="center"/>
        <w:divId w:val="951590715"/>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951590715"/>
        <w:rPr>
          <w:rFonts w:eastAsia="Times New Roman"/>
        </w:rPr>
      </w:pPr>
    </w:p>
    <w:p w:rsidR="00000000" w:rsidRDefault="00C56D69">
      <w:pPr>
        <w:divId w:val="742920206"/>
        <w:rPr>
          <w:rFonts w:eastAsia="Times New Roman"/>
        </w:rPr>
      </w:pPr>
      <w:r>
        <w:rPr>
          <w:rFonts w:eastAsia="Times New Roman"/>
          <w:color w:val="000000"/>
          <w:sz w:val="20"/>
          <w:szCs w:val="20"/>
        </w:rPr>
        <w:t>The components of OCI, net of taxes for the three and nine months ended September 30, 2022 and 2021 follow:</w:t>
      </w:r>
    </w:p>
    <w:p w:rsidR="00000000" w:rsidRDefault="00C56D69">
      <w:pPr>
        <w:divId w:val="19434135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731"/>
        <w:gridCol w:w="38"/>
        <w:gridCol w:w="120"/>
        <w:gridCol w:w="584"/>
        <w:gridCol w:w="36"/>
        <w:gridCol w:w="36"/>
        <w:gridCol w:w="36"/>
        <w:gridCol w:w="36"/>
        <w:gridCol w:w="120"/>
        <w:gridCol w:w="482"/>
        <w:gridCol w:w="36"/>
        <w:gridCol w:w="36"/>
        <w:gridCol w:w="36"/>
        <w:gridCol w:w="36"/>
        <w:gridCol w:w="120"/>
        <w:gridCol w:w="684"/>
        <w:gridCol w:w="36"/>
        <w:gridCol w:w="36"/>
        <w:gridCol w:w="36"/>
        <w:gridCol w:w="36"/>
        <w:gridCol w:w="120"/>
        <w:gridCol w:w="584"/>
        <w:gridCol w:w="36"/>
        <w:gridCol w:w="36"/>
        <w:gridCol w:w="36"/>
        <w:gridCol w:w="36"/>
        <w:gridCol w:w="36"/>
        <w:gridCol w:w="36"/>
        <w:gridCol w:w="36"/>
      </w:tblGrid>
      <w:tr w:rsidR="00000000">
        <w:trPr>
          <w:divId w:val="343287433"/>
        </w:trPr>
        <w:tc>
          <w:tcPr>
            <w:tcW w:w="50" w:type="pct"/>
            <w:vAlign w:val="center"/>
            <w:hideMark/>
          </w:tcPr>
          <w:p w:rsidR="00000000" w:rsidRDefault="00C56D69">
            <w:pPr>
              <w:rPr>
                <w:rFonts w:eastAsia="Times New Roman"/>
              </w:rPr>
            </w:pPr>
          </w:p>
        </w:tc>
        <w:tc>
          <w:tcPr>
            <w:tcW w:w="29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divId w:val="1205554567"/>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(3,195)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(12,929)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(131)</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(617)</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unrealized gains (losses) on investments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(2,950)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(12,251)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318 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2,357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1,108 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272125532"/>
              <w:rPr>
                <w:rFonts w:eastAsia="Times New Roman"/>
              </w:rPr>
            </w:pPr>
            <w:r>
              <w:rPr>
                <w:rFonts w:eastAsia="Times New Roman"/>
                <w:color w:val="000000"/>
                <w:sz w:val="20"/>
                <w:szCs w:val="20"/>
              </w:rPr>
              <w:t>Change in unrealized gains (losses), net of adjustments (net of deferred income tax expense (benefit) of $(619), $(32), $(2,630) and $(546))</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(2,326)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(9,894)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(2,056)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Change in defined benefit plans: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218170053"/>
              <w:rPr>
                <w:rFonts w:eastAsia="Times New Roman"/>
              </w:rPr>
            </w:pPr>
            <w:r>
              <w:rPr>
                <w:rFonts w:eastAsia="Times New Roman"/>
                <w:color w:val="000000"/>
                <w:sz w:val="20"/>
                <w:szCs w:val="20"/>
              </w:rPr>
              <w:t>Change in defined benefit plans (net of deferred income tax expense (benefit) of $(4), $6, $(13), and $20)</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tcBorders>
              <w:top w:val="single" w:sz="4"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currency translation adjustments: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Foreign currency translation adjustment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(2,340)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(9,908)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(1,992)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4328743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(2,328)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(9,880)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834056417"/>
        <w:rPr>
          <w:rFonts w:eastAsia="Times New Roman"/>
        </w:rPr>
      </w:pPr>
      <w:r>
        <w:rPr>
          <w:rFonts w:eastAsia="Times New Roman"/>
          <w:color w:val="000000"/>
          <w:sz w:val="18"/>
          <w:szCs w:val="18"/>
        </w:rPr>
        <w:t>_______________</w:t>
      </w:r>
    </w:p>
    <w:p w:rsidR="00000000" w:rsidRDefault="00C56D69">
      <w:pPr>
        <w:ind w:hanging="360"/>
        <w:divId w:val="1092044781"/>
        <w:rPr>
          <w:rFonts w:eastAsia="Times New Roman"/>
        </w:rPr>
      </w:pPr>
      <w:r>
        <w:rPr>
          <w:rFonts w:eastAsia="Times New Roman"/>
          <w:color w:val="000000"/>
          <w:sz w:val="18"/>
          <w:szCs w:val="18"/>
        </w:rPr>
        <w:t>(1)See “Reclassification adjustment” in Note 3 of the Notes to these Consolidated Financial Statement</w:t>
      </w:r>
      <w:r>
        <w:rPr>
          <w:rFonts w:eastAsia="Times New Roman"/>
          <w:color w:val="000000"/>
          <w:sz w:val="18"/>
          <w:szCs w:val="18"/>
        </w:rPr>
        <w:t>s. Reclassification amounts presented net of income tax expense (benefit) of $(65) million, $35 million, $(180) million, and $164 million for the three and nine months ended September 30, 2022 and 2021, respectively.</w:t>
      </w:r>
    </w:p>
    <w:p w:rsidR="00000000" w:rsidRDefault="00C56D69">
      <w:pPr>
        <w:divId w:val="2069759548"/>
        <w:rPr>
          <w:rFonts w:eastAsia="Times New Roman"/>
        </w:rPr>
      </w:pPr>
      <w:r>
        <w:rPr>
          <w:rFonts w:eastAsia="Times New Roman"/>
          <w:color w:val="000000"/>
          <w:sz w:val="20"/>
          <w:szCs w:val="20"/>
        </w:rPr>
        <w:t>Investment gains and losses reclassifie</w:t>
      </w:r>
      <w:r>
        <w:rPr>
          <w:rFonts w:eastAsia="Times New Roman"/>
          <w:color w:val="000000"/>
          <w:sz w:val="20"/>
          <w:szCs w:val="20"/>
        </w:rPr>
        <w:t>d from AOCI to net income (loss) primarily consist of realized gains (losses) on sales and credit losses of AFS securities and are included in total investment gains (losses), net on the consolidated statements of income (loss). Amounts reclassified from A</w:t>
      </w:r>
      <w:r>
        <w:rPr>
          <w:rFonts w:eastAsia="Times New Roman"/>
          <w:color w:val="000000"/>
          <w:sz w:val="20"/>
          <w:szCs w:val="20"/>
        </w:rPr>
        <w:t>OCI to net income (loss) as related to defined benefit plans primarily consist of amortization of net (gains) losses and net prior service cost (credit) recognized as a component of net periodic cost and reported in compensation and benefits in the consoli</w:t>
      </w:r>
      <w:r>
        <w:rPr>
          <w:rFonts w:eastAsia="Times New Roman"/>
          <w:color w:val="000000"/>
          <w:sz w:val="20"/>
          <w:szCs w:val="20"/>
        </w:rPr>
        <w:t>dated statements of income (loss). Amounts presented in the table above are net of tax.</w:t>
      </w:r>
    </w:p>
    <w:p w:rsidR="00000000" w:rsidRDefault="00C56D69">
      <w:pPr>
        <w:divId w:val="1085151587"/>
        <w:rPr>
          <w:rFonts w:eastAsia="Times New Roman"/>
        </w:rPr>
      </w:pPr>
      <w:r>
        <w:rPr>
          <w:rFonts w:eastAsia="Times New Roman"/>
          <w:b/>
          <w:bCs/>
          <w:color w:val="000000"/>
          <w:sz w:val="20"/>
          <w:szCs w:val="20"/>
        </w:rPr>
        <w:t xml:space="preserve">11)    REDEEMABLE NONCONTROLLING INTEREST </w:t>
      </w:r>
    </w:p>
    <w:p w:rsidR="00000000" w:rsidRDefault="00C56D69">
      <w:pPr>
        <w:divId w:val="2099863185"/>
        <w:rPr>
          <w:rFonts w:eastAsia="Times New Roman"/>
        </w:rPr>
      </w:pPr>
      <w:r>
        <w:rPr>
          <w:rFonts w:eastAsia="Times New Roman"/>
          <w:color w:val="000000"/>
          <w:sz w:val="20"/>
          <w:szCs w:val="20"/>
        </w:rPr>
        <w:t>The changes in the components of redeemable noncontrolling interests are presented in the table that follows:</w:t>
      </w:r>
    </w:p>
    <w:tbl>
      <w:tblPr>
        <w:tblW w:w="4904" w:type="pct"/>
        <w:jc w:val="center"/>
        <w:tblCellMar>
          <w:top w:w="15" w:type="dxa"/>
          <w:left w:w="15" w:type="dxa"/>
          <w:bottom w:w="15" w:type="dxa"/>
          <w:right w:w="15" w:type="dxa"/>
        </w:tblCellMar>
        <w:tblLook w:val="04A0" w:firstRow="1" w:lastRow="0" w:firstColumn="1" w:lastColumn="0" w:noHBand="0" w:noVBand="1"/>
      </w:tblPr>
      <w:tblGrid>
        <w:gridCol w:w="39"/>
        <w:gridCol w:w="4415"/>
        <w:gridCol w:w="38"/>
        <w:gridCol w:w="120"/>
        <w:gridCol w:w="558"/>
        <w:gridCol w:w="36"/>
        <w:gridCol w:w="36"/>
        <w:gridCol w:w="36"/>
        <w:gridCol w:w="36"/>
        <w:gridCol w:w="120"/>
        <w:gridCol w:w="558"/>
        <w:gridCol w:w="36"/>
        <w:gridCol w:w="36"/>
        <w:gridCol w:w="36"/>
        <w:gridCol w:w="36"/>
        <w:gridCol w:w="120"/>
        <w:gridCol w:w="492"/>
        <w:gridCol w:w="36"/>
        <w:gridCol w:w="36"/>
        <w:gridCol w:w="36"/>
        <w:gridCol w:w="36"/>
        <w:gridCol w:w="120"/>
        <w:gridCol w:w="559"/>
        <w:gridCol w:w="36"/>
        <w:gridCol w:w="36"/>
        <w:gridCol w:w="36"/>
        <w:gridCol w:w="36"/>
        <w:gridCol w:w="36"/>
        <w:gridCol w:w="36"/>
        <w:gridCol w:w="36"/>
        <w:gridCol w:w="36"/>
        <w:gridCol w:w="36"/>
        <w:gridCol w:w="36"/>
        <w:gridCol w:w="36"/>
        <w:gridCol w:w="36"/>
        <w:gridCol w:w="36"/>
        <w:gridCol w:w="36"/>
        <w:gridCol w:w="36"/>
        <w:gridCol w:w="36"/>
      </w:tblGrid>
      <w:tr w:rsidR="00000000">
        <w:trPr>
          <w:divId w:val="505438524"/>
          <w:jc w:val="center"/>
        </w:trPr>
        <w:tc>
          <w:tcPr>
            <w:tcW w:w="50" w:type="pct"/>
            <w:vAlign w:val="center"/>
            <w:hideMark/>
          </w:tcPr>
          <w:p w:rsidR="00000000" w:rsidRDefault="00C56D69">
            <w:pPr>
              <w:rPr>
                <w:rFonts w:eastAsia="Times New Roman"/>
              </w:rPr>
            </w:pPr>
          </w:p>
        </w:tc>
        <w:tc>
          <w:tcPr>
            <w:tcW w:w="297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tcBorders>
            <w:tcMar>
              <w:top w:w="30" w:type="dxa"/>
              <w:left w:w="87" w:type="dxa"/>
              <w:bottom w:w="30" w:type="dxa"/>
              <w:right w:w="87"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earnings (loss) attributable to redeemable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Purchase/change of redeemable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05438524"/>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Balance,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537427883"/>
        <w:rPr>
          <w:rFonts w:eastAsia="Times New Roman"/>
        </w:rPr>
      </w:pPr>
    </w:p>
    <w:p w:rsidR="00000000" w:rsidRDefault="00C56D69">
      <w:pPr>
        <w:jc w:val="center"/>
        <w:divId w:val="1346978240"/>
        <w:rPr>
          <w:rFonts w:eastAsia="Times New Roman"/>
        </w:rPr>
      </w:pPr>
      <w:r>
        <w:rPr>
          <w:rFonts w:eastAsia="Times New Roman"/>
          <w:color w:val="000000"/>
          <w:sz w:val="20"/>
          <w:szCs w:val="20"/>
        </w:rPr>
        <w:t>60</w:t>
      </w:r>
    </w:p>
    <w:p w:rsidR="00000000" w:rsidRDefault="00C56D69">
      <w:pPr>
        <w:rPr>
          <w:rFonts w:eastAsia="Times New Roman"/>
        </w:rPr>
      </w:pPr>
      <w:r>
        <w:rPr>
          <w:rFonts w:eastAsia="Times New Roman"/>
        </w:rPr>
        <w:pict>
          <v:rect id="_x0000_i1086" style="width:0;height:1.5pt" o:hralign="center" o:hrstd="t" o:hr="t" fillcolor="#a0a0a0" stroked="f"/>
        </w:pict>
      </w:r>
    </w:p>
    <w:p w:rsidR="00000000" w:rsidRDefault="00C56D69">
      <w:pPr>
        <w:divId w:val="156390412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3239524"/>
        <w:rPr>
          <w:rFonts w:eastAsia="Times New Roman"/>
        </w:rPr>
      </w:pPr>
      <w:r>
        <w:rPr>
          <w:rFonts w:eastAsia="Times New Roman"/>
          <w:b/>
          <w:bCs/>
          <w:color w:val="000000"/>
          <w:sz w:val="20"/>
          <w:szCs w:val="20"/>
        </w:rPr>
        <w:t>EQUITABLE HOLDINGS, INC.</w:t>
      </w:r>
    </w:p>
    <w:p w:rsidR="00000000" w:rsidRDefault="00C56D69">
      <w:pPr>
        <w:jc w:val="center"/>
        <w:divId w:val="13239524"/>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3239524"/>
        <w:rPr>
          <w:rFonts w:eastAsia="Times New Roman"/>
        </w:rPr>
      </w:pPr>
    </w:p>
    <w:p w:rsidR="00000000" w:rsidRDefault="00C56D69">
      <w:pPr>
        <w:divId w:val="723216857"/>
        <w:rPr>
          <w:rFonts w:eastAsia="Times New Roman"/>
        </w:rPr>
      </w:pPr>
      <w:r>
        <w:rPr>
          <w:rFonts w:eastAsia="Times New Roman"/>
          <w:b/>
          <w:bCs/>
          <w:color w:val="000000"/>
          <w:sz w:val="20"/>
          <w:szCs w:val="20"/>
        </w:rPr>
        <w:t>12)    COMMITMENTS AND CONTINGENT LIABILITIES</w:t>
      </w:r>
    </w:p>
    <w:p w:rsidR="00000000" w:rsidRDefault="00C56D69">
      <w:pPr>
        <w:divId w:val="1318413664"/>
        <w:rPr>
          <w:rFonts w:eastAsia="Times New Roman"/>
        </w:rPr>
      </w:pPr>
      <w:r>
        <w:rPr>
          <w:rFonts w:eastAsia="Times New Roman"/>
          <w:color w:val="000000"/>
          <w:sz w:val="20"/>
          <w:szCs w:val="20"/>
          <w:u w:val="single"/>
        </w:rPr>
        <w:t>Litigation and Regulatory Matters</w:t>
      </w:r>
    </w:p>
    <w:p w:rsidR="00000000" w:rsidRDefault="00C56D69">
      <w:pPr>
        <w:divId w:val="1160923686"/>
        <w:rPr>
          <w:rFonts w:eastAsia="Times New Roman"/>
        </w:rPr>
      </w:pPr>
      <w:r>
        <w:rPr>
          <w:rFonts w:eastAsia="Times New Roman"/>
          <w:color w:val="000000"/>
          <w:sz w:val="20"/>
          <w:szCs w:val="20"/>
        </w:rPr>
        <w:t>Litigation, regulatory and other loss contingencies arise in t</w:t>
      </w:r>
      <w:r>
        <w:rPr>
          <w:rFonts w:eastAsia="Times New Roman"/>
          <w:color w:val="000000"/>
          <w:sz w:val="20"/>
          <w:szCs w:val="20"/>
        </w:rPr>
        <w:t>he ordinary course of the Company’s activities as a diversified financial services firm. The Company is a defendant in a number of litigation matters arising from the conduct of its business. In some of these matters, claimants seek to recover very large o</w:t>
      </w:r>
      <w:r>
        <w:rPr>
          <w:rFonts w:eastAsia="Times New Roman"/>
          <w:color w:val="000000"/>
          <w:sz w:val="20"/>
          <w:szCs w:val="20"/>
        </w:rPr>
        <w:t>r indeterminate amounts, including compensatory, punitive, treble and exemplary damages. Modern pleading practice permits considerable variation in the assertion of monetary damages and other relief. Claimants are not always required to specify the monetar</w:t>
      </w:r>
      <w:r>
        <w:rPr>
          <w:rFonts w:eastAsia="Times New Roman"/>
          <w:color w:val="000000"/>
          <w:sz w:val="20"/>
          <w:szCs w:val="20"/>
        </w:rPr>
        <w:t>y damages they seek, or they may be required only to state an amount sufficient to meet a court’s jurisdictional requirements. Moreover, some jurisdictions allow claimants to allege monetary damages that far exceed any reasonably possible verdict. The vari</w:t>
      </w:r>
      <w:r>
        <w:rPr>
          <w:rFonts w:eastAsia="Times New Roman"/>
          <w:color w:val="000000"/>
          <w:sz w:val="20"/>
          <w:szCs w:val="20"/>
        </w:rPr>
        <w:t>ability in pleading requirements and past experience demonstrates that the monetary and other relief that may be requested in a lawsuit or claim often bears little relevance to the merits or potential value of a claim. Litigation against the Company includ</w:t>
      </w:r>
      <w:r>
        <w:rPr>
          <w:rFonts w:eastAsia="Times New Roman"/>
          <w:color w:val="000000"/>
          <w:sz w:val="20"/>
          <w:szCs w:val="20"/>
        </w:rPr>
        <w:t>es a variety of claims including, among other things, insurers’ sales practices, alleged agent misconduct, alleged failure to properly supervise agents, contract administration, product design, features and accompanying disclosure, cost of insurance increa</w:t>
      </w:r>
      <w:r>
        <w:rPr>
          <w:rFonts w:eastAsia="Times New Roman"/>
          <w:color w:val="000000"/>
          <w:sz w:val="20"/>
          <w:szCs w:val="20"/>
        </w:rPr>
        <w:t>ses, payments of death benefits and the reporting and escheatment of unclaimed property, alleged breach of fiduciary duties, alleged mismanagement of client funds and other matters.</w:t>
      </w:r>
    </w:p>
    <w:p w:rsidR="00000000" w:rsidRDefault="00C56D69">
      <w:pPr>
        <w:divId w:val="964234936"/>
        <w:rPr>
          <w:rFonts w:eastAsia="Times New Roman"/>
        </w:rPr>
      </w:pPr>
      <w:r>
        <w:rPr>
          <w:rFonts w:eastAsia="Times New Roman"/>
          <w:color w:val="000000"/>
          <w:sz w:val="20"/>
          <w:szCs w:val="20"/>
        </w:rPr>
        <w:t xml:space="preserve">The outcome of a litigation or regulatory matter is difficult to predict, </w:t>
      </w:r>
      <w:r>
        <w:rPr>
          <w:rFonts w:eastAsia="Times New Roman"/>
          <w:color w:val="000000"/>
          <w:sz w:val="20"/>
          <w:szCs w:val="20"/>
        </w:rPr>
        <w:t xml:space="preserve">and the amount or range of potential losses associated with these or other loss contingencies requires significant management judgment. It is not possible to predict the ultimate outcome or to provide reasonably possible losses or ranges of losses for all </w:t>
      </w:r>
      <w:r>
        <w:rPr>
          <w:rFonts w:eastAsia="Times New Roman"/>
          <w:color w:val="000000"/>
          <w:sz w:val="20"/>
          <w:szCs w:val="20"/>
        </w:rPr>
        <w:t xml:space="preserve">pending regulatory matters, litigation and other loss contingencies. While it is possible that an adverse outcome in certain cases could have a material adverse effect upon the Company’s financial position, based on information currently known, management </w:t>
      </w:r>
      <w:r>
        <w:rPr>
          <w:rFonts w:eastAsia="Times New Roman"/>
          <w:color w:val="000000"/>
          <w:sz w:val="20"/>
          <w:szCs w:val="20"/>
        </w:rPr>
        <w:t>believes that neither the outcome of pending litigation and regulatory matters, nor potential liabilities associated with other loss contingencies, are likely to have such an effect. However, given the large and indeterminate amounts sought in certain liti</w:t>
      </w:r>
      <w:r>
        <w:rPr>
          <w:rFonts w:eastAsia="Times New Roman"/>
          <w:color w:val="000000"/>
          <w:sz w:val="20"/>
          <w:szCs w:val="20"/>
        </w:rPr>
        <w:t>gation and the inherent unpredictability of all such matters, it is possible that an adverse outcome in certain of the Company’s litigation or regulatory matters, or liabilities arising from other loss contingencies, could, from time to time, have a materi</w:t>
      </w:r>
      <w:r>
        <w:rPr>
          <w:rFonts w:eastAsia="Times New Roman"/>
          <w:color w:val="000000"/>
          <w:sz w:val="20"/>
          <w:szCs w:val="20"/>
        </w:rPr>
        <w:t>al adverse effect upon the Company’s results of operations or cash flows in a particular quarterly or annual period.</w:t>
      </w:r>
    </w:p>
    <w:p w:rsidR="00000000" w:rsidRDefault="00C56D69">
      <w:pPr>
        <w:divId w:val="1020550051"/>
        <w:rPr>
          <w:rFonts w:eastAsia="Times New Roman"/>
        </w:rPr>
      </w:pPr>
      <w:r>
        <w:rPr>
          <w:rFonts w:eastAsia="Times New Roman"/>
          <w:color w:val="000000"/>
          <w:sz w:val="20"/>
          <w:szCs w:val="20"/>
        </w:rPr>
        <w:t xml:space="preserve">For some matters, the Company is able to estimate a range of loss. For such matters in which a loss is probable, an accrual has been made. </w:t>
      </w:r>
      <w:r>
        <w:rPr>
          <w:rFonts w:eastAsia="Times New Roman"/>
          <w:color w:val="000000"/>
          <w:sz w:val="20"/>
          <w:szCs w:val="20"/>
        </w:rPr>
        <w:t>For matters where the Company believes a loss is reasonably possible, but not probable, no accrual is required. For matters for which an accrual has been made, but there remains a reasonably possible range of loss in excess of the amounts accrued or for ma</w:t>
      </w:r>
      <w:r>
        <w:rPr>
          <w:rFonts w:eastAsia="Times New Roman"/>
          <w:color w:val="000000"/>
          <w:sz w:val="20"/>
          <w:szCs w:val="20"/>
        </w:rPr>
        <w:t>tters where no accrual is required, the Company develops an estimate of the unaccrued amounts of the reasonably possible range of losses. As of September 30, 2022, the Company estimates the aggregate range of reasonably possible losses, in excess of any am</w:t>
      </w:r>
      <w:r>
        <w:rPr>
          <w:rFonts w:eastAsia="Times New Roman"/>
          <w:color w:val="000000"/>
          <w:sz w:val="20"/>
          <w:szCs w:val="20"/>
        </w:rPr>
        <w:t>ounts accrued for these matters as of such date, to be up to approximately $250 million.</w:t>
      </w:r>
    </w:p>
    <w:p w:rsidR="00000000" w:rsidRDefault="00C56D69">
      <w:pPr>
        <w:divId w:val="582185075"/>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developments in such matters have provided sufficient informati</w:t>
      </w:r>
      <w:r>
        <w:rPr>
          <w:rFonts w:eastAsia="Times New Roman"/>
          <w:color w:val="000000"/>
          <w:sz w:val="20"/>
          <w:szCs w:val="20"/>
        </w:rPr>
        <w:t>on to support an assessment of the range of possible loss, such as quantification of a damage demand from plaintiffs, discovery from plaintiffs and other parties, investigation of factual allegations, rulings by a court on motions or appeals, analysis by e</w:t>
      </w:r>
      <w:r>
        <w:rPr>
          <w:rFonts w:eastAsia="Times New Roman"/>
          <w:color w:val="000000"/>
          <w:sz w:val="20"/>
          <w:szCs w:val="20"/>
        </w:rPr>
        <w:t>xperts and the progress of settlement discussions. On a quarterly and annual basis, the Company reviews relevant information with respect to litigation and regulatory contingencies and updates the Company’s accruals, disclosures and reasonably possible los</w:t>
      </w:r>
      <w:r>
        <w:rPr>
          <w:rFonts w:eastAsia="Times New Roman"/>
          <w:color w:val="000000"/>
          <w:sz w:val="20"/>
          <w:szCs w:val="20"/>
        </w:rPr>
        <w:t>ses or ranges of loss based on such reviews.</w:t>
      </w:r>
    </w:p>
    <w:p w:rsidR="00000000" w:rsidRDefault="00C56D69">
      <w:pPr>
        <w:divId w:val="152063622"/>
        <w:rPr>
          <w:rFonts w:eastAsia="Times New Roman"/>
        </w:rPr>
      </w:pPr>
      <w:r>
        <w:rPr>
          <w:rFonts w:eastAsia="Times New Roman"/>
          <w:color w:val="000000"/>
          <w:sz w:val="20"/>
          <w:szCs w:val="20"/>
        </w:rPr>
        <w:t>In August 2015, a lawsuit was filed in Connecticut Superior Court entitled Richard T. O’Donnell, on behalf of himself and all others similarly situated v. AXA Equitable Life Insurance Company. This lawsuit was a</w:t>
      </w:r>
      <w:r>
        <w:rPr>
          <w:rFonts w:eastAsia="Times New Roman"/>
          <w:color w:val="000000"/>
          <w:sz w:val="20"/>
          <w:szCs w:val="20"/>
        </w:rPr>
        <w:t xml:space="preserve"> putative class action on behalf of all persons who purchased variable annuities from Equitable Financial, in which the volatility management tool was subsequently implemented and who claimed to have suffered injury as a result thereof. Plaintiff asserted </w:t>
      </w:r>
      <w:r>
        <w:rPr>
          <w:rFonts w:eastAsia="Times New Roman"/>
          <w:color w:val="000000"/>
          <w:sz w:val="20"/>
          <w:szCs w:val="20"/>
        </w:rPr>
        <w:t>a claim for breach of contract alleging that Equitable Financial implemented the volatility management strategy in violation of applicable law. In September 2022, this lawsuit was withdrawn with prejudice.</w:t>
      </w:r>
    </w:p>
    <w:p w:rsidR="00000000" w:rsidRDefault="00C56D69">
      <w:pPr>
        <w:divId w:val="66657239"/>
        <w:rPr>
          <w:rFonts w:eastAsia="Times New Roman"/>
        </w:rPr>
      </w:pPr>
      <w:r>
        <w:rPr>
          <w:rFonts w:eastAsia="Times New Roman"/>
          <w:color w:val="000000"/>
          <w:sz w:val="20"/>
          <w:szCs w:val="20"/>
        </w:rPr>
        <w:t>In February 2016, a lawsuit was filed in the South</w:t>
      </w:r>
      <w:r>
        <w:rPr>
          <w:rFonts w:eastAsia="Times New Roman"/>
          <w:color w:val="000000"/>
          <w:sz w:val="20"/>
          <w:szCs w:val="20"/>
        </w:rPr>
        <w:t>ern District of New York entitled Brach Family Foundation, Inc. v. AXA Equitable Life Insurance Company. This lawsuit is a putative class action brought on behalf of all owners of UL policies subject to Equitable Financial’s COI rate increase. In early 201</w:t>
      </w:r>
      <w:r>
        <w:rPr>
          <w:rFonts w:eastAsia="Times New Roman"/>
          <w:color w:val="000000"/>
          <w:sz w:val="20"/>
          <w:szCs w:val="20"/>
        </w:rPr>
        <w:t>6, Equitable Financial raised COI rates for certain UL policies issued between 2004 and 2008, which had both issue ages 70 and above and a current face value amount of $1 million and above. A second putative class action was filed in the District of Arizon</w:t>
      </w:r>
      <w:r>
        <w:rPr>
          <w:rFonts w:eastAsia="Times New Roman"/>
          <w:color w:val="000000"/>
          <w:sz w:val="20"/>
          <w:szCs w:val="20"/>
        </w:rPr>
        <w:t xml:space="preserve">a in 2017 and consolidated with the Brach matter in federal court in New York. The consolidated amended class action complaint </w:t>
      </w:r>
    </w:p>
    <w:p w:rsidR="00000000" w:rsidRDefault="00C56D69">
      <w:pPr>
        <w:jc w:val="center"/>
        <w:divId w:val="120005762"/>
        <w:rPr>
          <w:rFonts w:eastAsia="Times New Roman"/>
        </w:rPr>
      </w:pPr>
      <w:r>
        <w:rPr>
          <w:rFonts w:eastAsia="Times New Roman"/>
          <w:color w:val="000000"/>
          <w:sz w:val="20"/>
          <w:szCs w:val="20"/>
        </w:rPr>
        <w:t>61</w:t>
      </w:r>
    </w:p>
    <w:p w:rsidR="00000000" w:rsidRDefault="00C56D69">
      <w:pPr>
        <w:rPr>
          <w:rFonts w:eastAsia="Times New Roman"/>
        </w:rPr>
      </w:pPr>
      <w:r>
        <w:rPr>
          <w:rFonts w:eastAsia="Times New Roman"/>
        </w:rPr>
        <w:pict>
          <v:rect id="_x0000_i1087" style="width:0;height:1.5pt" o:hralign="center" o:hrstd="t" o:hr="t" fillcolor="#a0a0a0" stroked="f"/>
        </w:pict>
      </w:r>
    </w:p>
    <w:p w:rsidR="00000000" w:rsidRDefault="00C56D69">
      <w:pPr>
        <w:divId w:val="139435351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763992746"/>
        <w:rPr>
          <w:rFonts w:eastAsia="Times New Roman"/>
        </w:rPr>
      </w:pPr>
      <w:r>
        <w:rPr>
          <w:rFonts w:eastAsia="Times New Roman"/>
          <w:b/>
          <w:bCs/>
          <w:color w:val="000000"/>
          <w:sz w:val="20"/>
          <w:szCs w:val="20"/>
        </w:rPr>
        <w:t>EQUITABLE H</w:t>
      </w:r>
      <w:r>
        <w:rPr>
          <w:rFonts w:eastAsia="Times New Roman"/>
          <w:b/>
          <w:bCs/>
          <w:color w:val="000000"/>
          <w:sz w:val="20"/>
          <w:szCs w:val="20"/>
        </w:rPr>
        <w:t>OLDINGS, INC.</w:t>
      </w:r>
    </w:p>
    <w:p w:rsidR="00000000" w:rsidRDefault="00C56D69">
      <w:pPr>
        <w:jc w:val="center"/>
        <w:divId w:val="1763992746"/>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763992746"/>
        <w:rPr>
          <w:rFonts w:eastAsia="Times New Roman"/>
        </w:rPr>
      </w:pPr>
    </w:p>
    <w:p w:rsidR="00000000" w:rsidRDefault="00C56D69">
      <w:pPr>
        <w:divId w:val="1918856314"/>
        <w:rPr>
          <w:rFonts w:eastAsia="Times New Roman"/>
        </w:rPr>
      </w:pPr>
      <w:r>
        <w:rPr>
          <w:rFonts w:eastAsia="Times New Roman"/>
          <w:color w:val="000000"/>
          <w:sz w:val="20"/>
          <w:szCs w:val="20"/>
        </w:rPr>
        <w:t>alleges the following claims: breach of contract; misrepresentations in violation of Section 4226 of the New York Insurance Law; violations of New York General Business Law S</w:t>
      </w:r>
      <w:r>
        <w:rPr>
          <w:rFonts w:eastAsia="Times New Roman"/>
          <w:color w:val="000000"/>
          <w:sz w:val="20"/>
          <w:szCs w:val="20"/>
        </w:rPr>
        <w:t xml:space="preserve">ection 349; and violations of the California Unfair Competition Law, and the California Elder Abuse Statute. Plaintiffs seek: (a) compensatory damages, costs, and, pre- and post-judgment interest; (b) with respect to their claim concerning Section 4226, a </w:t>
      </w:r>
      <w:r>
        <w:rPr>
          <w:rFonts w:eastAsia="Times New Roman"/>
          <w:color w:val="000000"/>
          <w:sz w:val="20"/>
          <w:szCs w:val="20"/>
        </w:rPr>
        <w:t>penalty in the amount of premiums paid by the plaintiffs and the putative class; and (c) injunctive relief and attorneys’ fees in connection with their statutory claims. In August 2020, the federal district court issued a decision certifying nationwide bre</w:t>
      </w:r>
      <w:r>
        <w:rPr>
          <w:rFonts w:eastAsia="Times New Roman"/>
          <w:color w:val="000000"/>
          <w:sz w:val="20"/>
          <w:szCs w:val="20"/>
        </w:rPr>
        <w:t>ach of contract and Section 4226 classes, and a New York State Section 349 class. Owners of a substantial number of policies opted out of the Brach class action. Most opt-out policies are not yet the subject of litigation. Others filed suit previously incl</w:t>
      </w:r>
      <w:r>
        <w:rPr>
          <w:rFonts w:eastAsia="Times New Roman"/>
          <w:color w:val="000000"/>
          <w:sz w:val="20"/>
          <w:szCs w:val="20"/>
        </w:rPr>
        <w:t>uding three federal actions that have been coordinated with the Brach action and contain similar allegations along with additional allegations for violations of state consumer protection statutes and common law fraud. In March 2022, the federal district co</w:t>
      </w:r>
      <w:r>
        <w:rPr>
          <w:rFonts w:eastAsia="Times New Roman"/>
          <w:color w:val="000000"/>
          <w:sz w:val="20"/>
          <w:szCs w:val="20"/>
        </w:rPr>
        <w:t>urt issued a summary judgment decision, denying in significant part but granting in part Equitable Financial’s motion and denying the motion filed by plaintiffs in the coordinated actions. In July 2022, the federal district court granted Equitable Financia</w:t>
      </w:r>
      <w:r>
        <w:rPr>
          <w:rFonts w:eastAsia="Times New Roman"/>
          <w:color w:val="000000"/>
          <w:sz w:val="20"/>
          <w:szCs w:val="20"/>
        </w:rPr>
        <w:t xml:space="preserve">l’s motion to reconsider its summary judgment decision in part and granted summary judgment as to a portion of the Section 4226 class. The federal district court also agreed to consider whether it should decertify the Section 4226 class and set a briefing </w:t>
      </w:r>
      <w:r>
        <w:rPr>
          <w:rFonts w:eastAsia="Times New Roman"/>
          <w:color w:val="000000"/>
          <w:sz w:val="20"/>
          <w:szCs w:val="20"/>
        </w:rPr>
        <w:t>schedule. Equitable Financial has commenced settlement discussions with the Brach class action plaintiffs and plaintiffs in the coordinated actions. No assurances can be given about the outcome of those settlement discussions. Equitable Financial has settl</w:t>
      </w:r>
      <w:r>
        <w:rPr>
          <w:rFonts w:eastAsia="Times New Roman"/>
          <w:color w:val="000000"/>
          <w:sz w:val="20"/>
          <w:szCs w:val="20"/>
        </w:rPr>
        <w:t>ed actual and threatened litigations challenging the COI increase by individual policyowners and one entity that invested in numerous policies purchased in the life settlement market. Two actions are also pending against Equitable Financial in New York sta</w:t>
      </w:r>
      <w:r>
        <w:rPr>
          <w:rFonts w:eastAsia="Times New Roman"/>
          <w:color w:val="000000"/>
          <w:sz w:val="20"/>
          <w:szCs w:val="20"/>
        </w:rPr>
        <w:t>te court. In July 2022, the trial court in one of the New York state court actions, Hobish v. AXA Equitable Life Insurance Company, granted in significant part Equitable Financial’s motion for summary judgment and denied plaintiff’s cross motion. That plai</w:t>
      </w:r>
      <w:r>
        <w:rPr>
          <w:rFonts w:eastAsia="Times New Roman"/>
          <w:color w:val="000000"/>
          <w:sz w:val="20"/>
          <w:szCs w:val="20"/>
        </w:rPr>
        <w:t>ntiff filed a notice of appeal and Equitable filed a notice of cross-appeal. Equitable Financial is vigorously defending each of these matters.</w:t>
      </w:r>
    </w:p>
    <w:p w:rsidR="00000000" w:rsidRDefault="00C56D69">
      <w:pPr>
        <w:divId w:val="732587196"/>
        <w:rPr>
          <w:rFonts w:eastAsia="Times New Roman"/>
        </w:rPr>
      </w:pPr>
      <w:r>
        <w:rPr>
          <w:rFonts w:eastAsia="Times New Roman"/>
          <w:color w:val="000000"/>
          <w:sz w:val="20"/>
          <w:szCs w:val="20"/>
        </w:rPr>
        <w:t>As with other financial services companies, Equitable Financial periodically receives informal and formal reques</w:t>
      </w:r>
      <w:r>
        <w:rPr>
          <w:rFonts w:eastAsia="Times New Roman"/>
          <w:color w:val="000000"/>
          <w:sz w:val="20"/>
          <w:szCs w:val="20"/>
        </w:rPr>
        <w:t>ts for information from various state and federal governmental agencies and self-regulatory organizations in connection with inquiries and investigations of the products and practices of the Company or the financial services industry. It is the practice of</w:t>
      </w:r>
      <w:r>
        <w:rPr>
          <w:rFonts w:eastAsia="Times New Roman"/>
          <w:color w:val="000000"/>
          <w:sz w:val="20"/>
          <w:szCs w:val="20"/>
        </w:rPr>
        <w:t xml:space="preserve"> the Company to cooperate fully in these matters. In July 2022, the SEC issued an order with findings that daily separate account and portfolio operating expenses disclosed in customer prospectuses for the EQUI-VEST variable annuity product and incorporate</w:t>
      </w:r>
      <w:r>
        <w:rPr>
          <w:rFonts w:eastAsia="Times New Roman"/>
          <w:color w:val="000000"/>
          <w:sz w:val="20"/>
          <w:szCs w:val="20"/>
        </w:rPr>
        <w:t>d in the calculation of net investment portfolio results in EQUI-VEST quarterly account statements were not properly presented or referenced in those account statements. The Company neither admitted nor denied the findings but agreed to prospectively modif</w:t>
      </w:r>
      <w:r>
        <w:rPr>
          <w:rFonts w:eastAsia="Times New Roman"/>
          <w:color w:val="000000"/>
          <w:sz w:val="20"/>
          <w:szCs w:val="20"/>
        </w:rPr>
        <w:t>y the relevant account statements and cross-reference the relevant prospectus disclosures, and pay a civil monetary penalty of $50 million, to be distributed to plan participants. The Company has fully accrued for the cost of the settlement and its impleme</w:t>
      </w:r>
      <w:r>
        <w:rPr>
          <w:rFonts w:eastAsia="Times New Roman"/>
          <w:color w:val="000000"/>
          <w:sz w:val="20"/>
          <w:szCs w:val="20"/>
        </w:rPr>
        <w:t>ntation.</w:t>
      </w:r>
    </w:p>
    <w:p w:rsidR="00000000" w:rsidRDefault="00C56D69">
      <w:pPr>
        <w:divId w:val="590511368"/>
        <w:rPr>
          <w:rFonts w:eastAsia="Times New Roman"/>
        </w:rPr>
      </w:pPr>
      <w:r>
        <w:rPr>
          <w:rFonts w:eastAsia="Times New Roman"/>
          <w:color w:val="000000"/>
          <w:sz w:val="20"/>
          <w:szCs w:val="20"/>
          <w:u w:val="single"/>
        </w:rPr>
        <w:t>Obligations under Funding Agreements</w:t>
      </w:r>
    </w:p>
    <w:p w:rsidR="00000000" w:rsidRDefault="00C56D69">
      <w:pPr>
        <w:divId w:val="1370490698"/>
        <w:rPr>
          <w:rFonts w:eastAsia="Times New Roman"/>
        </w:rPr>
      </w:pPr>
      <w:r>
        <w:rPr>
          <w:rFonts w:eastAsia="Times New Roman"/>
          <w:b/>
          <w:bCs/>
          <w:i/>
          <w:iCs/>
          <w:color w:val="000000"/>
          <w:sz w:val="20"/>
          <w:szCs w:val="20"/>
        </w:rPr>
        <w:t>Pre-Capitalized Trust Securities (“P-Caps”)</w:t>
      </w:r>
    </w:p>
    <w:p w:rsidR="00000000" w:rsidRDefault="00C56D69">
      <w:pPr>
        <w:divId w:val="760830528"/>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w:t>
      </w:r>
      <w:r>
        <w:rPr>
          <w:rFonts w:eastAsia="Times New Roman"/>
          <w:color w:val="000000"/>
          <w:sz w:val="20"/>
          <w:szCs w:val="20"/>
        </w:rPr>
        <w:t xml:space="preserve">he Trusts (as defined below), Pine Street Trust I, a Delaware statutory trust (the “2029 Trust”), completed the issuance and sale of 600,000 of its Pre-Capitalized Trust Securities redeemable February 15, 2029 (the “2029 P-Caps”) for an aggregate purchase </w:t>
      </w:r>
      <w:r>
        <w:rPr>
          <w:rFonts w:eastAsia="Times New Roman"/>
          <w:color w:val="000000"/>
          <w:sz w:val="20"/>
          <w:szCs w:val="20"/>
        </w:rPr>
        <w:t>price of $600 million and Pine Street Trust II, a Delaware statutory trust (the “2049 Trust” and, together with the 2029 Trust, the “Trusts”), completed the issuance and sale of 400,000 of its Pre-Capitalized Trust Securities redeemable February 15, 2049 (</w:t>
      </w:r>
      <w:r>
        <w:rPr>
          <w:rFonts w:eastAsia="Times New Roman"/>
          <w:color w:val="000000"/>
          <w:sz w:val="20"/>
          <w:szCs w:val="20"/>
        </w:rPr>
        <w:t>the “2049 P-Caps” and, together with the 2029 P-Caps, the “P-Caps”) for an aggregate purchase price of $400 million in each case to qualified institutional buyers in reliance on Rule 144A that are also “qualified purchasers” for purposes of Section 3(c)(7)</w:t>
      </w:r>
      <w:r>
        <w:rPr>
          <w:rFonts w:eastAsia="Times New Roman"/>
          <w:color w:val="000000"/>
          <w:sz w:val="20"/>
          <w:szCs w:val="20"/>
        </w:rPr>
        <w:t xml:space="preserve"> of the Investment Company Act of 1940, as amended. </w:t>
      </w:r>
    </w:p>
    <w:p w:rsidR="00000000" w:rsidRDefault="00C56D69">
      <w:pPr>
        <w:divId w:val="1518811732"/>
        <w:rPr>
          <w:rFonts w:eastAsia="Times New Roman"/>
        </w:rPr>
      </w:pPr>
      <w:r>
        <w:rPr>
          <w:rFonts w:eastAsia="Times New Roman"/>
          <w:color w:val="000000"/>
          <w:sz w:val="20"/>
          <w:szCs w:val="20"/>
        </w:rPr>
        <w:t>The P-Caps are an off-balance sheet contingent funding arrangement that, upon Holdings’ election, gives Holdings the right over a ten-year period (in the case of the 2029 Trust) or over a thirty-year per</w:t>
      </w:r>
      <w:r>
        <w:rPr>
          <w:rFonts w:eastAsia="Times New Roman"/>
          <w:color w:val="000000"/>
          <w:sz w:val="20"/>
          <w:szCs w:val="20"/>
        </w:rPr>
        <w:t xml:space="preserve">iod (in the case of the 2049 Trust) to issue senior notes to these Trusts. The Trusts each invested the proceeds from the sale of their P-Caps in separate portfolios of principal and/or interest strips of U.S. Treasury securities. In return, Holdings will </w:t>
      </w:r>
      <w:r>
        <w:rPr>
          <w:rFonts w:eastAsia="Times New Roman"/>
          <w:color w:val="000000"/>
          <w:sz w:val="20"/>
          <w:szCs w:val="20"/>
        </w:rPr>
        <w:t>pay a semi-annual facility fee to the 2029 Trust and 2049 Trust calculated at a rate of 2.125% and 2.715% per annum, respectively, which will be applied to the unexercised portion of the contingent funding arrangement and Holdings will reimburse the Trusts</w:t>
      </w:r>
      <w:r>
        <w:rPr>
          <w:rFonts w:eastAsia="Times New Roman"/>
          <w:color w:val="000000"/>
          <w:sz w:val="20"/>
          <w:szCs w:val="20"/>
        </w:rPr>
        <w:t xml:space="preserve"> for certain expenses. The facility fees are recorded in Other operating costs and expenses in the Consolidated Statements of Income (Loss).</w:t>
      </w:r>
    </w:p>
    <w:p w:rsidR="00000000" w:rsidRDefault="00C56D69">
      <w:pPr>
        <w:jc w:val="center"/>
        <w:divId w:val="919946858"/>
        <w:rPr>
          <w:rFonts w:eastAsia="Times New Roman"/>
        </w:rPr>
      </w:pPr>
      <w:r>
        <w:rPr>
          <w:rFonts w:eastAsia="Times New Roman"/>
          <w:color w:val="000000"/>
          <w:sz w:val="20"/>
          <w:szCs w:val="20"/>
        </w:rPr>
        <w:t>62</w:t>
      </w:r>
    </w:p>
    <w:p w:rsidR="00000000" w:rsidRDefault="00C56D69">
      <w:pPr>
        <w:rPr>
          <w:rFonts w:eastAsia="Times New Roman"/>
        </w:rPr>
      </w:pPr>
      <w:r>
        <w:rPr>
          <w:rFonts w:eastAsia="Times New Roman"/>
        </w:rPr>
        <w:pict>
          <v:rect id="_x0000_i1088" style="width:0;height:1.5pt" o:hralign="center" o:hrstd="t" o:hr="t" fillcolor="#a0a0a0" stroked="f"/>
        </w:pict>
      </w:r>
    </w:p>
    <w:p w:rsidR="00000000" w:rsidRDefault="00C56D69">
      <w:pPr>
        <w:divId w:val="69188391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632903830"/>
        <w:rPr>
          <w:rFonts w:eastAsia="Times New Roman"/>
        </w:rPr>
      </w:pPr>
      <w:r>
        <w:rPr>
          <w:rFonts w:eastAsia="Times New Roman"/>
          <w:b/>
          <w:bCs/>
          <w:color w:val="000000"/>
          <w:sz w:val="20"/>
          <w:szCs w:val="20"/>
        </w:rPr>
        <w:t>EQUITABLE HOLDINGS, INC.</w:t>
      </w:r>
    </w:p>
    <w:p w:rsidR="00000000" w:rsidRDefault="00C56D69">
      <w:pPr>
        <w:jc w:val="center"/>
        <w:divId w:val="632903830"/>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632903830"/>
        <w:rPr>
          <w:rFonts w:eastAsia="Times New Roman"/>
        </w:rPr>
      </w:pPr>
    </w:p>
    <w:p w:rsidR="00000000" w:rsidRDefault="00C56D69">
      <w:pPr>
        <w:jc w:val="both"/>
        <w:divId w:val="635256627"/>
        <w:rPr>
          <w:rFonts w:eastAsia="Times New Roman"/>
        </w:rPr>
      </w:pPr>
      <w:r>
        <w:rPr>
          <w:rFonts w:eastAsia="Times New Roman"/>
          <w:b/>
          <w:bCs/>
          <w:i/>
          <w:iCs/>
          <w:color w:val="000000"/>
          <w:sz w:val="20"/>
          <w:szCs w:val="20"/>
        </w:rPr>
        <w:t>Federal Home Loan Bank (“FHLB”)</w:t>
      </w:r>
    </w:p>
    <w:p w:rsidR="00000000" w:rsidRDefault="00C56D69">
      <w:pPr>
        <w:divId w:val="259878185"/>
        <w:rPr>
          <w:rFonts w:eastAsia="Times New Roman"/>
        </w:rPr>
      </w:pPr>
      <w:r>
        <w:rPr>
          <w:rFonts w:eastAsia="Times New Roman"/>
          <w:color w:val="000000"/>
          <w:sz w:val="20"/>
          <w:szCs w:val="20"/>
        </w:rPr>
        <w:t>As a member of the FHLB, Equitable Financial has acces</w:t>
      </w:r>
      <w:r>
        <w:rPr>
          <w:rFonts w:eastAsia="Times New Roman"/>
          <w:color w:val="000000"/>
          <w:sz w:val="20"/>
          <w:szCs w:val="20"/>
        </w:rPr>
        <w:t>s to collateralized borrowings. It also may issue funding agreements to the FHLB. Both the collateralized borrowings and funding agreements would require Equitable Financial to pledge qualified mortgage-backed assets and/or government securities as collate</w:t>
      </w:r>
      <w:r>
        <w:rPr>
          <w:rFonts w:eastAsia="Times New Roman"/>
          <w:color w:val="000000"/>
          <w:sz w:val="20"/>
          <w:szCs w:val="20"/>
        </w:rPr>
        <w:t>ral. Equitable Financial issues short-term funding agreements to the FHLB and uses the funds for asset, liability, and cash management purposes. Equitable Financial issues long-term funding agreements to the FHLB and uses the funds for spread lending purpo</w:t>
      </w:r>
      <w:r>
        <w:rPr>
          <w:rFonts w:eastAsia="Times New Roman"/>
          <w:color w:val="000000"/>
          <w:sz w:val="20"/>
          <w:szCs w:val="20"/>
        </w:rPr>
        <w:t xml:space="preserve">ses. </w:t>
      </w:r>
    </w:p>
    <w:p w:rsidR="00000000" w:rsidRDefault="00C56D69">
      <w:pPr>
        <w:divId w:val="1859542167"/>
        <w:rPr>
          <w:rFonts w:eastAsia="Times New Roman"/>
        </w:rPr>
      </w:pPr>
      <w:r>
        <w:rPr>
          <w:rFonts w:eastAsia="Times New Roman"/>
          <w:color w:val="000000"/>
          <w:sz w:val="20"/>
          <w:szCs w:val="20"/>
        </w:rPr>
        <w:t>Entering into FHLB membership, borrowings and funding agreements requires the ownership of FHLB stock and the pledge of assets as collateral. Equitable Financial has purchased FHLB stock of $364 million and pledged collateral with a carrying value of</w:t>
      </w:r>
      <w:r>
        <w:rPr>
          <w:rFonts w:eastAsia="Times New Roman"/>
          <w:color w:val="000000"/>
          <w:sz w:val="20"/>
          <w:szCs w:val="20"/>
        </w:rPr>
        <w:t xml:space="preserve"> </w:t>
      </w:r>
      <w:r>
        <w:rPr>
          <w:rFonts w:eastAsia="Times New Roman"/>
          <w:color w:val="000000"/>
          <w:sz w:val="20"/>
          <w:szCs w:val="20"/>
          <w:shd w:val="clear" w:color="auto" w:fill="FFFFFF"/>
        </w:rPr>
        <w:t>$11.0 billion</w:t>
      </w:r>
      <w:r>
        <w:rPr>
          <w:rFonts w:eastAsia="Times New Roman"/>
          <w:color w:val="000000"/>
          <w:sz w:val="20"/>
          <w:szCs w:val="20"/>
        </w:rPr>
        <w:t xml:space="preserve"> as of September 30, 2022.</w:t>
      </w:r>
    </w:p>
    <w:p w:rsidR="00000000" w:rsidRDefault="00C56D69">
      <w:pPr>
        <w:divId w:val="611472749"/>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w:t>
      </w:r>
      <w:r>
        <w:rPr>
          <w:rFonts w:eastAsia="Times New Roman"/>
          <w:color w:val="000000"/>
          <w:sz w:val="20"/>
          <w:szCs w:val="20"/>
        </w:rPr>
        <w:t>ts and liabilities” included in Note 4 of the Notes to these Consolidated Financial Statements. The table below summarizes the Company’s activity of funding agreements with the FHLB.</w:t>
      </w:r>
    </w:p>
    <w:p w:rsidR="00000000" w:rsidRDefault="00C56D69">
      <w:pPr>
        <w:jc w:val="center"/>
        <w:rPr>
          <w:rFonts w:eastAsia="Times New Roman"/>
        </w:rPr>
      </w:pPr>
      <w:r>
        <w:rPr>
          <w:rFonts w:eastAsia="Times New Roman"/>
          <w:b/>
          <w:bCs/>
          <w:color w:val="000000"/>
          <w:sz w:val="20"/>
          <w:szCs w:val="20"/>
        </w:rPr>
        <w:t xml:space="preserve">Change in FHLB Funding Agreements during the Nine Months Ended September </w:t>
      </w:r>
      <w:r>
        <w:rPr>
          <w:rFonts w:eastAsia="Times New Roman"/>
          <w:b/>
          <w:bCs/>
          <w:color w:val="000000"/>
          <w:sz w:val="20"/>
          <w:szCs w:val="20"/>
        </w:rPr>
        <w:t xml:space="preserve">30, 2022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289"/>
        <w:gridCol w:w="37"/>
        <w:gridCol w:w="121"/>
        <w:gridCol w:w="807"/>
        <w:gridCol w:w="36"/>
        <w:gridCol w:w="36"/>
        <w:gridCol w:w="36"/>
        <w:gridCol w:w="36"/>
        <w:gridCol w:w="120"/>
        <w:gridCol w:w="600"/>
        <w:gridCol w:w="36"/>
        <w:gridCol w:w="36"/>
        <w:gridCol w:w="36"/>
        <w:gridCol w:w="36"/>
        <w:gridCol w:w="120"/>
        <w:gridCol w:w="684"/>
        <w:gridCol w:w="36"/>
        <w:gridCol w:w="36"/>
        <w:gridCol w:w="36"/>
        <w:gridCol w:w="36"/>
        <w:gridCol w:w="121"/>
        <w:gridCol w:w="78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C56D69">
            <w:pPr>
              <w:jc w:val="center"/>
              <w:rPr>
                <w:rFonts w:eastAsia="Times New Roman"/>
              </w:rPr>
            </w:pPr>
          </w:p>
        </w:tc>
        <w:tc>
          <w:tcPr>
            <w:tcW w:w="145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1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4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9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Outstanding Balance at September 30, 2022</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5,353 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40,964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(41,132)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42,316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(41,132)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jc w:val="right"/>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right"/>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720"/>
        <w:divId w:val="1230769399"/>
        <w:rPr>
          <w:rFonts w:eastAsia="Times New Roman"/>
        </w:rPr>
      </w:pPr>
      <w:r>
        <w:rPr>
          <w:rFonts w:eastAsia="Times New Roman"/>
          <w:color w:val="000000"/>
          <w:sz w:val="18"/>
          <w:szCs w:val="18"/>
        </w:rPr>
        <w:t>_____________</w:t>
      </w:r>
    </w:p>
    <w:p w:rsidR="00000000" w:rsidRDefault="00C56D69">
      <w:pPr>
        <w:ind w:hanging="360"/>
        <w:divId w:val="1494107894"/>
        <w:rPr>
          <w:rFonts w:eastAsia="Times New Roman"/>
        </w:rPr>
      </w:pPr>
      <w:r>
        <w:rPr>
          <w:rFonts w:eastAsia="Times New Roman"/>
          <w:color w:val="000000"/>
          <w:sz w:val="18"/>
          <w:szCs w:val="18"/>
        </w:rPr>
        <w:t>(1)</w:t>
      </w:r>
      <w:r>
        <w:rPr>
          <w:rFonts w:eastAsia="Times New Roman"/>
          <w:color w:val="000000"/>
          <w:sz w:val="18"/>
          <w:szCs w:val="18"/>
        </w:rPr>
        <w:t>The $4 million and $4 million difference between the funding agreements carrying value shown in fair value table for September 30, 2022 and December 31, 2021, respectively, reflects the remaining amortization of a hedge implemented and closed, which locked</w:t>
      </w:r>
      <w:r>
        <w:rPr>
          <w:rFonts w:eastAsia="Times New Roman"/>
          <w:color w:val="000000"/>
          <w:sz w:val="18"/>
          <w:szCs w:val="18"/>
        </w:rPr>
        <w:t xml:space="preserve"> in the funding agreements borrowing rates.</w:t>
      </w:r>
    </w:p>
    <w:p w:rsidR="00000000" w:rsidRDefault="00C56D69">
      <w:pPr>
        <w:jc w:val="both"/>
        <w:divId w:val="1766421730"/>
        <w:rPr>
          <w:rFonts w:eastAsia="Times New Roman"/>
        </w:rPr>
      </w:pPr>
      <w:r>
        <w:rPr>
          <w:rFonts w:eastAsia="Times New Roman"/>
          <w:b/>
          <w:bCs/>
          <w:i/>
          <w:iCs/>
          <w:color w:val="000000"/>
          <w:sz w:val="20"/>
          <w:szCs w:val="20"/>
        </w:rPr>
        <w:t>Funding Agreement-Backed Notes Program (“FABN”)</w:t>
      </w:r>
    </w:p>
    <w:p w:rsidR="00000000" w:rsidRDefault="00C56D69">
      <w:pPr>
        <w:divId w:val="752167863"/>
        <w:rPr>
          <w:rFonts w:eastAsia="Times New Roman"/>
        </w:rPr>
      </w:pPr>
      <w:r>
        <w:rPr>
          <w:rFonts w:eastAsia="Times New Roman"/>
          <w:color w:val="000000"/>
          <w:sz w:val="20"/>
          <w:szCs w:val="20"/>
        </w:rPr>
        <w:t xml:space="preserve">Under the FABN program, Equitable Financial may issue funding agreements in U.S. dollar or other foreign currencies </w:t>
      </w:r>
      <w:r>
        <w:rPr>
          <w:rFonts w:eastAsia="Times New Roman"/>
          <w:color w:val="000000"/>
          <w:sz w:val="20"/>
          <w:szCs w:val="20"/>
        </w:rPr>
        <w:t xml:space="preserve">to a Delaware special purpose statutory trust (the “Trust”) in exchange for the proceeds from issuances of fixed and floating rate medium-term marketable notes issued by the Trust from time to time (the “Trust Notes”). The funding agreements have matching </w:t>
      </w:r>
      <w:r>
        <w:rPr>
          <w:rFonts w:eastAsia="Times New Roman"/>
          <w:color w:val="000000"/>
          <w:sz w:val="20"/>
          <w:szCs w:val="20"/>
        </w:rPr>
        <w:t>interest, maturity and currency payment terms to the applicable Trust Notes. The Company hedges the foreign currency exposure of foreign currency denominated funding agreements using cross currency swaps as discussed in Note 4 of the Notes to these Consoli</w:t>
      </w:r>
      <w:r>
        <w:rPr>
          <w:rFonts w:eastAsia="Times New Roman"/>
          <w:color w:val="000000"/>
          <w:sz w:val="20"/>
          <w:szCs w:val="20"/>
        </w:rPr>
        <w:t>dated Financial Statements. As of September 30, 2022, the maximum aggregate principal amount of Trust Notes permitted to be outstanding at any one time is $10 billion. Funding agreements issued to the Trust, including any foreign currency transaction adjus</w:t>
      </w:r>
      <w:r>
        <w:rPr>
          <w:rFonts w:eastAsia="Times New Roman"/>
          <w:color w:val="000000"/>
          <w:sz w:val="20"/>
          <w:szCs w:val="20"/>
        </w:rPr>
        <w:t>tments, are reported in policyholders’ account balances in the consolidated balance sheets. Foreign currency transaction adjustments to policyholder’s account balances are recognized in net income (loss) as an adjustment to interest credited to policyholde</w:t>
      </w:r>
      <w:r>
        <w:rPr>
          <w:rFonts w:eastAsia="Times New Roman"/>
          <w:color w:val="000000"/>
          <w:sz w:val="20"/>
          <w:szCs w:val="20"/>
        </w:rPr>
        <w:t>rs’ account balances and are offset in interest credited to policyholders’ account balances by a release of AOCI from deferred changes in fair value of designated and qualifying cross currency swap cash flow hedges. The table below summarizes Equitable Fin</w:t>
      </w:r>
      <w:r>
        <w:rPr>
          <w:rFonts w:eastAsia="Times New Roman"/>
          <w:color w:val="000000"/>
          <w:sz w:val="20"/>
          <w:szCs w:val="20"/>
        </w:rPr>
        <w:t xml:space="preserve">ancial’s activity of funding agreements under the FABN program. </w:t>
      </w:r>
    </w:p>
    <w:p w:rsidR="00000000" w:rsidRDefault="00C56D69">
      <w:pPr>
        <w:jc w:val="center"/>
        <w:divId w:val="717582618"/>
        <w:rPr>
          <w:rFonts w:eastAsia="Times New Roman"/>
        </w:rPr>
      </w:pPr>
      <w:r>
        <w:rPr>
          <w:rFonts w:eastAsia="Times New Roman"/>
          <w:color w:val="000000"/>
          <w:sz w:val="20"/>
          <w:szCs w:val="20"/>
        </w:rPr>
        <w:t>63</w:t>
      </w:r>
    </w:p>
    <w:p w:rsidR="00000000" w:rsidRDefault="00C56D69">
      <w:pPr>
        <w:rPr>
          <w:rFonts w:eastAsia="Times New Roman"/>
        </w:rPr>
      </w:pPr>
      <w:r>
        <w:rPr>
          <w:rFonts w:eastAsia="Times New Roman"/>
        </w:rPr>
        <w:pict>
          <v:rect id="_x0000_i1089" style="width:0;height:1.5pt" o:hralign="center" o:hrstd="t" o:hr="t" fillcolor="#a0a0a0" stroked="f"/>
        </w:pict>
      </w:r>
    </w:p>
    <w:p w:rsidR="00000000" w:rsidRDefault="00C56D69">
      <w:pPr>
        <w:divId w:val="55844658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795825155"/>
        <w:rPr>
          <w:rFonts w:eastAsia="Times New Roman"/>
        </w:rPr>
      </w:pPr>
      <w:r>
        <w:rPr>
          <w:rFonts w:eastAsia="Times New Roman"/>
          <w:b/>
          <w:bCs/>
          <w:color w:val="000000"/>
          <w:sz w:val="20"/>
          <w:szCs w:val="20"/>
        </w:rPr>
        <w:t>EQUITABLE HOLDINGS, INC.</w:t>
      </w:r>
    </w:p>
    <w:p w:rsidR="00000000" w:rsidRDefault="00C56D69">
      <w:pPr>
        <w:jc w:val="center"/>
        <w:divId w:val="1795825155"/>
        <w:rPr>
          <w:rFonts w:eastAsia="Times New Roman"/>
        </w:rPr>
      </w:pPr>
      <w:r>
        <w:rPr>
          <w:rFonts w:eastAsia="Times New Roman"/>
          <w:b/>
          <w:bCs/>
          <w:color w:val="000000"/>
          <w:sz w:val="20"/>
          <w:szCs w:val="20"/>
        </w:rPr>
        <w:t>Notes to Consolidated Financial Statements (Unaudi</w:t>
      </w:r>
      <w:r>
        <w:rPr>
          <w:rFonts w:eastAsia="Times New Roman"/>
          <w:b/>
          <w:bCs/>
          <w:color w:val="000000"/>
          <w:sz w:val="20"/>
          <w:szCs w:val="20"/>
        </w:rPr>
        <w:t>ted), Continued</w:t>
      </w:r>
    </w:p>
    <w:p w:rsidR="00000000" w:rsidRDefault="00C56D69">
      <w:pPr>
        <w:jc w:val="center"/>
        <w:divId w:val="1795825155"/>
        <w:rPr>
          <w:rFonts w:eastAsia="Times New Roman"/>
        </w:rPr>
      </w:pPr>
    </w:p>
    <w:p w:rsidR="00000000" w:rsidRDefault="00C56D69">
      <w:pPr>
        <w:jc w:val="center"/>
        <w:rPr>
          <w:rFonts w:eastAsia="Times New Roman"/>
        </w:rPr>
      </w:pPr>
      <w:r>
        <w:rPr>
          <w:rFonts w:eastAsia="Times New Roman"/>
          <w:b/>
          <w:bCs/>
          <w:color w:val="000000"/>
          <w:sz w:val="20"/>
          <w:szCs w:val="20"/>
        </w:rPr>
        <w:t>Change in FABN Funding Agreements during the Nine 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1497"/>
        <w:gridCol w:w="37"/>
        <w:gridCol w:w="121"/>
        <w:gridCol w:w="801"/>
        <w:gridCol w:w="36"/>
        <w:gridCol w:w="36"/>
        <w:gridCol w:w="36"/>
        <w:gridCol w:w="36"/>
        <w:gridCol w:w="121"/>
        <w:gridCol w:w="454"/>
        <w:gridCol w:w="36"/>
        <w:gridCol w:w="36"/>
        <w:gridCol w:w="36"/>
        <w:gridCol w:w="36"/>
        <w:gridCol w:w="121"/>
        <w:gridCol w:w="450"/>
        <w:gridCol w:w="36"/>
        <w:gridCol w:w="36"/>
        <w:gridCol w:w="36"/>
        <w:gridCol w:w="36"/>
        <w:gridCol w:w="121"/>
        <w:gridCol w:w="751"/>
        <w:gridCol w:w="36"/>
        <w:gridCol w:w="36"/>
        <w:gridCol w:w="36"/>
        <w:gridCol w:w="36"/>
        <w:gridCol w:w="121"/>
        <w:gridCol w:w="749"/>
        <w:gridCol w:w="36"/>
        <w:gridCol w:w="36"/>
        <w:gridCol w:w="36"/>
        <w:gridCol w:w="36"/>
        <w:gridCol w:w="36"/>
        <w:gridCol w:w="36"/>
        <w:gridCol w:w="36"/>
        <w:gridCol w:w="36"/>
        <w:gridCol w:w="36"/>
        <w:gridCol w:w="36"/>
        <w:gridCol w:w="121"/>
        <w:gridCol w:w="759"/>
        <w:gridCol w:w="36"/>
        <w:gridCol w:w="36"/>
        <w:gridCol w:w="36"/>
        <w:gridCol w:w="36"/>
        <w:gridCol w:w="121"/>
        <w:gridCol w:w="807"/>
        <w:gridCol w:w="36"/>
      </w:tblGrid>
      <w:tr w:rsidR="00000000">
        <w:trPr>
          <w:divId w:val="255094776"/>
        </w:trPr>
        <w:tc>
          <w:tcPr>
            <w:tcW w:w="50" w:type="pct"/>
            <w:vAlign w:val="center"/>
            <w:hideMark/>
          </w:tcPr>
          <w:p w:rsidR="00000000" w:rsidRDefault="00C56D69">
            <w:pPr>
              <w:jc w:val="center"/>
              <w:rPr>
                <w:rFonts w:eastAsia="Times New Roman"/>
              </w:rPr>
            </w:pPr>
          </w:p>
        </w:tc>
        <w:tc>
          <w:tcPr>
            <w:tcW w:w="157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3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8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Outstanding Balance at September 30,</w:t>
            </w:r>
            <w:r>
              <w:rPr>
                <w:rFonts w:eastAsia="Times New Roman"/>
                <w:b/>
                <w:bCs/>
                <w:color w:val="000000"/>
                <w:sz w:val="16"/>
                <w:szCs w:val="16"/>
              </w:rPr>
              <w:br/>
              <w:t>2022</w:t>
            </w:r>
          </w:p>
        </w:tc>
      </w:tr>
      <w:tr w:rsidR="00000000">
        <w:trPr>
          <w:divId w:val="255094776"/>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C56D69">
        <w:trPr>
          <w:divId w:val="255094776"/>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094776"/>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4,600 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094776"/>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094776"/>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C56D69">
        <w:trPr>
          <w:divId w:val="255094776"/>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55094776"/>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5509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560946921"/>
        <w:rPr>
          <w:rFonts w:eastAsia="Times New Roman"/>
        </w:rPr>
      </w:pPr>
      <w:r>
        <w:rPr>
          <w:rFonts w:eastAsia="Times New Roman"/>
          <w:color w:val="000000"/>
          <w:sz w:val="18"/>
          <w:szCs w:val="18"/>
        </w:rPr>
        <w:t>_____________</w:t>
      </w:r>
    </w:p>
    <w:p w:rsidR="00000000" w:rsidRDefault="00C56D69">
      <w:pPr>
        <w:ind w:hanging="360"/>
        <w:divId w:val="1169252538"/>
        <w:rPr>
          <w:rFonts w:eastAsia="Times New Roman"/>
        </w:rPr>
      </w:pPr>
      <w:r>
        <w:rPr>
          <w:rFonts w:eastAsia="Times New Roman"/>
          <w:color w:val="000000"/>
          <w:sz w:val="18"/>
          <w:szCs w:val="18"/>
        </w:rPr>
        <w:t xml:space="preserve">(1)The $28 million and $70 </w:t>
      </w:r>
      <w:r>
        <w:rPr>
          <w:rFonts w:eastAsia="Times New Roman"/>
          <w:color w:val="000000"/>
          <w:sz w:val="18"/>
          <w:szCs w:val="18"/>
        </w:rPr>
        <w:t>million difference between the funding agreements notional value shown and carrying value table as of September 30, 2022 and December 31, 2021, respectively, reflects the remaining amortization of the issuance cost of the funding agreements and the foreign</w:t>
      </w:r>
      <w:r>
        <w:rPr>
          <w:rFonts w:eastAsia="Times New Roman"/>
          <w:color w:val="000000"/>
          <w:sz w:val="18"/>
          <w:szCs w:val="18"/>
        </w:rPr>
        <w:t xml:space="preserve"> currency transaction adjustment. </w:t>
      </w:r>
    </w:p>
    <w:p w:rsidR="00000000" w:rsidRDefault="00C56D69">
      <w:pPr>
        <w:jc w:val="both"/>
        <w:divId w:val="1940287787"/>
        <w:rPr>
          <w:rFonts w:eastAsia="Times New Roman"/>
        </w:rPr>
      </w:pPr>
      <w:r>
        <w:rPr>
          <w:rFonts w:eastAsia="Times New Roman"/>
          <w:b/>
          <w:bCs/>
          <w:i/>
          <w:iCs/>
          <w:color w:val="000000"/>
          <w:sz w:val="20"/>
          <w:szCs w:val="20"/>
        </w:rPr>
        <w:t>Holdings Revolving Credit Facility</w:t>
      </w:r>
    </w:p>
    <w:p w:rsidR="00000000" w:rsidRDefault="00C56D69">
      <w:pPr>
        <w:divId w:val="707222850"/>
        <w:rPr>
          <w:rFonts w:eastAsia="Times New Roman"/>
        </w:rPr>
      </w:pPr>
      <w:r>
        <w:rPr>
          <w:rFonts w:eastAsia="Times New Roman"/>
          <w:color w:val="000000"/>
          <w:sz w:val="20"/>
          <w:szCs w:val="20"/>
        </w:rPr>
        <w:t xml:space="preserve">In February 2018, Holdings entered into a $2.5 billion five-year </w:t>
      </w:r>
      <w:r>
        <w:rPr>
          <w:rFonts w:eastAsia="Times New Roman"/>
          <w:color w:val="000000"/>
          <w:sz w:val="20"/>
          <w:szCs w:val="20"/>
        </w:rPr>
        <w:t>senior unsecured revolving credit facility with a syndicate of banks. In June 2021, Holdings entered into an amended and restated revolving credit agreement, which lowered the facility amount to $1.5 billion and extended the maturity date to June 24, 2026,</w:t>
      </w:r>
      <w:r>
        <w:rPr>
          <w:rFonts w:eastAsia="Times New Roman"/>
          <w:color w:val="000000"/>
          <w:sz w:val="20"/>
          <w:szCs w:val="20"/>
        </w:rPr>
        <w:t xml:space="preserve"> among other changes. The revolving credit facility has a sub-limit of $1.5 billion for the issuance of letters of credit to support the life insurance business reinsured by EQ AZ Life Re. As of September 30, 2022, the Company had $210 million undrawn lett</w:t>
      </w:r>
      <w:r>
        <w:rPr>
          <w:rFonts w:eastAsia="Times New Roman"/>
          <w:color w:val="000000"/>
          <w:sz w:val="20"/>
          <w:szCs w:val="20"/>
        </w:rPr>
        <w:t xml:space="preserve">ers of credit issued out of the $1.5 billion sub-limit for Equitable Financial as beneficiary. </w:t>
      </w:r>
    </w:p>
    <w:p w:rsidR="00000000" w:rsidRDefault="00C56D69">
      <w:pPr>
        <w:jc w:val="both"/>
        <w:divId w:val="1103841256"/>
        <w:rPr>
          <w:rFonts w:eastAsia="Times New Roman"/>
        </w:rPr>
      </w:pPr>
      <w:r>
        <w:rPr>
          <w:rFonts w:eastAsia="Times New Roman"/>
          <w:b/>
          <w:bCs/>
          <w:i/>
          <w:iCs/>
          <w:color w:val="000000"/>
          <w:sz w:val="20"/>
          <w:szCs w:val="20"/>
        </w:rPr>
        <w:t>Bilateral Letter of Credit Facilities</w:t>
      </w:r>
    </w:p>
    <w:p w:rsidR="00000000" w:rsidRDefault="00C56D69">
      <w:pPr>
        <w:divId w:val="582647547"/>
        <w:rPr>
          <w:rFonts w:eastAsia="Times New Roman"/>
        </w:rPr>
      </w:pPr>
      <w:r>
        <w:rPr>
          <w:rFonts w:eastAsia="Times New Roman"/>
          <w:color w:val="000000"/>
          <w:sz w:val="20"/>
          <w:szCs w:val="20"/>
        </w:rPr>
        <w:t>In February 2018, the Company entered into bilateral letter of credit facilities, each guaranteed by Holdings, with an agg</w:t>
      </w:r>
      <w:r>
        <w:rPr>
          <w:rFonts w:eastAsia="Times New Roman"/>
          <w:color w:val="000000"/>
          <w:sz w:val="20"/>
          <w:szCs w:val="20"/>
        </w:rPr>
        <w:t>regate principal amount of approximately $1.9 billion, with multiple counterparties. In June 2021, Holdings entered into amendments with each of the issuers of its bilateral letter of credit facilities to effect changes similar to those effected in the ame</w:t>
      </w:r>
      <w:r>
        <w:rPr>
          <w:rFonts w:eastAsia="Times New Roman"/>
          <w:color w:val="000000"/>
          <w:sz w:val="20"/>
          <w:szCs w:val="20"/>
        </w:rPr>
        <w:t>nded and restated revolving credit agreement. The respective facility limits of the bilateral letter of credit facilities remained unchanged. These facilities support the life insurance business reinsured by EQ AZ Life Re. The HSBC facility matures on Febr</w:t>
      </w:r>
      <w:r>
        <w:rPr>
          <w:rFonts w:eastAsia="Times New Roman"/>
          <w:color w:val="000000"/>
          <w:sz w:val="20"/>
          <w:szCs w:val="20"/>
        </w:rPr>
        <w:t>uary 16, 2024 and the rest of the facilities mature on February 16, 2026.</w:t>
      </w:r>
    </w:p>
    <w:p w:rsidR="00000000" w:rsidRDefault="00C56D69">
      <w:pPr>
        <w:divId w:val="31467116"/>
        <w:rPr>
          <w:rFonts w:eastAsia="Times New Roman"/>
        </w:rPr>
      </w:pPr>
      <w:r>
        <w:rPr>
          <w:rFonts w:eastAsia="Times New Roman"/>
          <w:color w:val="000000"/>
          <w:sz w:val="20"/>
          <w:szCs w:val="20"/>
          <w:u w:val="single"/>
        </w:rPr>
        <w:t>Guarantees and Other Commitments</w:t>
      </w:r>
    </w:p>
    <w:p w:rsidR="00000000" w:rsidRDefault="00C56D69">
      <w:pPr>
        <w:divId w:val="2108455517"/>
        <w:rPr>
          <w:rFonts w:eastAsia="Times New Roman"/>
        </w:rPr>
      </w:pPr>
      <w:r>
        <w:rPr>
          <w:rFonts w:eastAsia="Times New Roman"/>
          <w:color w:val="000000"/>
          <w:sz w:val="20"/>
          <w:szCs w:val="20"/>
        </w:rPr>
        <w:t xml:space="preserve">The Company provides certain guarantees or commitments to affiliates and others. As of September 30, 2022, these arrangements include commitments by </w:t>
      </w:r>
      <w:r>
        <w:rPr>
          <w:rFonts w:eastAsia="Times New Roman"/>
          <w:color w:val="000000"/>
          <w:sz w:val="20"/>
          <w:szCs w:val="20"/>
        </w:rPr>
        <w:t>the Company to provide equity financing of $1.3 billion to certain limited partnerships and real estate joint ventures under certain conditions. Management believes the Company will not incur material losses as a result of these commitments.</w:t>
      </w:r>
    </w:p>
    <w:p w:rsidR="00000000" w:rsidRDefault="00C56D69">
      <w:pPr>
        <w:divId w:val="2125036681"/>
        <w:rPr>
          <w:rFonts w:eastAsia="Times New Roman"/>
        </w:rPr>
      </w:pPr>
      <w:r>
        <w:rPr>
          <w:rFonts w:eastAsia="Times New Roman"/>
          <w:color w:val="000000"/>
          <w:sz w:val="20"/>
          <w:szCs w:val="20"/>
        </w:rPr>
        <w:t>The Company ha</w:t>
      </w:r>
      <w:r>
        <w:rPr>
          <w:rFonts w:eastAsia="Times New Roman"/>
          <w:color w:val="000000"/>
          <w:sz w:val="20"/>
          <w:szCs w:val="20"/>
        </w:rPr>
        <w:t>d $17 million of undrawn letters of credit related to reinsurance as of September 30, 2022. The Company had $880 million of commitments under existing mortgage loan agreements as of September 30, 2022.</w:t>
      </w:r>
    </w:p>
    <w:p w:rsidR="00000000" w:rsidRDefault="00C56D69">
      <w:pPr>
        <w:divId w:val="770245024"/>
        <w:rPr>
          <w:rFonts w:eastAsia="Times New Roman"/>
        </w:rPr>
      </w:pPr>
      <w:r>
        <w:rPr>
          <w:rFonts w:eastAsia="Times New Roman"/>
          <w:color w:val="000000"/>
          <w:sz w:val="20"/>
          <w:szCs w:val="20"/>
        </w:rPr>
        <w:t>The Company is the obligor under certain structured se</w:t>
      </w:r>
      <w:r>
        <w:rPr>
          <w:rFonts w:eastAsia="Times New Roman"/>
          <w:color w:val="000000"/>
          <w:sz w:val="20"/>
          <w:szCs w:val="20"/>
        </w:rPr>
        <w:t>ttlement agreements it had entered into with unaffiliated insurance companies and beneficiaries. To satisfy its obligations under these agreements, the Company owns single premium annuities issued by previously wholly-owned life insurance subsidiaries. The</w:t>
      </w:r>
      <w:r>
        <w:rPr>
          <w:rFonts w:eastAsia="Times New Roman"/>
          <w:color w:val="000000"/>
          <w:sz w:val="20"/>
          <w:szCs w:val="20"/>
        </w:rPr>
        <w:t xml:space="preserve"> Company has directed payment under these annuities to be made directly to the beneficiaries under the structured settlement agreements. A contingent liability exists with respect to these agreements should the previously wholly-owned subsidiaries be unabl</w:t>
      </w:r>
      <w:r>
        <w:rPr>
          <w:rFonts w:eastAsia="Times New Roman"/>
          <w:color w:val="000000"/>
          <w:sz w:val="20"/>
          <w:szCs w:val="20"/>
        </w:rPr>
        <w:t>e to meet their obligations. Management believes the need for the Company to satisfy those obligations is remote.</w:t>
      </w:r>
    </w:p>
    <w:p w:rsidR="00000000" w:rsidRDefault="00C56D69">
      <w:pPr>
        <w:divId w:val="1399749926"/>
        <w:rPr>
          <w:rFonts w:eastAsia="Times New Roman"/>
        </w:rPr>
      </w:pPr>
      <w:r>
        <w:rPr>
          <w:rFonts w:eastAsia="Times New Roman"/>
          <w:b/>
          <w:bCs/>
          <w:color w:val="000000"/>
          <w:sz w:val="20"/>
          <w:szCs w:val="20"/>
        </w:rPr>
        <w:t>13)    INSURANCE GROUP STATUTORY FINANCIAL INFORMATION</w:t>
      </w:r>
    </w:p>
    <w:p w:rsidR="00000000" w:rsidRDefault="00C56D69">
      <w:pPr>
        <w:divId w:val="1036352274"/>
        <w:rPr>
          <w:rFonts w:eastAsia="Times New Roman"/>
        </w:rPr>
      </w:pPr>
      <w:r>
        <w:rPr>
          <w:rFonts w:eastAsia="Times New Roman"/>
          <w:color w:val="000000"/>
          <w:sz w:val="20"/>
          <w:szCs w:val="20"/>
          <w:u w:val="single"/>
        </w:rPr>
        <w:t>Prescribed and Permitted Accounting Practices</w:t>
      </w:r>
    </w:p>
    <w:p w:rsidR="00000000" w:rsidRDefault="00C56D69">
      <w:pPr>
        <w:jc w:val="center"/>
        <w:divId w:val="117646436"/>
        <w:rPr>
          <w:rFonts w:eastAsia="Times New Roman"/>
        </w:rPr>
      </w:pPr>
      <w:r>
        <w:rPr>
          <w:rFonts w:eastAsia="Times New Roman"/>
          <w:color w:val="000000"/>
          <w:sz w:val="20"/>
          <w:szCs w:val="20"/>
        </w:rPr>
        <w:t>64</w:t>
      </w:r>
    </w:p>
    <w:p w:rsidR="00000000" w:rsidRDefault="00C56D69">
      <w:pPr>
        <w:rPr>
          <w:rFonts w:eastAsia="Times New Roman"/>
        </w:rPr>
      </w:pPr>
      <w:r>
        <w:rPr>
          <w:rFonts w:eastAsia="Times New Roman"/>
        </w:rPr>
        <w:pict>
          <v:rect id="_x0000_i1090" style="width:0;height:1.5pt" o:hralign="center" o:hrstd="t" o:hr="t" fillcolor="#a0a0a0" stroked="f"/>
        </w:pict>
      </w:r>
    </w:p>
    <w:p w:rsidR="00000000" w:rsidRDefault="00C56D69">
      <w:pPr>
        <w:divId w:val="167865212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812059753"/>
        <w:rPr>
          <w:rFonts w:eastAsia="Times New Roman"/>
        </w:rPr>
      </w:pPr>
      <w:r>
        <w:rPr>
          <w:rFonts w:eastAsia="Times New Roman"/>
          <w:b/>
          <w:bCs/>
          <w:color w:val="000000"/>
          <w:sz w:val="20"/>
          <w:szCs w:val="20"/>
        </w:rPr>
        <w:t>EQUITABLE HOLDINGS, INC.</w:t>
      </w:r>
    </w:p>
    <w:p w:rsidR="00000000" w:rsidRDefault="00C56D69">
      <w:pPr>
        <w:jc w:val="center"/>
        <w:divId w:val="81205975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812059753"/>
        <w:rPr>
          <w:rFonts w:eastAsia="Times New Roman"/>
        </w:rPr>
      </w:pPr>
    </w:p>
    <w:p w:rsidR="00000000" w:rsidRDefault="00C56D69">
      <w:pPr>
        <w:divId w:val="333535111"/>
        <w:rPr>
          <w:rFonts w:eastAsia="Times New Roman"/>
        </w:rPr>
      </w:pPr>
      <w:r>
        <w:rPr>
          <w:rFonts w:eastAsia="Times New Roman"/>
          <w:color w:val="000000"/>
          <w:sz w:val="20"/>
          <w:szCs w:val="20"/>
        </w:rPr>
        <w:t>As of September 30, 2022, the following three prescribed and permitted practices resulted in net income (loss) and capital and surplus that is different from the statutory surplus that would have been reported had NAIC statutory accounting practices been a</w:t>
      </w:r>
      <w:r>
        <w:rPr>
          <w:rFonts w:eastAsia="Times New Roman"/>
          <w:color w:val="000000"/>
          <w:sz w:val="20"/>
          <w:szCs w:val="20"/>
        </w:rPr>
        <w:t>pplied.</w:t>
      </w:r>
    </w:p>
    <w:p w:rsidR="00000000" w:rsidRDefault="00C56D69">
      <w:pPr>
        <w:divId w:val="42296082"/>
        <w:rPr>
          <w:rFonts w:eastAsia="Times New Roman"/>
        </w:rPr>
      </w:pPr>
      <w:r>
        <w:rPr>
          <w:rFonts w:eastAsia="Times New Roman"/>
          <w:color w:val="000000"/>
          <w:sz w:val="20"/>
          <w:szCs w:val="20"/>
        </w:rPr>
        <w:t xml:space="preserve">Equitable Financial was granted a permitted practice by the NYDFS to apply SSAP 108, Derivatives Hedging Variable Annuity Guarantees on a retroactive basis from January 1, 2021 through June 30, 2021, after reflecting the impacts of our reinsurance </w:t>
      </w:r>
      <w:r>
        <w:rPr>
          <w:rFonts w:eastAsia="Times New Roman"/>
          <w:color w:val="000000"/>
          <w:sz w:val="20"/>
          <w:szCs w:val="20"/>
        </w:rPr>
        <w:t>transaction with Venerable. The permitted practice was amended to also permit Equitable Financial to adopt SSAP 108 prospectively as of July 1, 2021 and to consider the impact of both the interest rate derivatives and the general account assets used to ful</w:t>
      </w:r>
      <w:r>
        <w:rPr>
          <w:rFonts w:eastAsia="Times New Roman"/>
          <w:color w:val="000000"/>
          <w:sz w:val="20"/>
          <w:szCs w:val="20"/>
        </w:rPr>
        <w:t>ly hedge the interest rate risk inherent in its variable annuity guarantees when determining the amount of the deferred asset or liability under SSAP 108. Application of the permitted practice partially mitigates the New York Insurance Regulation 213 (“Reg</w:t>
      </w:r>
      <w:r>
        <w:rPr>
          <w:rFonts w:eastAsia="Times New Roman"/>
          <w:color w:val="000000"/>
          <w:sz w:val="20"/>
          <w:szCs w:val="20"/>
        </w:rPr>
        <w:t xml:space="preserve"> 213”) impact of the Venerable Transaction on Equitable Financial’s statutory capital and surplus and enables Equitable Financial to more effectively neutralize the impact of interest rates on its statutory surplus and to better align with our economic hed</w:t>
      </w:r>
      <w:r>
        <w:rPr>
          <w:rFonts w:eastAsia="Times New Roman"/>
          <w:color w:val="000000"/>
          <w:sz w:val="20"/>
          <w:szCs w:val="20"/>
        </w:rPr>
        <w:t xml:space="preserve">ging program. The impact of applying this permitted practice relative to SSAP 108 as written was an increase of approximately $128 million in statutory special surplus funds and a decrease of $332 million and $1.2 billion in statutory net income as of and </w:t>
      </w:r>
      <w:r>
        <w:rPr>
          <w:rFonts w:eastAsia="Times New Roman"/>
          <w:color w:val="000000"/>
          <w:sz w:val="20"/>
          <w:szCs w:val="20"/>
        </w:rPr>
        <w:t>for the three and nine months ended September 30, 2022, respectively, which will be amortized over five years for each of the retrospective and prospective components. The permitted practice also reset Equitable Financial’s unassigned surplus to zero as of</w:t>
      </w:r>
      <w:r>
        <w:rPr>
          <w:rFonts w:eastAsia="Times New Roman"/>
          <w:color w:val="000000"/>
          <w:sz w:val="20"/>
          <w:szCs w:val="20"/>
        </w:rPr>
        <w:t xml:space="preserve"> June 30, 2021 to reflect the transformative nature of the Venerable Transaction. </w:t>
      </w:r>
    </w:p>
    <w:p w:rsidR="00000000" w:rsidRDefault="00C56D69">
      <w:pPr>
        <w:divId w:val="1244949428"/>
        <w:rPr>
          <w:rFonts w:eastAsia="Times New Roman"/>
        </w:rPr>
      </w:pPr>
      <w:r>
        <w:rPr>
          <w:rFonts w:eastAsia="Times New Roman"/>
          <w:color w:val="000000"/>
          <w:sz w:val="20"/>
          <w:szCs w:val="20"/>
        </w:rPr>
        <w:t xml:space="preserve">The NAIC Accounting Practices and Procedures manual (“NAIC SAP”) has been adopted as a component of prescribed or permitted practices by the State of New York. However, Reg </w:t>
      </w:r>
      <w:r>
        <w:rPr>
          <w:rFonts w:eastAsia="Times New Roman"/>
          <w:color w:val="000000"/>
          <w:sz w:val="20"/>
          <w:szCs w:val="20"/>
        </w:rPr>
        <w:t>213 adopted in May of 2019 and as amended in February 2020 and March 2021, differs from the NAIC variable annuity reserve and capital framework. Reg 213 requires Equitable Financial to carry statutory basis reserves for its variable annuity contract obliga</w:t>
      </w:r>
      <w:r>
        <w:rPr>
          <w:rFonts w:eastAsia="Times New Roman"/>
          <w:color w:val="000000"/>
          <w:sz w:val="20"/>
          <w:szCs w:val="20"/>
        </w:rPr>
        <w:t xml:space="preserve">tions equal to the greater of those required under (i) the NAIC standard or (ii) a revised version of the NYDFS requirement in effect prior to the adoption of the first amendment for contracts issued prior to January 1, 2020, and for policies issued after </w:t>
      </w:r>
      <w:r>
        <w:rPr>
          <w:rFonts w:eastAsia="Times New Roman"/>
          <w:color w:val="000000"/>
          <w:sz w:val="20"/>
          <w:szCs w:val="20"/>
        </w:rPr>
        <w:t xml:space="preserve">that date a new standard that in current market conditions imposes more conservative reserving requirements for variable annuity contracts than the NAIC standard. </w:t>
      </w:r>
    </w:p>
    <w:p w:rsidR="00000000" w:rsidRDefault="00C56D69">
      <w:pPr>
        <w:divId w:val="2074086499"/>
        <w:rPr>
          <w:rFonts w:eastAsia="Times New Roman"/>
        </w:rPr>
      </w:pPr>
      <w:r>
        <w:rPr>
          <w:rFonts w:eastAsia="Times New Roman"/>
          <w:color w:val="000000"/>
          <w:sz w:val="20"/>
          <w:szCs w:val="20"/>
        </w:rPr>
        <w:t>The impact of the application of Reg 213 was a decrease of approximately $2.2 billion in sta</w:t>
      </w:r>
      <w:r>
        <w:rPr>
          <w:rFonts w:eastAsia="Times New Roman"/>
          <w:color w:val="000000"/>
          <w:sz w:val="20"/>
          <w:szCs w:val="20"/>
        </w:rPr>
        <w:t>tutory surplus as of September 30, 2022 compared to statutory surplus under the NAIC variable annuity framework. Our hedging program is designed to hedge the economics of our insurance liabilities and largely offsets Reg 213 and NAIC framework reserve move</w:t>
      </w:r>
      <w:r>
        <w:rPr>
          <w:rFonts w:eastAsia="Times New Roman"/>
          <w:color w:val="000000"/>
          <w:sz w:val="20"/>
          <w:szCs w:val="20"/>
        </w:rPr>
        <w:t>ments due to interest rates and equities. The NYDFS allows domestic insurance companies a five year phase-in provision for Reg 213 reserves. As of September 30, 2022, Equitable Financial’s Reg 213 reserves are 100% phased-in. As of September 30, 2022, give</w:t>
      </w:r>
      <w:r>
        <w:rPr>
          <w:rFonts w:eastAsia="Times New Roman"/>
          <w:color w:val="000000"/>
          <w:sz w:val="20"/>
          <w:szCs w:val="20"/>
        </w:rPr>
        <w:t>n the prevailing market conditions and business mix, there are no Reg 213 redundant reserves over the US RBC CTE 98 total asset requirement (“TAR”). Finally, the continued application of Reg 213 resulted in a corresponding increase of $0.8 billion and a de</w:t>
      </w:r>
      <w:r>
        <w:rPr>
          <w:rFonts w:eastAsia="Times New Roman"/>
          <w:color w:val="000000"/>
          <w:sz w:val="20"/>
          <w:szCs w:val="20"/>
        </w:rPr>
        <w:t>crease of $0.9 billion in statutory net income for the three and nine months ended September 30, 2022, which was largely offset by net income gains on our hedging program during the same period as noted.</w:t>
      </w:r>
    </w:p>
    <w:p w:rsidR="00000000" w:rsidRDefault="00C56D69">
      <w:pPr>
        <w:divId w:val="1069501409"/>
        <w:rPr>
          <w:rFonts w:eastAsia="Times New Roman"/>
        </w:rPr>
      </w:pPr>
      <w:r>
        <w:rPr>
          <w:rFonts w:eastAsia="Times New Roman"/>
          <w:color w:val="000000"/>
          <w:sz w:val="20"/>
          <w:szCs w:val="20"/>
        </w:rPr>
        <w:t xml:space="preserve">During the fourth quarter 2020, Equitable Financial </w:t>
      </w:r>
      <w:r>
        <w:rPr>
          <w:rFonts w:eastAsia="Times New Roman"/>
          <w:color w:val="000000"/>
          <w:sz w:val="20"/>
          <w:szCs w:val="20"/>
        </w:rPr>
        <w:t>received approval from NYDFS for its proposed amended Plan of Operation for Separate Account No. 68 (“SA 68”) for our Structured Capital Strategies product and Separate Account No. 69 (“SA 69”) for our Equi-Vest product Structured Investment Option, to cha</w:t>
      </w:r>
      <w:r>
        <w:rPr>
          <w:rFonts w:eastAsia="Times New Roman"/>
          <w:color w:val="000000"/>
          <w:sz w:val="20"/>
          <w:szCs w:val="20"/>
        </w:rPr>
        <w:t>nge the accounting basis of these two non-insulated Separate Accounts from fair value to book value in accordance with Section 1414 of the Insurance Law to align with how we manage and measure our overall general account asset portfolio. In order to facili</w:t>
      </w:r>
      <w:r>
        <w:rPr>
          <w:rFonts w:eastAsia="Times New Roman"/>
          <w:color w:val="000000"/>
          <w:sz w:val="20"/>
          <w:szCs w:val="20"/>
        </w:rPr>
        <w:t xml:space="preserve">tate this change and comply with Section 4240(a)(10), the Company also sought approval to amend the Plans to remove the requirement to comply with Section 4240(a)(5)(iii) and substitute it with a commitment to comply with Section 4240(a)(5)(i). Similarly, </w:t>
      </w:r>
      <w:r>
        <w:rPr>
          <w:rFonts w:eastAsia="Times New Roman"/>
          <w:color w:val="000000"/>
          <w:sz w:val="20"/>
          <w:szCs w:val="20"/>
        </w:rPr>
        <w:t xml:space="preserve">the Company updated the reserves section of each Plan to reflect the fact that Regulation 128 would no longer be applicable upon the change in accounting basis. We applied this change effective January 1, 2021. The impact of the application is an increase </w:t>
      </w:r>
      <w:r>
        <w:rPr>
          <w:rFonts w:eastAsia="Times New Roman"/>
          <w:color w:val="000000"/>
          <w:sz w:val="20"/>
          <w:szCs w:val="20"/>
        </w:rPr>
        <w:t>of approximately $2.3 billion in statutory surplus and an increase in statutory net income as of and for the three and nine months ended September 30, 2022 of $426 million and $2.4 billion, respectively.</w:t>
      </w:r>
    </w:p>
    <w:p w:rsidR="00000000" w:rsidRDefault="00C56D69">
      <w:pPr>
        <w:jc w:val="center"/>
        <w:divId w:val="285308093"/>
        <w:rPr>
          <w:rFonts w:eastAsia="Times New Roman"/>
        </w:rPr>
      </w:pPr>
      <w:r>
        <w:rPr>
          <w:rFonts w:eastAsia="Times New Roman"/>
          <w:color w:val="000000"/>
          <w:sz w:val="20"/>
          <w:szCs w:val="20"/>
        </w:rPr>
        <w:t>65</w:t>
      </w:r>
    </w:p>
    <w:p w:rsidR="00000000" w:rsidRDefault="00C56D69">
      <w:pPr>
        <w:rPr>
          <w:rFonts w:eastAsia="Times New Roman"/>
        </w:rPr>
      </w:pPr>
      <w:r>
        <w:rPr>
          <w:rFonts w:eastAsia="Times New Roman"/>
        </w:rPr>
        <w:pict>
          <v:rect id="_x0000_i1091" style="width:0;height:1.5pt" o:hralign="center" o:hrstd="t" o:hr="t" fillcolor="#a0a0a0" stroked="f"/>
        </w:pict>
      </w:r>
    </w:p>
    <w:p w:rsidR="00000000" w:rsidRDefault="00C56D69">
      <w:pPr>
        <w:divId w:val="56834466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866212360"/>
        <w:rPr>
          <w:rFonts w:eastAsia="Times New Roman"/>
        </w:rPr>
      </w:pPr>
      <w:r>
        <w:rPr>
          <w:rFonts w:eastAsia="Times New Roman"/>
          <w:b/>
          <w:bCs/>
          <w:color w:val="000000"/>
          <w:sz w:val="20"/>
          <w:szCs w:val="20"/>
        </w:rPr>
        <w:t>EQUITABLE HOLDINGS, INC.</w:t>
      </w:r>
    </w:p>
    <w:p w:rsidR="00000000" w:rsidRDefault="00C56D69">
      <w:pPr>
        <w:jc w:val="center"/>
        <w:divId w:val="866212360"/>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866212360"/>
        <w:rPr>
          <w:rFonts w:eastAsia="Times New Roman"/>
        </w:rPr>
      </w:pPr>
    </w:p>
    <w:p w:rsidR="00000000" w:rsidRDefault="00C56D69">
      <w:pPr>
        <w:divId w:val="204607274"/>
        <w:rPr>
          <w:rFonts w:eastAsia="Times New Roman"/>
        </w:rPr>
      </w:pPr>
      <w:r>
        <w:rPr>
          <w:rFonts w:eastAsia="Times New Roman"/>
          <w:b/>
          <w:bCs/>
          <w:color w:val="000000"/>
          <w:sz w:val="20"/>
          <w:szCs w:val="20"/>
        </w:rPr>
        <w:t>14)    BUSINESS SEGMENT INFORMATION</w:t>
      </w:r>
    </w:p>
    <w:p w:rsidR="00000000" w:rsidRDefault="00C56D69">
      <w:pPr>
        <w:divId w:val="1033111506"/>
        <w:rPr>
          <w:rFonts w:eastAsia="Times New Roman"/>
        </w:rPr>
      </w:pPr>
      <w:r>
        <w:rPr>
          <w:rFonts w:eastAsia="Times New Roman"/>
          <w:color w:val="000000"/>
          <w:sz w:val="20"/>
          <w:szCs w:val="20"/>
        </w:rPr>
        <w:t xml:space="preserve">The Company has four </w:t>
      </w:r>
      <w:r>
        <w:rPr>
          <w:rFonts w:eastAsia="Times New Roman"/>
          <w:color w:val="000000"/>
          <w:sz w:val="20"/>
          <w:szCs w:val="20"/>
        </w:rPr>
        <w:t>reportable segments: Individual Retirement, Group Retirement, Investment Management and Research and Protection Solutions.</w:t>
      </w:r>
    </w:p>
    <w:p w:rsidR="00000000" w:rsidRDefault="00C56D69">
      <w:pPr>
        <w:divId w:val="244270833"/>
        <w:rPr>
          <w:rFonts w:eastAsia="Times New Roman"/>
        </w:rPr>
      </w:pPr>
      <w:r>
        <w:rPr>
          <w:rFonts w:eastAsia="Times New Roman"/>
          <w:color w:val="000000"/>
          <w:sz w:val="20"/>
          <w:szCs w:val="20"/>
        </w:rPr>
        <w:t>These segments reflect the manner by which the Company’s chief operating decision maker views and manages the business. A brief descr</w:t>
      </w:r>
      <w:r>
        <w:rPr>
          <w:rFonts w:eastAsia="Times New Roman"/>
          <w:color w:val="000000"/>
          <w:sz w:val="20"/>
          <w:szCs w:val="20"/>
        </w:rPr>
        <w:t>iption of these segments follows:</w:t>
      </w:r>
    </w:p>
    <w:p w:rsidR="00000000" w:rsidRDefault="00C56D69">
      <w:pPr>
        <w:ind w:hanging="360"/>
        <w:jc w:val="both"/>
        <w:divId w:val="462236228"/>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C56D69">
      <w:pPr>
        <w:ind w:hanging="360"/>
        <w:jc w:val="both"/>
        <w:divId w:val="27536552"/>
        <w:rPr>
          <w:rFonts w:eastAsia="Times New Roman"/>
        </w:rPr>
      </w:pPr>
      <w:r>
        <w:rPr>
          <w:rFonts w:eastAsia="Times New Roman"/>
          <w:color w:val="000000"/>
          <w:sz w:val="20"/>
          <w:szCs w:val="20"/>
        </w:rPr>
        <w:t>•The Group Reti</w:t>
      </w:r>
      <w:r>
        <w:rPr>
          <w:rFonts w:eastAsia="Times New Roman"/>
          <w:color w:val="000000"/>
          <w:sz w:val="20"/>
          <w:szCs w:val="20"/>
        </w:rPr>
        <w:t>rement segment offers tax-deferred investment and retirement services or products to plans sponsored by educational entities, municipalities and not-for-profit entities, as well as small and medium-sized businesses.</w:t>
      </w:r>
    </w:p>
    <w:p w:rsidR="00000000" w:rsidRDefault="00C56D69">
      <w:pPr>
        <w:ind w:hanging="360"/>
        <w:jc w:val="both"/>
        <w:divId w:val="1022128304"/>
        <w:rPr>
          <w:rFonts w:eastAsia="Times New Roman"/>
        </w:rPr>
      </w:pPr>
      <w:r>
        <w:rPr>
          <w:rFonts w:eastAsia="Times New Roman"/>
          <w:color w:val="000000"/>
          <w:sz w:val="20"/>
          <w:szCs w:val="20"/>
        </w:rPr>
        <w:t xml:space="preserve">•The Investment Management and Research </w:t>
      </w:r>
      <w:r>
        <w:rPr>
          <w:rFonts w:eastAsia="Times New Roman"/>
          <w:color w:val="000000"/>
          <w:sz w:val="20"/>
          <w:szCs w:val="20"/>
        </w:rPr>
        <w:t xml:space="preserve">segment provides diversified investment management, research and related solutions globally to a broad range of clients through three main client channels - Institutional, Retail and Private Wealth - and distributes its institutional research products and </w:t>
      </w:r>
      <w:r>
        <w:rPr>
          <w:rFonts w:eastAsia="Times New Roman"/>
          <w:color w:val="000000"/>
          <w:sz w:val="20"/>
          <w:szCs w:val="20"/>
        </w:rPr>
        <w:t>solutions through Bernstein Research Services.</w:t>
      </w:r>
    </w:p>
    <w:p w:rsidR="00000000" w:rsidRDefault="00C56D69">
      <w:pPr>
        <w:ind w:hanging="360"/>
        <w:divId w:val="1079669921"/>
        <w:rPr>
          <w:rFonts w:eastAsia="Times New Roman"/>
        </w:rPr>
      </w:pPr>
      <w:r>
        <w:rPr>
          <w:rFonts w:eastAsia="Times New Roman"/>
          <w:color w:val="000000"/>
          <w:sz w:val="20"/>
          <w:szCs w:val="20"/>
        </w:rPr>
        <w:t>•The Protection Solutions segment includes our life insurance and group employee benefits businesses. Our life insurance business offers a variety of VUL, UL and term life products to help affluent and high ne</w:t>
      </w:r>
      <w:r>
        <w:rPr>
          <w:rFonts w:eastAsia="Times New Roman"/>
          <w:color w:val="000000"/>
          <w:sz w:val="20"/>
          <w:szCs w:val="20"/>
        </w:rPr>
        <w:t xml:space="preserve">t worth individuals, as well as small and medium-sized business owners, with their wealth protection, wealth transfer and corporate needs. Our group employee benefits business offers a suite of dental, vision, life, and short- and long-term disability and </w:t>
      </w:r>
      <w:r>
        <w:rPr>
          <w:rFonts w:eastAsia="Times New Roman"/>
          <w:color w:val="000000"/>
          <w:sz w:val="20"/>
          <w:szCs w:val="20"/>
        </w:rPr>
        <w:t>other insurance products to small and medium-size businesses across the United States.</w:t>
      </w:r>
    </w:p>
    <w:p w:rsidR="00000000" w:rsidRDefault="00C56D69">
      <w:pPr>
        <w:divId w:val="1744378020"/>
        <w:rPr>
          <w:rFonts w:eastAsia="Times New Roman"/>
        </w:rPr>
      </w:pPr>
      <w:r>
        <w:rPr>
          <w:rFonts w:eastAsia="Times New Roman"/>
          <w:color w:val="000000"/>
          <w:sz w:val="20"/>
          <w:szCs w:val="20"/>
          <w:u w:val="single"/>
        </w:rPr>
        <w:t>Measurement</w:t>
      </w:r>
    </w:p>
    <w:p w:rsidR="00000000" w:rsidRDefault="00C56D69">
      <w:pPr>
        <w:divId w:val="1296594749"/>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w:t>
      </w:r>
      <w:r>
        <w:rPr>
          <w:rFonts w:eastAsia="Times New Roman"/>
          <w:color w:val="000000"/>
          <w:sz w:val="20"/>
          <w:szCs w:val="20"/>
        </w:rPr>
        <w:t>bility of the Company’s core business. By excluding items that can be distortive and unpredictable such as investment gains (losses) and investment income (loss) from derivative instruments, the Company believes operating earnings (loss) by segment enhance</w:t>
      </w:r>
      <w:r>
        <w:rPr>
          <w:rFonts w:eastAsia="Times New Roman"/>
          <w:color w:val="000000"/>
          <w:sz w:val="20"/>
          <w:szCs w:val="20"/>
        </w:rPr>
        <w:t>s the understanding of the Company’s underlying drivers of profitability and trends in the Company’s segments.</w:t>
      </w:r>
    </w:p>
    <w:p w:rsidR="00000000" w:rsidRDefault="00C56D69">
      <w:pPr>
        <w:divId w:val="2111654267"/>
        <w:rPr>
          <w:rFonts w:eastAsia="Times New Roman"/>
        </w:rPr>
      </w:pPr>
      <w:r>
        <w:rPr>
          <w:rFonts w:eastAsia="Times New Roman"/>
          <w:color w:val="000000"/>
          <w:sz w:val="20"/>
          <w:szCs w:val="20"/>
        </w:rPr>
        <w:t>Operating earnings is calculated by adjusting each segment’</w:t>
      </w:r>
      <w:r>
        <w:rPr>
          <w:rFonts w:eastAsia="Times New Roman"/>
          <w:color w:val="000000"/>
          <w:sz w:val="20"/>
          <w:szCs w:val="20"/>
        </w:rPr>
        <w:t>s net income (loss) attributable to Holdings for the following items:</w:t>
      </w:r>
    </w:p>
    <w:p w:rsidR="00000000" w:rsidRDefault="00C56D69">
      <w:pPr>
        <w:ind w:hanging="360"/>
        <w:jc w:val="both"/>
        <w:divId w:val="518130869"/>
        <w:rPr>
          <w:rFonts w:eastAsia="Times New Roman"/>
        </w:rPr>
      </w:pPr>
      <w:r>
        <w:rPr>
          <w:rFonts w:eastAsia="Times New Roman"/>
          <w:color w:val="000000"/>
          <w:sz w:val="20"/>
          <w:szCs w:val="20"/>
        </w:rPr>
        <w:t>•Items related to variable annuity product features, which include: (i) certain changes in the fair value of the derivatives and other securities we use to hedge these features; (ii) the</w:t>
      </w:r>
      <w:r>
        <w:rPr>
          <w:rFonts w:eastAsia="Times New Roman"/>
          <w:color w:val="000000"/>
          <w:sz w:val="20"/>
          <w:szCs w:val="20"/>
        </w:rPr>
        <w:t xml:space="preserve"> effect of benefit ratio unlock adjustments, including extraordinary economic conditions or events such as COVID-19; (iii) changes in the fair value of the embedded derivatives reflected within variable annuity products’ net derivative results and the impa</w:t>
      </w:r>
      <w:r>
        <w:rPr>
          <w:rFonts w:eastAsia="Times New Roman"/>
          <w:color w:val="000000"/>
          <w:sz w:val="20"/>
          <w:szCs w:val="20"/>
        </w:rPr>
        <w:t xml:space="preserve">ct of these items on DAC amortization on our SCS product; and (iv) DAC amortization for the SCS variable annuity product arising from near-term fluctuations in index segment returns; </w:t>
      </w:r>
    </w:p>
    <w:p w:rsidR="00000000" w:rsidRDefault="00C56D69">
      <w:pPr>
        <w:ind w:hanging="360"/>
        <w:jc w:val="both"/>
        <w:divId w:val="2078673444"/>
        <w:rPr>
          <w:rFonts w:eastAsia="Times New Roman"/>
        </w:rPr>
      </w:pPr>
      <w:r>
        <w:rPr>
          <w:rFonts w:eastAsia="Times New Roman"/>
          <w:color w:val="000000"/>
          <w:sz w:val="20"/>
          <w:szCs w:val="20"/>
        </w:rPr>
        <w:t>•Investment (gains) losses, which includes credit loss impairments of se</w:t>
      </w:r>
      <w:r>
        <w:rPr>
          <w:rFonts w:eastAsia="Times New Roman"/>
          <w:color w:val="000000"/>
          <w:sz w:val="20"/>
          <w:szCs w:val="20"/>
        </w:rPr>
        <w:t>curities/investments, sales or disposals of securities/investments, realized capital gains/losses and valuation allowances;</w:t>
      </w:r>
    </w:p>
    <w:p w:rsidR="00000000" w:rsidRDefault="00C56D69">
      <w:pPr>
        <w:ind w:hanging="360"/>
        <w:jc w:val="both"/>
        <w:divId w:val="415053103"/>
        <w:rPr>
          <w:rFonts w:eastAsia="Times New Roman"/>
        </w:rPr>
      </w:pPr>
      <w:r>
        <w:rPr>
          <w:rFonts w:eastAsia="Times New Roman"/>
          <w:color w:val="000000"/>
          <w:sz w:val="20"/>
          <w:szCs w:val="20"/>
        </w:rPr>
        <w:t>•Net actuarial (gains) losses, which includes actuarial gains and losses as a result of differences between actual and expected expe</w:t>
      </w:r>
      <w:r>
        <w:rPr>
          <w:rFonts w:eastAsia="Times New Roman"/>
          <w:color w:val="000000"/>
          <w:sz w:val="20"/>
          <w:szCs w:val="20"/>
        </w:rPr>
        <w:t>rience on pension plan assets or projected benefit obligation during a given period related to pension, other postretirement benefit obligations, and the one-time impact of the settlement of the defined benefit obligation;</w:t>
      </w:r>
    </w:p>
    <w:p w:rsidR="00000000" w:rsidRDefault="00C56D69">
      <w:pPr>
        <w:ind w:hanging="360"/>
        <w:jc w:val="both"/>
        <w:divId w:val="1543134507"/>
        <w:rPr>
          <w:rFonts w:eastAsia="Times New Roman"/>
        </w:rPr>
      </w:pPr>
      <w:r>
        <w:rPr>
          <w:rFonts w:eastAsia="Times New Roman"/>
          <w:color w:val="000000"/>
          <w:sz w:val="20"/>
          <w:szCs w:val="20"/>
        </w:rPr>
        <w:t>•Other adjustments, which primari</w:t>
      </w:r>
      <w:r>
        <w:rPr>
          <w:rFonts w:eastAsia="Times New Roman"/>
          <w:color w:val="000000"/>
          <w:sz w:val="20"/>
          <w:szCs w:val="20"/>
        </w:rPr>
        <w:t>ly include restructuring costs related to severance and separation, COVID-19 related impacts, net derivative gains (losses) on certain Non-GMxB derivatives, net investment income from certain items including consolidated VIE investments, seed capital mark-</w:t>
      </w:r>
      <w:r>
        <w:rPr>
          <w:rFonts w:eastAsia="Times New Roman"/>
          <w:color w:val="000000"/>
          <w:sz w:val="20"/>
          <w:szCs w:val="20"/>
        </w:rPr>
        <w:t>to-market adjustments, unrealized gain/losses associated with equity securities, certain legal accruals; and a bespoke deal to repurchase UL policies from one entity that had invested in numerous policies purchased in the life settlement market, which disp</w:t>
      </w:r>
      <w:r>
        <w:rPr>
          <w:rFonts w:eastAsia="Times New Roman"/>
          <w:color w:val="000000"/>
          <w:sz w:val="20"/>
          <w:szCs w:val="20"/>
        </w:rPr>
        <w:t xml:space="preserve">osed of the risk of additional COI litigation by that entity related to those UL policies; and </w:t>
      </w:r>
    </w:p>
    <w:p w:rsidR="00000000" w:rsidRDefault="00C56D69">
      <w:pPr>
        <w:ind w:hanging="360"/>
        <w:divId w:val="1527862324"/>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w:t>
      </w:r>
      <w:r>
        <w:rPr>
          <w:rFonts w:eastAsia="Times New Roman"/>
          <w:color w:val="000000"/>
          <w:sz w:val="20"/>
          <w:szCs w:val="20"/>
        </w:rPr>
        <w:t>iod.</w:t>
      </w:r>
    </w:p>
    <w:p w:rsidR="00000000" w:rsidRDefault="00C56D69">
      <w:pPr>
        <w:jc w:val="center"/>
        <w:divId w:val="1561556887"/>
        <w:rPr>
          <w:rFonts w:eastAsia="Times New Roman"/>
        </w:rPr>
      </w:pPr>
      <w:r>
        <w:rPr>
          <w:rFonts w:eastAsia="Times New Roman"/>
          <w:color w:val="000000"/>
          <w:sz w:val="20"/>
          <w:szCs w:val="20"/>
        </w:rPr>
        <w:t>66</w:t>
      </w:r>
    </w:p>
    <w:p w:rsidR="00000000" w:rsidRDefault="00C56D69">
      <w:pPr>
        <w:rPr>
          <w:rFonts w:eastAsia="Times New Roman"/>
        </w:rPr>
      </w:pPr>
      <w:r>
        <w:rPr>
          <w:rFonts w:eastAsia="Times New Roman"/>
        </w:rPr>
        <w:pict>
          <v:rect id="_x0000_i1092" style="width:0;height:1.5pt" o:hralign="center" o:hrstd="t" o:hr="t" fillcolor="#a0a0a0" stroked="f"/>
        </w:pict>
      </w:r>
    </w:p>
    <w:p w:rsidR="00000000" w:rsidRDefault="00C56D69">
      <w:pPr>
        <w:divId w:val="111517051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197742394"/>
        <w:rPr>
          <w:rFonts w:eastAsia="Times New Roman"/>
        </w:rPr>
      </w:pPr>
      <w:r>
        <w:rPr>
          <w:rFonts w:eastAsia="Times New Roman"/>
          <w:b/>
          <w:bCs/>
          <w:color w:val="000000"/>
          <w:sz w:val="20"/>
          <w:szCs w:val="20"/>
        </w:rPr>
        <w:t>EQUITABLE HOLDINGS, INC.</w:t>
      </w:r>
    </w:p>
    <w:p w:rsidR="00000000" w:rsidRDefault="00C56D69">
      <w:pPr>
        <w:jc w:val="center"/>
        <w:divId w:val="1197742394"/>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197742394"/>
        <w:rPr>
          <w:rFonts w:eastAsia="Times New Roman"/>
        </w:rPr>
      </w:pPr>
    </w:p>
    <w:p w:rsidR="00000000" w:rsidRDefault="00C56D69">
      <w:pPr>
        <w:divId w:val="1746534661"/>
        <w:rPr>
          <w:rFonts w:eastAsia="Times New Roman"/>
        </w:rPr>
      </w:pPr>
      <w:r>
        <w:rPr>
          <w:rFonts w:eastAsia="Times New Roman"/>
          <w:color w:val="000000"/>
          <w:sz w:val="20"/>
          <w:szCs w:val="20"/>
        </w:rPr>
        <w:t>In the first quarter 2022, the Company upd</w:t>
      </w:r>
      <w:r>
        <w:rPr>
          <w:rFonts w:eastAsia="Times New Roman"/>
          <w:color w:val="000000"/>
          <w:sz w:val="20"/>
          <w:szCs w:val="20"/>
        </w:rPr>
        <w:t>ated its Operating earnings measure to exclude the DAC amortization impact of near-term fluctuations in indexed segment returns on the SCS variable annuity product to reflect the impact of market fluctuations consistently with the long term duration of the</w:t>
      </w:r>
      <w:r>
        <w:rPr>
          <w:rFonts w:eastAsia="Times New Roman"/>
          <w:color w:val="000000"/>
          <w:sz w:val="20"/>
          <w:szCs w:val="20"/>
        </w:rPr>
        <w:t xml:space="preserve"> product. Operating earnings was favorably impacted by this change in the amount of $24 million and $94 million for the three and nine months ended September 30, 2022, respectively. The presentation of Operating earnings in prior periods was not revised to</w:t>
      </w:r>
      <w:r>
        <w:rPr>
          <w:rFonts w:eastAsia="Times New Roman"/>
          <w:color w:val="000000"/>
          <w:sz w:val="20"/>
          <w:szCs w:val="20"/>
        </w:rPr>
        <w:t xml:space="preserve"> reflect this modification, however, the Company estimated that had the treatment in the Company’s Operating earnings measure of the Amortization of DAC for SCS been modified in 2020, the pre-tax impact on Operating earnings of excluding the SCS-related DA</w:t>
      </w:r>
      <w:r>
        <w:rPr>
          <w:rFonts w:eastAsia="Times New Roman"/>
          <w:color w:val="000000"/>
          <w:sz w:val="20"/>
          <w:szCs w:val="20"/>
        </w:rPr>
        <w:t>C amortization from Operating earnings would have been an increase of $7 million for the three months ended September 30, 2021, and a decrease of $7 million, $16 million and $34 million for the nine months ended September 30, 2021, and years ended December</w:t>
      </w:r>
      <w:r>
        <w:rPr>
          <w:rFonts w:eastAsia="Times New Roman"/>
          <w:color w:val="000000"/>
          <w:sz w:val="20"/>
          <w:szCs w:val="20"/>
        </w:rPr>
        <w:t xml:space="preserve"> 31, 2021 and 2020, respectively. </w:t>
      </w:r>
    </w:p>
    <w:p w:rsidR="00000000" w:rsidRDefault="00C56D69">
      <w:pPr>
        <w:divId w:val="754666063"/>
        <w:rPr>
          <w:rFonts w:eastAsia="Times New Roman"/>
        </w:rPr>
      </w:pPr>
      <w:r>
        <w:rPr>
          <w:rFonts w:eastAsia="Times New Roman"/>
          <w:color w:val="000000"/>
          <w:sz w:val="20"/>
          <w:szCs w:val="20"/>
        </w:rPr>
        <w:t>The General Account investment portfolio is used to support the insurance and annuity liabilities of our Individual Retirement, Group Retirement and Protection Solutions businesses segments. In the first quarter 2022, the</w:t>
      </w:r>
      <w:r>
        <w:rPr>
          <w:rFonts w:eastAsia="Times New Roman"/>
          <w:color w:val="000000"/>
          <w:sz w:val="20"/>
          <w:szCs w:val="20"/>
        </w:rPr>
        <w:t xml:space="preserve"> Company changed its methodology for allocating its General Account investment portfolio, which resulted in a change in the asset and net investment income allocation amongst the Company’s business segments. Following this change the segmentation of the ge</w:t>
      </w:r>
      <w:r>
        <w:rPr>
          <w:rFonts w:eastAsia="Times New Roman"/>
          <w:color w:val="000000"/>
          <w:sz w:val="20"/>
          <w:szCs w:val="20"/>
        </w:rPr>
        <w:t>neral account investments is now more closely aligned with the liability characteristics of the product groups. Management determined that the change in the allocation methodology allows for improved flexibility and infuses an active asset liability manage</w:t>
      </w:r>
      <w:r>
        <w:rPr>
          <w:rFonts w:eastAsia="Times New Roman"/>
          <w:color w:val="000000"/>
          <w:sz w:val="20"/>
          <w:szCs w:val="20"/>
        </w:rPr>
        <w:t>ment practice into the segmentation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incl</w:t>
      </w:r>
      <w:r>
        <w:rPr>
          <w:rFonts w:eastAsia="Times New Roman"/>
          <w:color w:val="000000"/>
          <w:sz w:val="20"/>
          <w:szCs w:val="20"/>
        </w:rPr>
        <w:t>udes the investment income on the assets less interest credited on the funding agreements. The net spread as reflected in net investment income is allocated to the segments based on the percentage of the individual segment insurance liabilities over the co</w:t>
      </w:r>
      <w:r>
        <w:rPr>
          <w:rFonts w:eastAsia="Times New Roman"/>
          <w:color w:val="000000"/>
          <w:sz w:val="20"/>
          <w:szCs w:val="20"/>
        </w:rPr>
        <w:t xml:space="preserve">mbined segments insurance liabilities. </w:t>
      </w:r>
    </w:p>
    <w:p w:rsidR="00000000" w:rsidRDefault="00C56D69">
      <w:pPr>
        <w:divId w:val="1224023373"/>
        <w:rPr>
          <w:rFonts w:eastAsia="Times New Roman"/>
        </w:rPr>
      </w:pPr>
      <w:r>
        <w:rPr>
          <w:rFonts w:eastAsia="Times New Roman"/>
          <w:color w:val="000000"/>
          <w:sz w:val="20"/>
          <w:szCs w:val="20"/>
        </w:rPr>
        <w:t>This</w:t>
      </w:r>
      <w:r>
        <w:rPr>
          <w:rFonts w:eastAsia="Times New Roman"/>
          <w:color w:val="000000"/>
          <w:sz w:val="20"/>
          <w:szCs w:val="20"/>
        </w:rPr>
        <w:t> </w:t>
      </w:r>
      <w:r>
        <w:rPr>
          <w:rFonts w:eastAsia="Times New Roman"/>
          <w:color w:val="000000"/>
          <w:sz w:val="20"/>
          <w:szCs w:val="20"/>
        </w:rPr>
        <w:t>change</w:t>
      </w:r>
      <w:r>
        <w:rPr>
          <w:rFonts w:eastAsia="Times New Roman"/>
          <w:color w:val="000000"/>
          <w:sz w:val="20"/>
          <w:szCs w:val="20"/>
        </w:rPr>
        <w:t> </w:t>
      </w:r>
      <w:r>
        <w:rPr>
          <w:rFonts w:eastAsia="Times New Roman"/>
          <w:color w:val="000000"/>
          <w:sz w:val="20"/>
          <w:szCs w:val="20"/>
        </w:rPr>
        <w:t>in</w:t>
      </w:r>
      <w:r>
        <w:rPr>
          <w:rFonts w:eastAsia="Times New Roman"/>
          <w:color w:val="000000"/>
          <w:sz w:val="20"/>
          <w:szCs w:val="20"/>
        </w:rPr>
        <w:t> </w:t>
      </w:r>
      <w:r>
        <w:rPr>
          <w:rFonts w:eastAsia="Times New Roman"/>
          <w:color w:val="000000"/>
          <w:sz w:val="20"/>
          <w:szCs w:val="20"/>
        </w:rPr>
        <w:t>measurement</w:t>
      </w:r>
      <w:r>
        <w:rPr>
          <w:rFonts w:eastAsia="Times New Roman"/>
          <w:color w:val="000000"/>
          <w:sz w:val="20"/>
          <w:szCs w:val="20"/>
        </w:rPr>
        <w:t> </w:t>
      </w:r>
      <w:r>
        <w:rPr>
          <w:rFonts w:eastAsia="Times New Roman"/>
          <w:color w:val="000000"/>
          <w:sz w:val="20"/>
          <w:szCs w:val="20"/>
        </w:rPr>
        <w:t>only impacts our segment disclosures, and thus it has no impact on our overall consolidated financial statements. Historical segment operating income (loss), revenues and assets have not be</w:t>
      </w:r>
      <w:r>
        <w:rPr>
          <w:rFonts w:eastAsia="Times New Roman"/>
          <w:color w:val="000000"/>
          <w:sz w:val="20"/>
          <w:szCs w:val="20"/>
        </w:rPr>
        <w:t xml:space="preserve">en recast in the tables as the impact was immaterial. </w:t>
      </w:r>
    </w:p>
    <w:p w:rsidR="00000000" w:rsidRDefault="00C56D69">
      <w:pPr>
        <w:divId w:val="620769780"/>
        <w:rPr>
          <w:rFonts w:eastAsia="Times New Roman"/>
        </w:rPr>
      </w:pPr>
      <w:r>
        <w:rPr>
          <w:rFonts w:eastAsia="Times New Roman"/>
          <w:color w:val="000000"/>
          <w:sz w:val="20"/>
          <w:szCs w:val="20"/>
        </w:rPr>
        <w:t>Revenues derived from any customer did not exceed 10% of revenues for the three and nine months ended September 30, 2022 and 2021.</w:t>
      </w:r>
    </w:p>
    <w:p w:rsidR="00000000" w:rsidRDefault="00C56D69">
      <w:pPr>
        <w:divId w:val="1836142503"/>
        <w:rPr>
          <w:rFonts w:eastAsia="Times New Roman"/>
        </w:rPr>
      </w:pPr>
      <w:r>
        <w:rPr>
          <w:rFonts w:eastAsia="Times New Roman"/>
          <w:color w:val="000000"/>
          <w:sz w:val="20"/>
          <w:szCs w:val="20"/>
        </w:rPr>
        <w:t>The table below presents operating earnings (loss) by segment and Corp</w:t>
      </w:r>
      <w:r>
        <w:rPr>
          <w:rFonts w:eastAsia="Times New Roman"/>
          <w:color w:val="000000"/>
          <w:sz w:val="20"/>
          <w:szCs w:val="20"/>
        </w:rPr>
        <w:t>orate and Other and a reconciliation to net income (loss) attributable to Holdings for the three and nine months ended September 30,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773"/>
        <w:gridCol w:w="39"/>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6"/>
        <w:gridCol w:w="36"/>
        <w:gridCol w:w="36"/>
        <w:gridCol w:w="36"/>
        <w:gridCol w:w="36"/>
        <w:gridCol w:w="36"/>
        <w:gridCol w:w="36"/>
        <w:gridCol w:w="36"/>
      </w:tblGrid>
      <w:tr w:rsidR="00000000">
        <w:trPr>
          <w:divId w:val="337117548"/>
        </w:trPr>
        <w:tc>
          <w:tcPr>
            <w:tcW w:w="50" w:type="pct"/>
            <w:vAlign w:val="center"/>
            <w:hideMark/>
          </w:tcPr>
          <w:p w:rsidR="00000000" w:rsidRDefault="00C56D69">
            <w:pPr>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(2,639)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3,632 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adjustments (1) (2)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Income tax expense (benefit) related to above adjustments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Non-recurring tax items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Operating earnings (loss) by segment: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Individual Retirement</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Group Retirement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Management and Research</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Protection Solutions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33711754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Corporate and Other (4)</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720"/>
        <w:divId w:val="633292830"/>
        <w:rPr>
          <w:rFonts w:eastAsia="Times New Roman"/>
        </w:rPr>
      </w:pPr>
      <w:r>
        <w:rPr>
          <w:rFonts w:eastAsia="Times New Roman"/>
          <w:color w:val="000000"/>
          <w:sz w:val="18"/>
          <w:szCs w:val="18"/>
        </w:rPr>
        <w:t>______________</w:t>
      </w:r>
    </w:p>
    <w:p w:rsidR="00000000" w:rsidRDefault="00C56D69">
      <w:pPr>
        <w:jc w:val="center"/>
        <w:divId w:val="1099761173"/>
        <w:rPr>
          <w:rFonts w:eastAsia="Times New Roman"/>
        </w:rPr>
      </w:pPr>
      <w:r>
        <w:rPr>
          <w:rFonts w:eastAsia="Times New Roman"/>
          <w:color w:val="000000"/>
          <w:sz w:val="20"/>
          <w:szCs w:val="20"/>
        </w:rPr>
        <w:t>67</w:t>
      </w:r>
    </w:p>
    <w:p w:rsidR="00000000" w:rsidRDefault="00C56D69">
      <w:pPr>
        <w:rPr>
          <w:rFonts w:eastAsia="Times New Roman"/>
        </w:rPr>
      </w:pPr>
      <w:r>
        <w:rPr>
          <w:rFonts w:eastAsia="Times New Roman"/>
        </w:rPr>
        <w:pict>
          <v:rect id="_x0000_i1093" style="width:0;height:1.5pt" o:hralign="center" o:hrstd="t" o:hr="t" fillcolor="#a0a0a0" stroked="f"/>
        </w:pict>
      </w:r>
    </w:p>
    <w:p w:rsidR="00000000" w:rsidRDefault="00C56D69">
      <w:pPr>
        <w:divId w:val="58002429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047490819"/>
        <w:rPr>
          <w:rFonts w:eastAsia="Times New Roman"/>
        </w:rPr>
      </w:pPr>
      <w:r>
        <w:rPr>
          <w:rFonts w:eastAsia="Times New Roman"/>
          <w:b/>
          <w:bCs/>
          <w:color w:val="000000"/>
          <w:sz w:val="20"/>
          <w:szCs w:val="20"/>
        </w:rPr>
        <w:t>EQUITABLE HOLDINGS, INC.</w:t>
      </w:r>
    </w:p>
    <w:p w:rsidR="00000000" w:rsidRDefault="00C56D69">
      <w:pPr>
        <w:jc w:val="center"/>
        <w:divId w:val="1047490819"/>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047490819"/>
        <w:rPr>
          <w:rFonts w:eastAsia="Times New Roman"/>
        </w:rPr>
      </w:pPr>
    </w:p>
    <w:p w:rsidR="00000000" w:rsidRDefault="00C56D69">
      <w:pPr>
        <w:ind w:hanging="360"/>
        <w:divId w:val="770785320"/>
        <w:rPr>
          <w:rFonts w:eastAsia="Times New Roman"/>
        </w:rPr>
      </w:pPr>
      <w:r>
        <w:rPr>
          <w:rFonts w:eastAsia="Times New Roman"/>
          <w:color w:val="000000"/>
          <w:sz w:val="18"/>
          <w:szCs w:val="18"/>
        </w:rPr>
        <w:t>(1)Includes separation costs of $25 million and $62 million for the three and nine months ended September 30, 2021, respectively. Separation costs were completed d</w:t>
      </w:r>
      <w:r>
        <w:rPr>
          <w:rFonts w:eastAsia="Times New Roman"/>
          <w:color w:val="000000"/>
          <w:sz w:val="18"/>
          <w:szCs w:val="18"/>
        </w:rPr>
        <w:t>uring 2021.</w:t>
      </w:r>
    </w:p>
    <w:p w:rsidR="00000000" w:rsidRDefault="00C56D69">
      <w:pPr>
        <w:ind w:hanging="360"/>
        <w:divId w:val="1617366210"/>
        <w:rPr>
          <w:rFonts w:eastAsia="Times New Roman"/>
        </w:rPr>
      </w:pPr>
      <w:r>
        <w:rPr>
          <w:rFonts w:eastAsia="Times New Roman"/>
          <w:color w:val="000000"/>
          <w:sz w:val="18"/>
          <w:szCs w:val="18"/>
        </w:rPr>
        <w:t>(2)Includes certain gross legal expenses related to the COI litigation of</w:t>
      </w:r>
      <w:r>
        <w:rPr>
          <w:rFonts w:eastAsia="Times New Roman"/>
          <w:color w:val="000000"/>
          <w:sz w:val="18"/>
          <w:szCs w:val="18"/>
          <w:shd w:val="clear" w:color="auto" w:fill="FFFFFF"/>
        </w:rPr>
        <w:t xml:space="preserve"> $2 million, $0 million, $168 million</w:t>
      </w:r>
      <w:r>
        <w:rPr>
          <w:rFonts w:eastAsia="Times New Roman"/>
          <w:color w:val="000000"/>
          <w:sz w:val="18"/>
          <w:szCs w:val="18"/>
        </w:rPr>
        <w:t xml:space="preserve"> and $180 million for the three and nine months ended September 30, 2022 and 2021, respectively. Includes policyholder benefit costs o</w:t>
      </w:r>
      <w:r>
        <w:rPr>
          <w:rFonts w:eastAsia="Times New Roman"/>
          <w:color w:val="000000"/>
          <w:sz w:val="18"/>
          <w:szCs w:val="18"/>
        </w:rPr>
        <w:t xml:space="preserve">f $0 million and $75 million for the three and nine months ended September 30, 2022 stemming from a deal to repurchase UL policies from one entity that had invested in numerous policies purchased in the life settlement market. </w:t>
      </w:r>
    </w:p>
    <w:p w:rsidR="00000000" w:rsidRDefault="00C56D69">
      <w:pPr>
        <w:ind w:hanging="360"/>
        <w:divId w:val="1732845926"/>
        <w:rPr>
          <w:rFonts w:eastAsia="Times New Roman"/>
        </w:rPr>
      </w:pPr>
      <w:r>
        <w:rPr>
          <w:rFonts w:eastAsia="Times New Roman"/>
          <w:color w:val="000000"/>
          <w:sz w:val="18"/>
          <w:szCs w:val="18"/>
        </w:rPr>
        <w:t>(3)Includes Non-GMxB related</w:t>
      </w:r>
      <w:r>
        <w:rPr>
          <w:rFonts w:eastAsia="Times New Roman"/>
          <w:color w:val="000000"/>
          <w:sz w:val="18"/>
          <w:szCs w:val="18"/>
        </w:rPr>
        <w:t xml:space="preserve"> derivative hedge gains and losses of ($28) million, ($4) million, ($68) million and $140 million for the three and nine months ended September 30, 2022 and 2021, respectively.</w:t>
      </w:r>
    </w:p>
    <w:p w:rsidR="00000000" w:rsidRDefault="00C56D69">
      <w:pPr>
        <w:ind w:hanging="360"/>
        <w:divId w:val="1716614491"/>
        <w:rPr>
          <w:rFonts w:eastAsia="Times New Roman"/>
        </w:rPr>
      </w:pPr>
      <w:r>
        <w:rPr>
          <w:rFonts w:eastAsia="Times New Roman"/>
          <w:color w:val="000000"/>
          <w:sz w:val="18"/>
          <w:szCs w:val="18"/>
        </w:rPr>
        <w:t>(4)Includes interest expense and financing fees of $51 million, $65 million, $1</w:t>
      </w:r>
      <w:r>
        <w:rPr>
          <w:rFonts w:eastAsia="Times New Roman"/>
          <w:color w:val="000000"/>
          <w:sz w:val="18"/>
          <w:szCs w:val="18"/>
        </w:rPr>
        <w:t>56 million and $180 million for the three and nine months ended September 30, 2022 and 2021, respectively.</w:t>
      </w:r>
    </w:p>
    <w:p w:rsidR="00000000" w:rsidRDefault="00C56D69">
      <w:pPr>
        <w:ind w:firstLine="360"/>
        <w:divId w:val="1329603202"/>
        <w:rPr>
          <w:rFonts w:eastAsia="Times New Roman"/>
        </w:rPr>
      </w:pPr>
    </w:p>
    <w:p w:rsidR="00000000" w:rsidRDefault="00C56D69">
      <w:pPr>
        <w:divId w:val="1833134503"/>
        <w:rPr>
          <w:rFonts w:eastAsia="Times New Roman"/>
        </w:rPr>
      </w:pPr>
      <w:r>
        <w:rPr>
          <w:rFonts w:eastAsia="Times New Roman"/>
          <w:color w:val="000000"/>
          <w:sz w:val="20"/>
          <w:szCs w:val="20"/>
        </w:rPr>
        <w:t>Segment revenues is a measure of the Company’s revenue by segment as adjusted to exclude certain items. The following table reconciles segment reve</w:t>
      </w:r>
      <w:r>
        <w:rPr>
          <w:rFonts w:eastAsia="Times New Roman"/>
          <w:color w:val="000000"/>
          <w:sz w:val="20"/>
          <w:szCs w:val="20"/>
        </w:rPr>
        <w:t>nues to total revenues by excluding the following items:</w:t>
      </w:r>
    </w:p>
    <w:p w:rsidR="00000000" w:rsidRDefault="00C56D69">
      <w:pPr>
        <w:ind w:hanging="360"/>
        <w:jc w:val="both"/>
        <w:divId w:val="1675381098"/>
        <w:rPr>
          <w:rFonts w:eastAsia="Times New Roman"/>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w:t>
      </w:r>
      <w:r>
        <w:rPr>
          <w:rFonts w:eastAsia="Times New Roman"/>
          <w:color w:val="000000"/>
          <w:sz w:val="20"/>
          <w:szCs w:val="20"/>
        </w:rPr>
        <w:t>ue of the embedded derivatives reflected within the net derivative results of variable annuity product features;</w:t>
      </w:r>
    </w:p>
    <w:p w:rsidR="00000000" w:rsidRDefault="00C56D69">
      <w:pPr>
        <w:ind w:hanging="360"/>
        <w:jc w:val="both"/>
        <w:divId w:val="96679501"/>
        <w:rPr>
          <w:rFonts w:eastAsia="Times New Roman"/>
        </w:rPr>
      </w:pPr>
      <w:r>
        <w:rPr>
          <w:rFonts w:eastAsia="Times New Roman"/>
          <w:color w:val="000000"/>
          <w:sz w:val="20"/>
          <w:szCs w:val="20"/>
        </w:rPr>
        <w:t>•Investment (gains) losses, which includes credit loss impairments of securities/investments, sales or disposals of securities/investments, rea</w:t>
      </w:r>
      <w:r>
        <w:rPr>
          <w:rFonts w:eastAsia="Times New Roman"/>
          <w:color w:val="000000"/>
          <w:sz w:val="20"/>
          <w:szCs w:val="20"/>
        </w:rPr>
        <w:t xml:space="preserve">lized capital gains/losses and valuation allowances; </w:t>
      </w:r>
    </w:p>
    <w:p w:rsidR="00000000" w:rsidRDefault="00C56D69">
      <w:pPr>
        <w:ind w:hanging="360"/>
        <w:divId w:val="811294876"/>
        <w:rPr>
          <w:rFonts w:eastAsia="Times New Roman"/>
        </w:rPr>
      </w:pPr>
      <w:r>
        <w:rPr>
          <w:rFonts w:eastAsia="Times New Roman"/>
          <w:color w:val="000000"/>
          <w:sz w:val="20"/>
          <w:szCs w:val="20"/>
        </w:rPr>
        <w:t>•Other adjustments, which primarily includes net derivative gains (losses) on certain Non-GMxB derivatives and net investment income from certain items including consolidated VIE investments, seed capit</w:t>
      </w:r>
      <w:r>
        <w:rPr>
          <w:rFonts w:eastAsia="Times New Roman"/>
          <w:color w:val="000000"/>
          <w:sz w:val="20"/>
          <w:szCs w:val="20"/>
        </w:rPr>
        <w:t>al mark-to-market adjustments and unrealized gain/losses associated with equity securities.</w:t>
      </w:r>
    </w:p>
    <w:p w:rsidR="00000000" w:rsidRDefault="00C56D69">
      <w:pPr>
        <w:divId w:val="1939364116"/>
        <w:rPr>
          <w:rFonts w:eastAsia="Times New Roman"/>
        </w:rPr>
      </w:pPr>
      <w:r>
        <w:rPr>
          <w:rFonts w:eastAsia="Times New Roman"/>
          <w:color w:val="000000"/>
          <w:sz w:val="20"/>
          <w:szCs w:val="20"/>
        </w:rPr>
        <w:t>The table below presents segment revenues for the three and nine months ended September 30, 2022 and 2021.</w:t>
      </w:r>
    </w:p>
    <w:tbl>
      <w:tblPr>
        <w:tblW w:w="4846" w:type="pct"/>
        <w:jc w:val="center"/>
        <w:tblCellMar>
          <w:top w:w="15" w:type="dxa"/>
          <w:left w:w="15" w:type="dxa"/>
          <w:bottom w:w="15" w:type="dxa"/>
          <w:right w:w="15" w:type="dxa"/>
        </w:tblCellMar>
        <w:tblLook w:val="04A0" w:firstRow="1" w:lastRow="0" w:firstColumn="1" w:lastColumn="0" w:noHBand="0" w:noVBand="1"/>
      </w:tblPr>
      <w:tblGrid>
        <w:gridCol w:w="39"/>
        <w:gridCol w:w="4517"/>
        <w:gridCol w:w="38"/>
        <w:gridCol w:w="120"/>
        <w:gridCol w:w="588"/>
        <w:gridCol w:w="36"/>
        <w:gridCol w:w="36"/>
        <w:gridCol w:w="36"/>
        <w:gridCol w:w="36"/>
        <w:gridCol w:w="120"/>
        <w:gridCol w:w="589"/>
        <w:gridCol w:w="36"/>
        <w:gridCol w:w="36"/>
        <w:gridCol w:w="36"/>
        <w:gridCol w:w="36"/>
        <w:gridCol w:w="120"/>
        <w:gridCol w:w="600"/>
        <w:gridCol w:w="36"/>
        <w:gridCol w:w="36"/>
        <w:gridCol w:w="36"/>
        <w:gridCol w:w="36"/>
        <w:gridCol w:w="120"/>
        <w:gridCol w:w="515"/>
        <w:gridCol w:w="36"/>
        <w:gridCol w:w="36"/>
        <w:gridCol w:w="36"/>
        <w:gridCol w:w="36"/>
        <w:gridCol w:w="36"/>
        <w:gridCol w:w="36"/>
        <w:gridCol w:w="36"/>
      </w:tblGrid>
      <w:tr w:rsidR="00000000">
        <w:trPr>
          <w:divId w:val="1196506271"/>
          <w:jc w:val="center"/>
        </w:trPr>
        <w:tc>
          <w:tcPr>
            <w:tcW w:w="50" w:type="pct"/>
            <w:vAlign w:val="center"/>
            <w:hideMark/>
          </w:tcPr>
          <w:p w:rsidR="00000000" w:rsidRDefault="00C56D69">
            <w:pPr>
              <w:rPr>
                <w:rFonts w:eastAsia="Times New Roman"/>
              </w:rPr>
            </w:pPr>
          </w:p>
        </w:tc>
        <w:tc>
          <w:tcPr>
            <w:tcW w:w="29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tcMar>
              <w:top w:w="30" w:type="dxa"/>
              <w:left w:w="20" w:type="dxa"/>
              <w:bottom w:w="30" w:type="dxa"/>
              <w:right w:w="20" w:type="dxa"/>
            </w:tcMar>
            <w:vAlign w:val="bottom"/>
            <w:hideMark/>
          </w:tcPr>
          <w:p w:rsidR="00000000" w:rsidRDefault="00C56D69">
            <w:pPr>
              <w:spacing w:after="100"/>
              <w:divId w:val="2127848146"/>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tcMar>
              <w:top w:w="30" w:type="dxa"/>
              <w:left w:w="20" w:type="dxa"/>
              <w:bottom w:w="30" w:type="dxa"/>
              <w:right w:w="20" w:type="dxa"/>
            </w:tcMar>
            <w:vAlign w:val="bottom"/>
            <w:hideMark/>
          </w:tcPr>
          <w:p w:rsidR="00000000" w:rsidRDefault="00C56D69">
            <w:pPr>
              <w:spacing w:after="100"/>
              <w:divId w:val="729811889"/>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Segment revenues: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Group Retirement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Management and Research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Protection Solutions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1,199 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(3,750)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adjustments to segment revenues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96506271"/>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revenues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12,121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7,718 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860704093"/>
        <w:rPr>
          <w:rFonts w:eastAsia="Times New Roman"/>
        </w:rPr>
      </w:pPr>
      <w:r>
        <w:rPr>
          <w:rFonts w:eastAsia="Times New Roman"/>
          <w:color w:val="000000"/>
          <w:sz w:val="18"/>
          <w:szCs w:val="18"/>
        </w:rPr>
        <w:t>______________</w:t>
      </w:r>
    </w:p>
    <w:p w:rsidR="00000000" w:rsidRDefault="00C56D69">
      <w:pPr>
        <w:ind w:hanging="360"/>
        <w:divId w:val="2019892724"/>
        <w:rPr>
          <w:rFonts w:eastAsia="Times New Roman"/>
        </w:rPr>
      </w:pPr>
      <w:r>
        <w:rPr>
          <w:rFonts w:eastAsia="Times New Roman"/>
          <w:color w:val="000000"/>
          <w:sz w:val="18"/>
          <w:szCs w:val="18"/>
        </w:rPr>
        <w:t>(1)Includes investment expenses charged by AB of $33 million, $20 million, $77 million and $59 million for the three and nine months ended</w:t>
      </w:r>
      <w:r>
        <w:rPr>
          <w:rFonts w:eastAsia="Times New Roman"/>
          <w:color w:val="000000"/>
          <w:sz w:val="18"/>
          <w:szCs w:val="18"/>
        </w:rPr>
        <w:t xml:space="preserve"> September 30, 2022 and 2021, respectively, for services provided to the Company.</w:t>
      </w:r>
    </w:p>
    <w:p w:rsidR="00000000" w:rsidRDefault="00C56D69">
      <w:pPr>
        <w:ind w:hanging="360"/>
        <w:divId w:val="918977974"/>
        <w:rPr>
          <w:rFonts w:eastAsia="Times New Roman"/>
        </w:rPr>
      </w:pPr>
      <w:r>
        <w:rPr>
          <w:rFonts w:eastAsia="Times New Roman"/>
          <w:color w:val="000000"/>
          <w:sz w:val="18"/>
          <w:szCs w:val="18"/>
        </w:rPr>
        <w:t>(2)Inter-segment investment management and other fees of $41 million $32 million, $101 million and $94 million for the three and nine months ended September 30, 2022 and 2021</w:t>
      </w:r>
      <w:r>
        <w:rPr>
          <w:rFonts w:eastAsia="Times New Roman"/>
          <w:color w:val="000000"/>
          <w:sz w:val="18"/>
          <w:szCs w:val="18"/>
        </w:rPr>
        <w:t>, respectively, are included in segment revenues of the Investment Management and Research segment.</w:t>
      </w:r>
    </w:p>
    <w:p w:rsidR="00000000" w:rsidRDefault="00C56D69">
      <w:pPr>
        <w:ind w:hanging="360"/>
        <w:divId w:val="1594819760"/>
        <w:rPr>
          <w:rFonts w:eastAsia="Times New Roman"/>
        </w:rPr>
      </w:pPr>
    </w:p>
    <w:p w:rsidR="00000000" w:rsidRDefault="00C56D69">
      <w:pPr>
        <w:divId w:val="1847287485"/>
        <w:rPr>
          <w:rFonts w:eastAsia="Times New Roman"/>
        </w:rPr>
      </w:pPr>
      <w:r>
        <w:rPr>
          <w:rFonts w:eastAsia="Times New Roman"/>
          <w:color w:val="000000"/>
          <w:sz w:val="20"/>
          <w:szCs w:val="20"/>
        </w:rPr>
        <w:t>The table below presents total assets by segment as of September 30, 2022 and 2021:</w:t>
      </w:r>
    </w:p>
    <w:p w:rsidR="00000000" w:rsidRDefault="00C56D69">
      <w:pPr>
        <w:jc w:val="center"/>
        <w:divId w:val="716048875"/>
        <w:rPr>
          <w:rFonts w:eastAsia="Times New Roman"/>
        </w:rPr>
      </w:pPr>
      <w:r>
        <w:rPr>
          <w:rFonts w:eastAsia="Times New Roman"/>
          <w:color w:val="000000"/>
          <w:sz w:val="20"/>
          <w:szCs w:val="20"/>
        </w:rPr>
        <w:t>68</w:t>
      </w:r>
    </w:p>
    <w:p w:rsidR="00000000" w:rsidRDefault="00C56D69">
      <w:pPr>
        <w:rPr>
          <w:rFonts w:eastAsia="Times New Roman"/>
        </w:rPr>
      </w:pPr>
      <w:r>
        <w:rPr>
          <w:rFonts w:eastAsia="Times New Roman"/>
        </w:rPr>
        <w:pict>
          <v:rect id="_x0000_i1094" style="width:0;height:1.5pt" o:hralign="center" o:hrstd="t" o:hr="t" fillcolor="#a0a0a0" stroked="f"/>
        </w:pict>
      </w:r>
    </w:p>
    <w:p w:rsidR="00000000" w:rsidRDefault="00C56D69">
      <w:pPr>
        <w:divId w:val="24125839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831292323"/>
        <w:rPr>
          <w:rFonts w:eastAsia="Times New Roman"/>
        </w:rPr>
      </w:pPr>
      <w:r>
        <w:rPr>
          <w:rFonts w:eastAsia="Times New Roman"/>
          <w:b/>
          <w:bCs/>
          <w:color w:val="000000"/>
          <w:sz w:val="20"/>
          <w:szCs w:val="20"/>
        </w:rPr>
        <w:t>EQUITABLE HOLDINGS, INC.</w:t>
      </w:r>
    </w:p>
    <w:p w:rsidR="00000000" w:rsidRDefault="00C56D69">
      <w:pPr>
        <w:jc w:val="center"/>
        <w:divId w:val="1831292323"/>
        <w:rPr>
          <w:rFonts w:eastAsia="Times New Roman"/>
        </w:rPr>
      </w:pPr>
      <w:r>
        <w:rPr>
          <w:rFonts w:eastAsia="Times New Roman"/>
          <w:b/>
          <w:bCs/>
          <w:color w:val="000000"/>
          <w:sz w:val="20"/>
          <w:szCs w:val="20"/>
        </w:rPr>
        <w:t>Notes to Consolidated Financial Statements (Unaudited), Continued</w:t>
      </w:r>
    </w:p>
    <w:p w:rsidR="00000000" w:rsidRDefault="00C56D69">
      <w:pPr>
        <w:jc w:val="center"/>
        <w:divId w:val="1831292323"/>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80"/>
        <w:gridCol w:w="38"/>
        <w:gridCol w:w="120"/>
        <w:gridCol w:w="1055"/>
        <w:gridCol w:w="36"/>
        <w:gridCol w:w="36"/>
        <w:gridCol w:w="36"/>
        <w:gridCol w:w="36"/>
        <w:gridCol w:w="120"/>
        <w:gridCol w:w="948"/>
        <w:gridCol w:w="36"/>
      </w:tblGrid>
      <w:tr w:rsidR="00000000">
        <w:trPr>
          <w:divId w:val="1954165923"/>
          <w:jc w:val="center"/>
        </w:trPr>
        <w:tc>
          <w:tcPr>
            <w:tcW w:w="50" w:type="pct"/>
            <w:vAlign w:val="center"/>
            <w:hideMark/>
          </w:tcPr>
          <w:p w:rsidR="00000000" w:rsidRDefault="00C56D69">
            <w:pPr>
              <w:jc w:val="center"/>
              <w:rPr>
                <w:rFonts w:eastAsia="Times New Roman"/>
              </w:rPr>
            </w:pPr>
          </w:p>
        </w:tc>
        <w:tc>
          <w:tcPr>
            <w:tcW w:w="351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954165923"/>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954165923"/>
          <w:jc w:val="center"/>
        </w:trPr>
        <w:tc>
          <w:tcPr>
            <w:tcW w:w="0" w:type="auto"/>
            <w:gridSpan w:val="3"/>
            <w:tcMar>
              <w:top w:w="30" w:type="dxa"/>
              <w:left w:w="20" w:type="dxa"/>
              <w:bottom w:w="30" w:type="dxa"/>
              <w:right w:w="20" w:type="dxa"/>
            </w:tcMar>
            <w:vAlign w:val="bottom"/>
            <w:hideMark/>
          </w:tcPr>
          <w:p w:rsidR="00000000" w:rsidRDefault="00C56D69">
            <w:pPr>
              <w:spacing w:after="100"/>
              <w:divId w:val="6449338"/>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rPr>
          <w:divId w:val="1954165923"/>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954165923"/>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954165923"/>
          <w:jc w:val="center"/>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119,883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143,663 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4165923"/>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38,908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55,368 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4165923"/>
          <w:jc w:val="center"/>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12,370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11,602 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4165923"/>
          <w:jc w:val="center"/>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36,998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50,686 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4165923"/>
          <w:jc w:val="center"/>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30,943 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954165923"/>
          <w:jc w:val="center"/>
        </w:trPr>
        <w:tc>
          <w:tcPr>
            <w:tcW w:w="0" w:type="auto"/>
            <w:gridSpan w:val="3"/>
            <w:shd w:val="clear" w:color="auto" w:fill="FFFF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245,600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292,262 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1447846835"/>
        <w:rPr>
          <w:rFonts w:eastAsia="Times New Roman"/>
        </w:rPr>
      </w:pPr>
    </w:p>
    <w:p w:rsidR="00000000" w:rsidRDefault="00C56D69">
      <w:pPr>
        <w:divId w:val="2084522920"/>
        <w:rPr>
          <w:rFonts w:eastAsia="Times New Roman"/>
        </w:rPr>
      </w:pPr>
      <w:r>
        <w:rPr>
          <w:rFonts w:eastAsia="Times New Roman"/>
          <w:b/>
          <w:bCs/>
          <w:color w:val="000000"/>
          <w:sz w:val="20"/>
          <w:szCs w:val="20"/>
        </w:rPr>
        <w:t>15)    </w:t>
      </w:r>
      <w:r>
        <w:rPr>
          <w:rFonts w:eastAsia="Times New Roman"/>
          <w:b/>
          <w:bCs/>
          <w:color w:val="000000"/>
          <w:sz w:val="20"/>
          <w:szCs w:val="20"/>
        </w:rPr>
        <w:t>EARNINGS PER COMMON SHARE</w:t>
      </w:r>
    </w:p>
    <w:p w:rsidR="00000000" w:rsidRDefault="00C56D69">
      <w:pPr>
        <w:divId w:val="59449895"/>
        <w:rPr>
          <w:rFonts w:eastAsia="Times New Roman"/>
        </w:rPr>
      </w:pPr>
      <w:r>
        <w:rPr>
          <w:rFonts w:eastAsia="Times New Roman"/>
          <w:color w:val="000000"/>
          <w:sz w:val="20"/>
          <w:szCs w:val="20"/>
        </w:rPr>
        <w:t>The following table presents a reconciliation of Net income (loss) and Weighted-average common shares used in calculating basic 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775"/>
        <w:gridCol w:w="38"/>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6"/>
        <w:gridCol w:w="36"/>
        <w:gridCol w:w="36"/>
        <w:gridCol w:w="36"/>
        <w:gridCol w:w="36"/>
        <w:gridCol w:w="36"/>
        <w:gridCol w:w="36"/>
        <w:gridCol w:w="36"/>
      </w:tblGrid>
      <w:tr w:rsidR="00000000">
        <w:trPr>
          <w:divId w:val="822432078"/>
        </w:trPr>
        <w:tc>
          <w:tcPr>
            <w:tcW w:w="50" w:type="pct"/>
            <w:vAlign w:val="center"/>
            <w:hideMark/>
          </w:tcPr>
          <w:p w:rsidR="00000000" w:rsidRDefault="00C56D69">
            <w:pPr>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tcMar>
              <w:top w:w="30" w:type="dxa"/>
              <w:left w:w="20" w:type="dxa"/>
              <w:bottom w:w="30" w:type="dxa"/>
              <w:right w:w="20" w:type="dxa"/>
            </w:tcMar>
            <w:vAlign w:val="bottom"/>
            <w:hideMark/>
          </w:tcPr>
          <w:p w:rsidR="00000000" w:rsidRDefault="00C56D69">
            <w:pPr>
              <w:spacing w:after="100"/>
              <w:divId w:val="1374385611"/>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481046738"/>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411.3 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Effect of dilutive potential common shares: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Employee share awards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2079084372"/>
              <w:rPr>
                <w:rFonts w:eastAsia="Times New Roman"/>
              </w:rPr>
            </w:pPr>
            <w:r>
              <w:rPr>
                <w:rFonts w:eastAsia="Times New Roman"/>
                <w:color w:val="000000"/>
                <w:sz w:val="20"/>
                <w:szCs w:val="20"/>
              </w:rPr>
              <w:t>Weighted-average common shares outstanding — diluted (2)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376.8</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414.6 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382.9</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51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22432078"/>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712582548"/>
        <w:rPr>
          <w:rFonts w:eastAsia="Times New Roman"/>
        </w:rPr>
      </w:pPr>
      <w:r>
        <w:rPr>
          <w:rFonts w:eastAsia="Times New Roman"/>
          <w:color w:val="000000"/>
          <w:sz w:val="18"/>
          <w:szCs w:val="18"/>
        </w:rPr>
        <w:t>____</w:t>
      </w:r>
      <w:r>
        <w:rPr>
          <w:rFonts w:eastAsia="Times New Roman"/>
          <w:color w:val="000000"/>
          <w:sz w:val="18"/>
          <w:szCs w:val="18"/>
        </w:rPr>
        <w:t>_________</w:t>
      </w:r>
    </w:p>
    <w:p w:rsidR="00000000" w:rsidRDefault="00C56D69">
      <w:pPr>
        <w:ind w:hanging="360"/>
        <w:divId w:val="1049066165"/>
        <w:rPr>
          <w:rFonts w:eastAsia="Times New Roman"/>
        </w:rPr>
      </w:pPr>
      <w:r>
        <w:rPr>
          <w:rFonts w:eastAsia="Times New Roman"/>
          <w:color w:val="000000"/>
          <w:sz w:val="18"/>
          <w:szCs w:val="18"/>
        </w:rPr>
        <w:t>(1)Calculated using the treasury stock method.</w:t>
      </w:r>
    </w:p>
    <w:p w:rsidR="00000000" w:rsidRDefault="00C56D69">
      <w:pPr>
        <w:ind w:hanging="360"/>
        <w:divId w:val="655762059"/>
        <w:rPr>
          <w:rFonts w:eastAsia="Times New Roman"/>
        </w:rPr>
      </w:pPr>
      <w:r>
        <w:rPr>
          <w:rFonts w:eastAsia="Times New Roman"/>
          <w:color w:val="000000"/>
          <w:sz w:val="18"/>
          <w:szCs w:val="18"/>
        </w:rPr>
        <w:t xml:space="preserve">(2)Due to net loss for the </w:t>
      </w:r>
      <w:r>
        <w:rPr>
          <w:rFonts w:eastAsia="Times New Roman"/>
          <w:color w:val="000000"/>
          <w:sz w:val="20"/>
          <w:szCs w:val="20"/>
        </w:rPr>
        <w:t xml:space="preserve">nine months ended September 30, 2021 </w:t>
      </w:r>
      <w:r>
        <w:rPr>
          <w:rFonts w:eastAsia="Times New Roman"/>
          <w:color w:val="000000"/>
          <w:sz w:val="18"/>
          <w:szCs w:val="18"/>
        </w:rPr>
        <w:t>approximately 3.7 million share awards were excluded from the diluted EPS calculation.</w:t>
      </w:r>
    </w:p>
    <w:p w:rsidR="00000000" w:rsidRDefault="00C56D69">
      <w:pPr>
        <w:divId w:val="1313871403"/>
        <w:rPr>
          <w:rFonts w:eastAsia="Times New Roman"/>
        </w:rPr>
      </w:pPr>
      <w:r>
        <w:rPr>
          <w:rFonts w:eastAsia="Times New Roman"/>
          <w:color w:val="000000"/>
          <w:sz w:val="20"/>
          <w:szCs w:val="20"/>
        </w:rPr>
        <w:t>For the three and nine months ended September 30</w:t>
      </w:r>
      <w:r>
        <w:rPr>
          <w:rFonts w:eastAsia="Times New Roman"/>
          <w:color w:val="000000"/>
          <w:sz w:val="20"/>
          <w:szCs w:val="20"/>
        </w:rPr>
        <w:t>, 2022 and 2021, 2.9 million, 4.5 million, 3.5 million and 8.3 million of outstanding stock awards, respectively, were not included in the computation of diluted earnings per share because their effect was anti-dilutive.</w:t>
      </w:r>
    </w:p>
    <w:p w:rsidR="00000000" w:rsidRDefault="00C56D69">
      <w:pPr>
        <w:divId w:val="160700815"/>
        <w:rPr>
          <w:rFonts w:eastAsia="Times New Roman"/>
        </w:rPr>
      </w:pPr>
      <w:r>
        <w:rPr>
          <w:rFonts w:eastAsia="Times New Roman"/>
          <w:b/>
          <w:bCs/>
          <w:color w:val="000000"/>
          <w:sz w:val="20"/>
          <w:szCs w:val="20"/>
        </w:rPr>
        <w:t>16)     SUBSEQUENT EVENTS</w:t>
      </w:r>
    </w:p>
    <w:p w:rsidR="00000000" w:rsidRDefault="00C56D69">
      <w:pPr>
        <w:jc w:val="both"/>
        <w:divId w:val="495732442"/>
        <w:rPr>
          <w:rFonts w:eastAsia="Times New Roman"/>
        </w:rPr>
      </w:pPr>
      <w:r>
        <w:rPr>
          <w:rFonts w:eastAsia="Times New Roman"/>
          <w:b/>
          <w:bCs/>
          <w:i/>
          <w:iCs/>
          <w:color w:val="000000"/>
          <w:sz w:val="20"/>
          <w:szCs w:val="20"/>
        </w:rPr>
        <w:t>EQUI-VEST</w:t>
      </w:r>
      <w:r>
        <w:rPr>
          <w:rFonts w:eastAsia="Times New Roman"/>
          <w:b/>
          <w:bCs/>
          <w:i/>
          <w:iCs/>
          <w:color w:val="000000"/>
          <w:sz w:val="20"/>
          <w:szCs w:val="20"/>
        </w:rPr>
        <w:t xml:space="preserve"> Reinsurance Transaction </w:t>
      </w:r>
    </w:p>
    <w:p w:rsidR="00000000" w:rsidRDefault="00C56D69">
      <w:pPr>
        <w:divId w:val="1137992098"/>
        <w:rPr>
          <w:rFonts w:eastAsia="Times New Roman"/>
        </w:rPr>
      </w:pPr>
    </w:p>
    <w:p w:rsidR="00000000" w:rsidRDefault="00C56D69">
      <w:pPr>
        <w:jc w:val="center"/>
        <w:divId w:val="407388972"/>
        <w:rPr>
          <w:rFonts w:eastAsia="Times New Roman"/>
        </w:rPr>
      </w:pPr>
      <w:r>
        <w:rPr>
          <w:rFonts w:eastAsia="Times New Roman"/>
          <w:color w:val="000000"/>
          <w:sz w:val="20"/>
          <w:szCs w:val="20"/>
        </w:rPr>
        <w:t>69</w:t>
      </w:r>
    </w:p>
    <w:p w:rsidR="00000000" w:rsidRDefault="00C56D69">
      <w:pPr>
        <w:rPr>
          <w:rFonts w:eastAsia="Times New Roman"/>
        </w:rPr>
      </w:pPr>
      <w:r>
        <w:rPr>
          <w:rFonts w:eastAsia="Times New Roman"/>
        </w:rPr>
        <w:pict>
          <v:rect id="_x0000_i1095" style="width:0;height:1.5pt" o:hralign="center" o:hrstd="t" o:hr="t" fillcolor="#a0a0a0" stroked="f"/>
        </w:pict>
      </w:r>
    </w:p>
    <w:p w:rsidR="00000000" w:rsidRDefault="00C56D69">
      <w:pPr>
        <w:ind w:firstLine="360"/>
        <w:divId w:val="55339307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222569531"/>
        <w:rPr>
          <w:rFonts w:eastAsia="Times New Roman"/>
        </w:rPr>
      </w:pPr>
      <w:r>
        <w:rPr>
          <w:rFonts w:eastAsia="Times New Roman"/>
          <w:color w:val="000000"/>
          <w:sz w:val="20"/>
          <w:szCs w:val="20"/>
        </w:rPr>
        <w:t>On October 3, 2022, Equitable Financial completed the transactions (the “EQUI-VEST Transaction”</w:t>
      </w:r>
      <w:r>
        <w:rPr>
          <w:rFonts w:eastAsia="Times New Roman"/>
          <w:color w:val="000000"/>
          <w:sz w:val="20"/>
          <w:szCs w:val="20"/>
        </w:rPr>
        <w:t>) contemplated by the previously announced Master Transaction Agreement, dated August 16, 2022, by and between Equitable Financial and First Allmerica Financial Life Insurance Company, a Massachusetts-domiciled insurance company (the “Reinsurer”), a wholly</w:t>
      </w:r>
      <w:r>
        <w:rPr>
          <w:rFonts w:eastAsia="Times New Roman"/>
          <w:color w:val="000000"/>
          <w:sz w:val="20"/>
          <w:szCs w:val="20"/>
        </w:rPr>
        <w:t xml:space="preserve"> owned subsidiary of Global Atlantic Financial Group.</w:t>
      </w:r>
    </w:p>
    <w:p w:rsidR="00000000" w:rsidRDefault="00C56D69">
      <w:pPr>
        <w:divId w:val="1976832672"/>
        <w:rPr>
          <w:rFonts w:eastAsia="Times New Roman"/>
        </w:rPr>
      </w:pPr>
      <w:r>
        <w:rPr>
          <w:rFonts w:eastAsia="Times New Roman"/>
          <w:color w:val="000000"/>
          <w:sz w:val="20"/>
          <w:szCs w:val="20"/>
        </w:rPr>
        <w:t>At the closing of the EQUI-VEST Transaction, Equitable Financial and the Reinsurer entered into a Coinsurance and Modified Coinsurance Agreement (the “EQUI-VEST Reinsurance Agreement”), pursuant to whic</w:t>
      </w:r>
      <w:r>
        <w:rPr>
          <w:rFonts w:eastAsia="Times New Roman"/>
          <w:color w:val="000000"/>
          <w:sz w:val="20"/>
          <w:szCs w:val="20"/>
        </w:rPr>
        <w:t>h Equitable Financial ceded to the Reinsurer, on a combined coinsurance and modified coinsurance basis, a 50% quota share of approximately 360,000 legacy Group EQUI-VEST deferred variable annuity contracts issued by Equitable Financial between 1980 and 200</w:t>
      </w:r>
      <w:r>
        <w:rPr>
          <w:rFonts w:eastAsia="Times New Roman"/>
          <w:color w:val="000000"/>
          <w:sz w:val="20"/>
          <w:szCs w:val="20"/>
        </w:rPr>
        <w:t xml:space="preserve">8, which predominately include Equitable Financial’s highest guaranteed general account crediting rates of 3%, supported by general account assets of approximately $4 billion and $5 billion of separate account value (the “Reinsured Contracts”). </w:t>
      </w:r>
    </w:p>
    <w:p w:rsidR="00000000" w:rsidRDefault="00C56D69">
      <w:pPr>
        <w:jc w:val="center"/>
        <w:divId w:val="299262923"/>
        <w:rPr>
          <w:rFonts w:eastAsia="Times New Roman"/>
        </w:rPr>
      </w:pPr>
      <w:r>
        <w:rPr>
          <w:rFonts w:eastAsia="Times New Roman"/>
          <w:color w:val="000000"/>
          <w:sz w:val="20"/>
          <w:szCs w:val="20"/>
        </w:rPr>
        <w:t>70</w:t>
      </w:r>
    </w:p>
    <w:p w:rsidR="00000000" w:rsidRDefault="00C56D69">
      <w:pPr>
        <w:rPr>
          <w:rFonts w:eastAsia="Times New Roman"/>
        </w:rPr>
      </w:pPr>
      <w:r>
        <w:rPr>
          <w:rFonts w:eastAsia="Times New Roman"/>
        </w:rPr>
        <w:pict>
          <v:rect id="_x0000_i1096" style="width:0;height:1.5pt" o:hralign="center" o:hrstd="t" o:hr="t" fillcolor="#a0a0a0" stroked="f"/>
        </w:pict>
      </w:r>
    </w:p>
    <w:p w:rsidR="00000000" w:rsidRDefault="00C56D69">
      <w:pPr>
        <w:ind w:firstLine="360"/>
        <w:divId w:val="147864661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896117143"/>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C56D69">
      <w:pPr>
        <w:ind w:firstLine="360"/>
        <w:divId w:val="102967697"/>
        <w:rPr>
          <w:rFonts w:eastAsia="Times New Roman"/>
        </w:rPr>
      </w:pPr>
      <w:r>
        <w:rPr>
          <w:rFonts w:eastAsia="Times New Roman"/>
          <w:i/>
          <w:iCs/>
          <w:color w:val="000000"/>
          <w:sz w:val="20"/>
          <w:szCs w:val="20"/>
        </w:rPr>
        <w:t>The following discussion and analysis of our finan</w:t>
      </w:r>
      <w:r>
        <w:rPr>
          <w:rFonts w:eastAsia="Times New Roman"/>
          <w:i/>
          <w:iCs/>
          <w:color w:val="000000"/>
          <w:sz w:val="20"/>
          <w:szCs w:val="20"/>
        </w:rPr>
        <w:t xml:space="preserve">cial condition and results of operations should be read in its entirety and in conjunction with the consolidated financial statements and related notes contained in </w:t>
      </w:r>
      <w:hyperlink w:anchor="i91a10deab42d4ca59e2a2b17dc17e22e_19" w:history="1">
        <w:r>
          <w:rPr>
            <w:rStyle w:val="a3"/>
            <w:rFonts w:eastAsia="Times New Roman"/>
            <w:i/>
            <w:iCs/>
            <w:sz w:val="20"/>
            <w:szCs w:val="20"/>
          </w:rPr>
          <w:t>Part I, Item 1</w:t>
        </w:r>
      </w:hyperlink>
      <w:r>
        <w:rPr>
          <w:rFonts w:eastAsia="Times New Roman"/>
          <w:i/>
          <w:iCs/>
          <w:color w:val="000000"/>
          <w:sz w:val="20"/>
          <w:szCs w:val="20"/>
        </w:rPr>
        <w:t> of this Quarterly</w:t>
      </w:r>
      <w:r>
        <w:rPr>
          <w:rFonts w:eastAsia="Times New Roman"/>
          <w:i/>
          <w:iCs/>
          <w:color w:val="000000"/>
          <w:sz w:val="20"/>
          <w:szCs w:val="20"/>
        </w:rPr>
        <w:t xml:space="preserve"> Report on Form 10-Q, as well as “Management’s Discussion and Analysis of Financial Condition and Results of Operations” section contained in our </w:t>
      </w:r>
      <w:hyperlink r:id="rId5" w:history="1">
        <w:r>
          <w:rPr>
            <w:rStyle w:val="a3"/>
            <w:rFonts w:eastAsia="Times New Roman"/>
            <w:i/>
            <w:iCs/>
            <w:sz w:val="20"/>
            <w:szCs w:val="20"/>
          </w:rPr>
          <w:t>Annual Repo</w:t>
        </w:r>
        <w:r>
          <w:rPr>
            <w:rStyle w:val="a3"/>
            <w:rFonts w:eastAsia="Times New Roman"/>
            <w:i/>
            <w:iCs/>
            <w:sz w:val="20"/>
            <w:szCs w:val="20"/>
          </w:rPr>
          <w:t>rt on Form 10-K </w:t>
        </w:r>
      </w:hyperlink>
      <w:r>
        <w:rPr>
          <w:rFonts w:eastAsia="Times New Roman"/>
          <w:i/>
          <w:iCs/>
          <w:color w:val="000000"/>
          <w:sz w:val="20"/>
          <w:szCs w:val="20"/>
        </w:rPr>
        <w:t>for the year ended December 31, 2021 (“2021 Form 10-K”).</w:t>
      </w:r>
    </w:p>
    <w:p w:rsidR="00000000" w:rsidRDefault="00C56D69">
      <w:pPr>
        <w:ind w:firstLine="360"/>
        <w:divId w:val="788546862"/>
        <w:rPr>
          <w:rFonts w:eastAsia="Times New Roman"/>
        </w:rPr>
      </w:pPr>
      <w:r>
        <w:rPr>
          <w:rFonts w:eastAsia="Times New Roman"/>
          <w:i/>
          <w:iCs/>
          <w:color w:val="000000"/>
          <w:sz w:val="20"/>
          <w:szCs w:val="20"/>
        </w:rPr>
        <w:t>In addition to historical data, this discussion contains forward-looking statements about our business, operations and financial performance based on current expectations that involve</w:t>
      </w:r>
      <w:r>
        <w:rPr>
          <w:rFonts w:eastAsia="Times New Roman"/>
          <w:i/>
          <w:iCs/>
          <w:color w:val="000000"/>
          <w:sz w:val="20"/>
          <w:szCs w:val="20"/>
        </w:rPr>
        <w:t xml:space="preserve"> risks, uncertainties and assumptions. Actual results may differ materially from those discussed in the forward-looking statements as a result of various factors. See the Note Regarding Forward-Looking Statements and Information. Investors are directed to </w:t>
      </w:r>
      <w:r>
        <w:rPr>
          <w:rFonts w:eastAsia="Times New Roman"/>
          <w:i/>
          <w:iCs/>
          <w:color w:val="000000"/>
          <w:sz w:val="20"/>
          <w:szCs w:val="20"/>
        </w:rPr>
        <w:t xml:space="preserve">consider the risks and uncertainties discussed in </w:t>
      </w:r>
      <w:hyperlink w:anchor="i91a10deab42d4ca59e2a2b17dc17e22e_463" w:history="1">
        <w:r>
          <w:rPr>
            <w:rStyle w:val="a3"/>
            <w:rFonts w:eastAsia="Times New Roman"/>
            <w:i/>
            <w:iCs/>
            <w:sz w:val="20"/>
            <w:szCs w:val="20"/>
          </w:rPr>
          <w:t>Part II, Item 1A</w:t>
        </w:r>
      </w:hyperlink>
      <w:r>
        <w:rPr>
          <w:rFonts w:eastAsia="Times New Roman"/>
          <w:i/>
          <w:iCs/>
          <w:color w:val="000000"/>
          <w:sz w:val="20"/>
          <w:szCs w:val="20"/>
        </w:rPr>
        <w:t> of this Quarterly Report on Form 10-Q, as well as in other documents we have filed with the SEC.</w:t>
      </w:r>
    </w:p>
    <w:p w:rsidR="00000000" w:rsidRDefault="00C56D69">
      <w:pPr>
        <w:divId w:val="368191171"/>
        <w:rPr>
          <w:rFonts w:eastAsia="Times New Roman"/>
        </w:rPr>
      </w:pPr>
      <w:r>
        <w:rPr>
          <w:rFonts w:eastAsia="Times New Roman"/>
          <w:b/>
          <w:bCs/>
          <w:color w:val="000000"/>
          <w:sz w:val="20"/>
          <w:szCs w:val="20"/>
        </w:rPr>
        <w:t xml:space="preserve">Executive Summary </w:t>
      </w:r>
    </w:p>
    <w:p w:rsidR="00000000" w:rsidRDefault="00C56D69">
      <w:pPr>
        <w:jc w:val="both"/>
        <w:divId w:val="148131331"/>
        <w:rPr>
          <w:rFonts w:eastAsia="Times New Roman"/>
        </w:rPr>
      </w:pPr>
      <w:r>
        <w:rPr>
          <w:rFonts w:eastAsia="Times New Roman"/>
          <w:b/>
          <w:bCs/>
          <w:i/>
          <w:iCs/>
          <w:color w:val="000000"/>
          <w:sz w:val="20"/>
          <w:szCs w:val="20"/>
        </w:rPr>
        <w:t xml:space="preserve">Overview </w:t>
      </w:r>
    </w:p>
    <w:p w:rsidR="00000000" w:rsidRDefault="00C56D69">
      <w:pPr>
        <w:ind w:firstLine="360"/>
        <w:divId w:val="1651907697"/>
        <w:rPr>
          <w:rFonts w:eastAsia="Times New Roman"/>
        </w:rPr>
      </w:pPr>
      <w:r>
        <w:rPr>
          <w:rFonts w:eastAsia="Times New Roman"/>
          <w:color w:val="000000"/>
          <w:sz w:val="20"/>
          <w:szCs w:val="20"/>
        </w:rPr>
        <w:t>We are one of America’s leading financial services companies, providing: (i) advice and solutions for helping Americans set and meet their retirement goals and protect and transfer their wealth across generations; and (ii) a wide range of investm</w:t>
      </w:r>
      <w:r>
        <w:rPr>
          <w:rFonts w:eastAsia="Times New Roman"/>
          <w:color w:val="000000"/>
          <w:sz w:val="20"/>
          <w:szCs w:val="20"/>
        </w:rPr>
        <w:t xml:space="preserve">ent management insights, expertise and innovations to drive better investment decisions and outcomes for clients worldwide. </w:t>
      </w:r>
    </w:p>
    <w:p w:rsidR="00000000" w:rsidRDefault="00C56D69">
      <w:pPr>
        <w:ind w:firstLine="360"/>
        <w:divId w:val="664937565"/>
        <w:rPr>
          <w:rFonts w:eastAsia="Times New Roman"/>
        </w:rPr>
      </w:pPr>
      <w:r>
        <w:rPr>
          <w:rFonts w:eastAsia="Times New Roman"/>
          <w:color w:val="000000"/>
          <w:sz w:val="20"/>
          <w:szCs w:val="20"/>
        </w:rPr>
        <w:t>We manage our business through four segments: Individual Retirement, Group Retirement, Investment Management and Research, and Prot</w:t>
      </w:r>
      <w:r>
        <w:rPr>
          <w:rFonts w:eastAsia="Times New Roman"/>
          <w:color w:val="000000"/>
          <w:sz w:val="20"/>
          <w:szCs w:val="20"/>
        </w:rPr>
        <w:t>ection Solutions. We report certain activities and items that are not included in these segments in Corporate and Other. See Note 14 of the Notes to the Consolidated Financial Statements for further information on our segments.</w:t>
      </w:r>
    </w:p>
    <w:p w:rsidR="00000000" w:rsidRDefault="00C56D69">
      <w:pPr>
        <w:ind w:firstLine="360"/>
        <w:divId w:val="368652371"/>
        <w:rPr>
          <w:rFonts w:eastAsia="Times New Roman"/>
        </w:rPr>
      </w:pPr>
      <w:r>
        <w:rPr>
          <w:rFonts w:eastAsia="Times New Roman"/>
          <w:color w:val="000000"/>
          <w:sz w:val="20"/>
          <w:szCs w:val="20"/>
        </w:rPr>
        <w:t>We benefit from our compleme</w:t>
      </w:r>
      <w:r>
        <w:rPr>
          <w:rFonts w:eastAsia="Times New Roman"/>
          <w:color w:val="000000"/>
          <w:sz w:val="20"/>
          <w:szCs w:val="20"/>
        </w:rPr>
        <w:t xml:space="preserve">ntary mix of businesses. This business mix provides diversity in our earnings sources, which helps offset fluctuations in market conditions and variability in business results, while offering growth opportunities. </w:t>
      </w:r>
    </w:p>
    <w:p w:rsidR="00000000" w:rsidRDefault="00C56D69">
      <w:pPr>
        <w:jc w:val="both"/>
        <w:divId w:val="22368063"/>
        <w:rPr>
          <w:rFonts w:eastAsia="Times New Roman"/>
        </w:rPr>
      </w:pPr>
      <w:r>
        <w:rPr>
          <w:rFonts w:eastAsia="Times New Roman"/>
          <w:b/>
          <w:bCs/>
          <w:i/>
          <w:iCs/>
          <w:color w:val="000000"/>
          <w:sz w:val="20"/>
          <w:szCs w:val="20"/>
        </w:rPr>
        <w:t xml:space="preserve">EQUI-VEST Reinsurance Transaction </w:t>
      </w:r>
    </w:p>
    <w:p w:rsidR="00000000" w:rsidRDefault="00C56D69">
      <w:pPr>
        <w:ind w:firstLine="360"/>
        <w:divId w:val="1034774063"/>
        <w:rPr>
          <w:rFonts w:eastAsia="Times New Roman"/>
        </w:rPr>
      </w:pPr>
      <w:r>
        <w:rPr>
          <w:rFonts w:eastAsia="Times New Roman"/>
          <w:color w:val="000000"/>
          <w:sz w:val="20"/>
          <w:szCs w:val="20"/>
        </w:rPr>
        <w:t>On Oct</w:t>
      </w:r>
      <w:r>
        <w:rPr>
          <w:rFonts w:eastAsia="Times New Roman"/>
          <w:color w:val="000000"/>
          <w:sz w:val="20"/>
          <w:szCs w:val="20"/>
        </w:rPr>
        <w:t>ober 3, 2022, Equitable Financial completed the transactions (the “EQUI-VEST Transaction”) contemplated by the previously announced Master Transaction Agreement, dated August 16, 2022, by and between Equitable Financial and First Allmerica Financial Life I</w:t>
      </w:r>
      <w:r>
        <w:rPr>
          <w:rFonts w:eastAsia="Times New Roman"/>
          <w:color w:val="000000"/>
          <w:sz w:val="20"/>
          <w:szCs w:val="20"/>
        </w:rPr>
        <w:t>nsurance Company, a Massachusetts-domiciled insurance company (the “Reinsurer”), a wholly owned subsidiary of Global Atlantic Financial Group.</w:t>
      </w:r>
    </w:p>
    <w:p w:rsidR="00000000" w:rsidRDefault="00C56D69">
      <w:pPr>
        <w:ind w:firstLine="360"/>
        <w:divId w:val="959333976"/>
        <w:rPr>
          <w:rFonts w:eastAsia="Times New Roman"/>
        </w:rPr>
      </w:pPr>
      <w:r>
        <w:rPr>
          <w:rFonts w:eastAsia="Times New Roman"/>
          <w:color w:val="000000"/>
          <w:sz w:val="20"/>
          <w:szCs w:val="20"/>
        </w:rPr>
        <w:t>At the closing of the EQUI-VEST Transaction, Equitable Financial and the Reinsurer entered into a Coinsurance and</w:t>
      </w:r>
      <w:r>
        <w:rPr>
          <w:rFonts w:eastAsia="Times New Roman"/>
          <w:color w:val="000000"/>
          <w:sz w:val="20"/>
          <w:szCs w:val="20"/>
        </w:rPr>
        <w:t xml:space="preserve"> Modified Coinsurance Agreement (the “EQUI-VEST Reinsurance Agreement”), pursuant to which Equitable Financial ceded to the Reinsurer, on a combined coinsurance and modified coinsurance basis, a 50% quota share of approximately 360,000 legacy Group EQUI-VE</w:t>
      </w:r>
      <w:r>
        <w:rPr>
          <w:rFonts w:eastAsia="Times New Roman"/>
          <w:color w:val="000000"/>
          <w:sz w:val="20"/>
          <w:szCs w:val="20"/>
        </w:rPr>
        <w:t>ST deferred variable annuity contracts issued by Equitable Financial between 1980 and 2008 supported by general account assets of approximately $4 billion and $5 billion of separate account value (the “Reinsured Contracts”). The Reinsured Contracts predomi</w:t>
      </w:r>
      <w:r>
        <w:rPr>
          <w:rFonts w:eastAsia="Times New Roman"/>
          <w:color w:val="000000"/>
          <w:sz w:val="20"/>
          <w:szCs w:val="20"/>
        </w:rPr>
        <w:t>nately include certain of Equitable Financial’s contracts that offer the highest guaranteed general account crediting rates of 3%. At the closing of the EQUI-VEST Transaction, Reinsurer deposited assets supporting the general account liabilities relating t</w:t>
      </w:r>
      <w:r>
        <w:rPr>
          <w:rFonts w:eastAsia="Times New Roman"/>
          <w:color w:val="000000"/>
          <w:sz w:val="20"/>
          <w:szCs w:val="20"/>
        </w:rPr>
        <w:t>o the Reinsured Contracts into a trust account for the benefit of Equitable Financial, which assets will secure its obligations to Equitable Financial under the EQUI-VEST Reinsurance Agreement. Equitable Financial reinsured the separate accounts relating t</w:t>
      </w:r>
      <w:r>
        <w:rPr>
          <w:rFonts w:eastAsia="Times New Roman"/>
          <w:color w:val="000000"/>
          <w:sz w:val="20"/>
          <w:szCs w:val="20"/>
        </w:rPr>
        <w:t>o the Reinsured Contracts on a modified coinsurance basis. Commonwealth Annuity and Life Insurance Company, an insurance company domiciled in the Commonwealth of Massachusetts and affiliate of Reinsurer (“Commonwealth”), provided a guarantee of Reinsurer’s</w:t>
      </w:r>
      <w:r>
        <w:rPr>
          <w:rFonts w:eastAsia="Times New Roman"/>
          <w:color w:val="000000"/>
          <w:sz w:val="20"/>
          <w:szCs w:val="20"/>
        </w:rPr>
        <w:t xml:space="preserve"> payment obligation to Equitable Financial under the EQUI-VEST Reinsurance Agreement. In addition, the investment of assets in the trust account is subject to investment guidelines, and the EQUI-VEST Reinsurance Agreement requires enhanced funding upon cer</w:t>
      </w:r>
      <w:r>
        <w:rPr>
          <w:rFonts w:eastAsia="Times New Roman"/>
          <w:color w:val="000000"/>
          <w:sz w:val="20"/>
          <w:szCs w:val="20"/>
        </w:rPr>
        <w:t>tain capital adequacy related triggers. The EQUI-VEST Reinsurance Agreement also contains additional counterparty risk management and mitigation provisions. At the closing of the EQUI-VEST Transaction, ABLP entered into an investment advisory agreement wit</w:t>
      </w:r>
      <w:r>
        <w:rPr>
          <w:rFonts w:eastAsia="Times New Roman"/>
          <w:color w:val="000000"/>
          <w:sz w:val="20"/>
          <w:szCs w:val="20"/>
        </w:rPr>
        <w:t xml:space="preserve">h Reinsurer pursuant to which ABLP will serve as the preferred investment manager of certain general account assets transferred to the trust account. Equitable Financial will continue to administer the Reinsured Contracts. </w:t>
      </w:r>
    </w:p>
    <w:p w:rsidR="00000000" w:rsidRDefault="00C56D69">
      <w:pPr>
        <w:jc w:val="both"/>
        <w:divId w:val="881869485"/>
        <w:rPr>
          <w:rFonts w:eastAsia="Times New Roman"/>
        </w:rPr>
      </w:pPr>
      <w:r>
        <w:rPr>
          <w:rFonts w:eastAsia="Times New Roman"/>
          <w:b/>
          <w:bCs/>
          <w:i/>
          <w:iCs/>
          <w:color w:val="000000"/>
          <w:sz w:val="20"/>
          <w:szCs w:val="20"/>
        </w:rPr>
        <w:t>Revenues</w:t>
      </w:r>
    </w:p>
    <w:p w:rsidR="00000000" w:rsidRDefault="00C56D69">
      <w:pPr>
        <w:ind w:firstLine="360"/>
        <w:divId w:val="92937427"/>
        <w:rPr>
          <w:rFonts w:eastAsia="Times New Roman"/>
        </w:rPr>
      </w:pPr>
      <w:r>
        <w:rPr>
          <w:rFonts w:eastAsia="Times New Roman"/>
          <w:color w:val="000000"/>
          <w:sz w:val="20"/>
          <w:szCs w:val="20"/>
        </w:rPr>
        <w:t xml:space="preserve">Our revenues come from </w:t>
      </w:r>
      <w:r>
        <w:rPr>
          <w:rFonts w:eastAsia="Times New Roman"/>
          <w:color w:val="000000"/>
          <w:sz w:val="20"/>
          <w:szCs w:val="20"/>
        </w:rPr>
        <w:t>three principal sources:</w:t>
      </w:r>
    </w:p>
    <w:p w:rsidR="00000000" w:rsidRDefault="00C56D69">
      <w:pPr>
        <w:jc w:val="center"/>
        <w:divId w:val="1620263808"/>
        <w:rPr>
          <w:rFonts w:eastAsia="Times New Roman"/>
        </w:rPr>
      </w:pPr>
      <w:r>
        <w:rPr>
          <w:rFonts w:eastAsia="Times New Roman"/>
          <w:color w:val="000000"/>
          <w:sz w:val="20"/>
          <w:szCs w:val="20"/>
        </w:rPr>
        <w:t>71</w:t>
      </w:r>
    </w:p>
    <w:p w:rsidR="00000000" w:rsidRDefault="00C56D69">
      <w:pPr>
        <w:rPr>
          <w:rFonts w:eastAsia="Times New Roman"/>
        </w:rPr>
      </w:pPr>
      <w:r>
        <w:rPr>
          <w:rFonts w:eastAsia="Times New Roman"/>
        </w:rPr>
        <w:pict>
          <v:rect id="_x0000_i1097" style="width:0;height:1.5pt" o:hralign="center" o:hrstd="t" o:hr="t" fillcolor="#a0a0a0" stroked="f"/>
        </w:pict>
      </w:r>
    </w:p>
    <w:p w:rsidR="00000000" w:rsidRDefault="00C56D69">
      <w:pPr>
        <w:ind w:firstLine="360"/>
        <w:divId w:val="102251021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360"/>
        <w:jc w:val="both"/>
        <w:divId w:val="451365807"/>
        <w:rPr>
          <w:rFonts w:eastAsia="Times New Roman"/>
        </w:rPr>
      </w:pPr>
      <w:r>
        <w:rPr>
          <w:rFonts w:eastAsia="Times New Roman"/>
          <w:color w:val="000000"/>
          <w:sz w:val="20"/>
          <w:szCs w:val="20"/>
        </w:rPr>
        <w:t>•fee income derived from our retirement and protection products and our investment management and research services</w:t>
      </w:r>
      <w:r>
        <w:rPr>
          <w:rFonts w:eastAsia="Times New Roman"/>
          <w:color w:val="000000"/>
          <w:sz w:val="20"/>
          <w:szCs w:val="20"/>
        </w:rPr>
        <w:t>;</w:t>
      </w:r>
    </w:p>
    <w:p w:rsidR="00000000" w:rsidRDefault="00C56D69">
      <w:pPr>
        <w:ind w:hanging="360"/>
        <w:jc w:val="both"/>
        <w:divId w:val="382678672"/>
        <w:rPr>
          <w:rFonts w:eastAsia="Times New Roman"/>
        </w:rPr>
      </w:pPr>
      <w:r>
        <w:rPr>
          <w:rFonts w:eastAsia="Times New Roman"/>
          <w:color w:val="000000"/>
          <w:sz w:val="20"/>
          <w:szCs w:val="20"/>
        </w:rPr>
        <w:t>•premiums from our traditional life insurance and annuity products; and</w:t>
      </w:r>
    </w:p>
    <w:p w:rsidR="00000000" w:rsidRDefault="00C56D69">
      <w:pPr>
        <w:ind w:hanging="360"/>
        <w:divId w:val="1512068314"/>
        <w:rPr>
          <w:rFonts w:eastAsia="Times New Roman"/>
        </w:rPr>
      </w:pPr>
      <w:r>
        <w:rPr>
          <w:rFonts w:eastAsia="Times New Roman"/>
          <w:color w:val="000000"/>
          <w:sz w:val="20"/>
          <w:szCs w:val="20"/>
        </w:rPr>
        <w:t>•investment income from our General Account investment portfolio.</w:t>
      </w:r>
    </w:p>
    <w:p w:rsidR="00000000" w:rsidRDefault="00C56D69">
      <w:pPr>
        <w:ind w:firstLine="360"/>
        <w:divId w:val="1457213321"/>
        <w:rPr>
          <w:rFonts w:eastAsia="Times New Roman"/>
        </w:rPr>
      </w:pPr>
      <w:r>
        <w:rPr>
          <w:rFonts w:eastAsia="Times New Roman"/>
          <w:color w:val="000000"/>
          <w:sz w:val="20"/>
          <w:szCs w:val="20"/>
        </w:rPr>
        <w:t xml:space="preserve">Our fee income varies directly in relation to the amount of the underlying AV or benefit base of our retirement and protection products and the amount of AUM of our Investment Management and Research business. AV and AUM, each as defined in “Key Operating </w:t>
      </w:r>
      <w:r>
        <w:rPr>
          <w:rFonts w:eastAsia="Times New Roman"/>
          <w:color w:val="000000"/>
          <w:sz w:val="20"/>
          <w:szCs w:val="20"/>
        </w:rPr>
        <w:t>Measures,” are influenced by changes in economic conditions, primarily equity market returns, as well as net flows. Our premium income is driven by the growth in new policies written and the persistency of our in-force policies, both of which are influence</w:t>
      </w:r>
      <w:r>
        <w:rPr>
          <w:rFonts w:eastAsia="Times New Roman"/>
          <w:color w:val="000000"/>
          <w:sz w:val="20"/>
          <w:szCs w:val="20"/>
        </w:rPr>
        <w:t>d by a combination of factors, including our efforts to attract and retain customers and market conditions that influence demand for our products. Our investment income is driven by the yield on our General Account investment portfolio and is impacted by t</w:t>
      </w:r>
      <w:r>
        <w:rPr>
          <w:rFonts w:eastAsia="Times New Roman"/>
          <w:color w:val="000000"/>
          <w:sz w:val="20"/>
          <w:szCs w:val="20"/>
        </w:rPr>
        <w:t>he prevailing level of interest rates as we reinvest cash associated with maturing investments and net flows to the portfolio.</w:t>
      </w:r>
    </w:p>
    <w:p w:rsidR="00000000" w:rsidRDefault="00C56D69">
      <w:pPr>
        <w:jc w:val="both"/>
        <w:divId w:val="1722055633"/>
        <w:rPr>
          <w:rFonts w:eastAsia="Times New Roman"/>
        </w:rPr>
      </w:pPr>
      <w:r>
        <w:rPr>
          <w:rFonts w:eastAsia="Times New Roman"/>
          <w:b/>
          <w:bCs/>
          <w:i/>
          <w:iCs/>
          <w:color w:val="000000"/>
          <w:sz w:val="20"/>
          <w:szCs w:val="20"/>
        </w:rPr>
        <w:t>Benefits and Other Deductions</w:t>
      </w:r>
    </w:p>
    <w:p w:rsidR="00000000" w:rsidRDefault="00C56D69">
      <w:pPr>
        <w:ind w:firstLine="360"/>
        <w:divId w:val="716585762"/>
        <w:rPr>
          <w:rFonts w:eastAsia="Times New Roman"/>
        </w:rPr>
      </w:pPr>
      <w:r>
        <w:rPr>
          <w:rFonts w:eastAsia="Times New Roman"/>
          <w:color w:val="000000"/>
          <w:sz w:val="20"/>
          <w:szCs w:val="20"/>
        </w:rPr>
        <w:t>Our primary expenses are:</w:t>
      </w:r>
    </w:p>
    <w:p w:rsidR="00000000" w:rsidRDefault="00C56D69">
      <w:pPr>
        <w:ind w:hanging="360"/>
        <w:jc w:val="both"/>
        <w:divId w:val="307320347"/>
        <w:rPr>
          <w:rFonts w:eastAsia="Times New Roman"/>
        </w:rPr>
      </w:pPr>
      <w:r>
        <w:rPr>
          <w:rFonts w:eastAsia="Times New Roman"/>
          <w:color w:val="000000"/>
          <w:sz w:val="20"/>
          <w:szCs w:val="20"/>
        </w:rPr>
        <w:t>•    policyholders’ benefits and interest credited to policyholders’ acco</w:t>
      </w:r>
      <w:r>
        <w:rPr>
          <w:rFonts w:eastAsia="Times New Roman"/>
          <w:color w:val="000000"/>
          <w:sz w:val="20"/>
          <w:szCs w:val="20"/>
        </w:rPr>
        <w:t>unt balances;</w:t>
      </w:r>
    </w:p>
    <w:p w:rsidR="00000000" w:rsidRDefault="00C56D69">
      <w:pPr>
        <w:ind w:hanging="360"/>
        <w:jc w:val="both"/>
        <w:divId w:val="1868054603"/>
        <w:rPr>
          <w:rFonts w:eastAsia="Times New Roman"/>
        </w:rPr>
      </w:pPr>
      <w:r>
        <w:rPr>
          <w:rFonts w:eastAsia="Times New Roman"/>
          <w:color w:val="000000"/>
          <w:sz w:val="20"/>
          <w:szCs w:val="20"/>
        </w:rPr>
        <w:t>•    sales commissions and compensation paid to intermediaries and advisors that distribute our products and services; and</w:t>
      </w:r>
    </w:p>
    <w:p w:rsidR="00000000" w:rsidRDefault="00C56D69">
      <w:pPr>
        <w:ind w:hanging="360"/>
        <w:divId w:val="326828513"/>
        <w:rPr>
          <w:rFonts w:eastAsia="Times New Roman"/>
        </w:rPr>
      </w:pPr>
      <w:r>
        <w:rPr>
          <w:rFonts w:eastAsia="Times New Roman"/>
          <w:color w:val="000000"/>
          <w:sz w:val="20"/>
          <w:szCs w:val="20"/>
        </w:rPr>
        <w:t>•    compensation and benefits provided to our employees and other operating expenses.</w:t>
      </w:r>
    </w:p>
    <w:p w:rsidR="00000000" w:rsidRDefault="00C56D69">
      <w:pPr>
        <w:ind w:firstLine="360"/>
        <w:divId w:val="797723064"/>
        <w:rPr>
          <w:rFonts w:eastAsia="Times New Roman"/>
        </w:rPr>
      </w:pPr>
      <w:r>
        <w:rPr>
          <w:rFonts w:eastAsia="Times New Roman"/>
          <w:color w:val="000000"/>
          <w:sz w:val="20"/>
          <w:szCs w:val="20"/>
        </w:rPr>
        <w:t>Policyholders’ benefits are driv</w:t>
      </w:r>
      <w:r>
        <w:rPr>
          <w:rFonts w:eastAsia="Times New Roman"/>
          <w:color w:val="000000"/>
          <w:sz w:val="20"/>
          <w:szCs w:val="20"/>
        </w:rPr>
        <w:t xml:space="preserve">en primarily by mortality, customer withdrawals, and benefits which change in response to changes in capital market conditions. In addition, some of our policyholders’ benefits are directly tied to the AV and benefit base of our variable annuity products. </w:t>
      </w:r>
      <w:r>
        <w:rPr>
          <w:rFonts w:eastAsia="Times New Roman"/>
          <w:color w:val="000000"/>
          <w:sz w:val="20"/>
          <w:szCs w:val="20"/>
        </w:rPr>
        <w:t>Interest credited to policyholders varies in relation to the amount of the underlying AV or benefit base. Sales commissions and compensation paid to intermediaries and advisors vary in relation to premium and fee income generated from these sources, wherea</w:t>
      </w:r>
      <w:r>
        <w:rPr>
          <w:rFonts w:eastAsia="Times New Roman"/>
          <w:color w:val="000000"/>
          <w:sz w:val="20"/>
          <w:szCs w:val="20"/>
        </w:rPr>
        <w:t>s compensation and benefits to our employees are more constant and impacted by market wages and decline with increases in efficiency. Our ability to manage these expenses across various economic cycles and products is critical to the profitability of our c</w:t>
      </w:r>
      <w:r>
        <w:rPr>
          <w:rFonts w:eastAsia="Times New Roman"/>
          <w:color w:val="000000"/>
          <w:sz w:val="20"/>
          <w:szCs w:val="20"/>
        </w:rPr>
        <w:t>ompany.</w:t>
      </w:r>
    </w:p>
    <w:p w:rsidR="00000000" w:rsidRDefault="00C56D69">
      <w:pPr>
        <w:jc w:val="both"/>
        <w:divId w:val="788547012"/>
        <w:rPr>
          <w:rFonts w:eastAsia="Times New Roman"/>
        </w:rPr>
      </w:pPr>
      <w:r>
        <w:rPr>
          <w:rFonts w:eastAsia="Times New Roman"/>
          <w:b/>
          <w:bCs/>
          <w:i/>
          <w:iCs/>
          <w:color w:val="000000"/>
          <w:sz w:val="20"/>
          <w:szCs w:val="20"/>
        </w:rPr>
        <w:t>Net Income Volatility</w:t>
      </w:r>
    </w:p>
    <w:p w:rsidR="00000000" w:rsidRDefault="00C56D69">
      <w:pPr>
        <w:ind w:firstLine="360"/>
        <w:divId w:val="503010437"/>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w:t>
      </w:r>
      <w:r>
        <w:rPr>
          <w:rFonts w:eastAsia="Times New Roman"/>
          <w:color w:val="000000"/>
          <w:sz w:val="20"/>
          <w:szCs w:val="20"/>
        </w:rPr>
        <w:t>ted hedging and reinsurance programs designed to mitigate the economic exposure to us from these features due to equity market and interest rate movements. Changes in the values of the derivatives associated with these programs due to equity market and int</w:t>
      </w:r>
      <w:r>
        <w:rPr>
          <w:rFonts w:eastAsia="Times New Roman"/>
          <w:color w:val="000000"/>
          <w:sz w:val="20"/>
          <w:szCs w:val="20"/>
        </w:rPr>
        <w:t>erest rate movements are recognized in the periods in which they occur while corresponding changes in offsetting liabilities not measured at fair value are recognized over time. This results in net income volatility as further described below. See “—Signif</w:t>
      </w:r>
      <w:r>
        <w:rPr>
          <w:rFonts w:eastAsia="Times New Roman"/>
          <w:color w:val="000000"/>
          <w:sz w:val="20"/>
          <w:szCs w:val="20"/>
        </w:rPr>
        <w:t>icant Factors Impacting Our Results—Impact of Hedging and GMxB Reinsurance on Results.”</w:t>
      </w:r>
    </w:p>
    <w:p w:rsidR="00000000" w:rsidRDefault="00C56D69">
      <w:pPr>
        <w:ind w:firstLine="360"/>
        <w:divId w:val="352078376"/>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w:t>
      </w:r>
      <w:r>
        <w:rPr>
          <w:rFonts w:eastAsia="Times New Roman"/>
          <w:color w:val="000000"/>
          <w:sz w:val="20"/>
          <w:szCs w:val="20"/>
        </w:rPr>
        <w:t>al. We believe this program will continue to preserve the economic value of our variable annuity contracts and better protect our target variable annuity asset level. However, these static hedge positions increase the size of our derivative positions and m</w:t>
      </w:r>
      <w:r>
        <w:rPr>
          <w:rFonts w:eastAsia="Times New Roman"/>
          <w:color w:val="000000"/>
          <w:sz w:val="20"/>
          <w:szCs w:val="20"/>
        </w:rPr>
        <w:t>ay result in higher net income volatility on a period-over-period basis.</w:t>
      </w:r>
    </w:p>
    <w:p w:rsidR="00000000" w:rsidRDefault="00C56D69">
      <w:pPr>
        <w:ind w:firstLine="360"/>
        <w:divId w:val="1923490591"/>
        <w:rPr>
          <w:rFonts w:eastAsia="Times New Roman"/>
        </w:rPr>
      </w:pPr>
      <w:r>
        <w:rPr>
          <w:rFonts w:eastAsia="Times New Roman"/>
          <w:color w:val="000000"/>
          <w:sz w:val="20"/>
          <w:szCs w:val="20"/>
        </w:rPr>
        <w:t>Due to the impacts on our net income of equity market and interest rate movements and other items that are not part of the underlying profitability drivers of our business, we evaluat</w:t>
      </w:r>
      <w:r>
        <w:rPr>
          <w:rFonts w:eastAsia="Times New Roman"/>
          <w:color w:val="000000"/>
          <w:sz w:val="20"/>
          <w:szCs w:val="20"/>
        </w:rPr>
        <w:t>e and manage our business performance using Non-GAAP Operating Earnings, a non-GAAP financial measure that is intended to remove these impacts from our results. See “—Key Operating Measures—Non-GAAP Operating Earnings. ”</w:t>
      </w:r>
    </w:p>
    <w:p w:rsidR="00000000" w:rsidRDefault="00C56D69">
      <w:pPr>
        <w:jc w:val="both"/>
        <w:divId w:val="1718701854"/>
        <w:rPr>
          <w:rFonts w:eastAsia="Times New Roman"/>
        </w:rPr>
      </w:pPr>
      <w:r>
        <w:rPr>
          <w:rFonts w:eastAsia="Times New Roman"/>
          <w:b/>
          <w:bCs/>
          <w:i/>
          <w:iCs/>
          <w:color w:val="000000"/>
          <w:sz w:val="20"/>
          <w:szCs w:val="20"/>
        </w:rPr>
        <w:t>COVID-19 Impact</w:t>
      </w:r>
    </w:p>
    <w:p w:rsidR="00000000" w:rsidRDefault="00C56D69">
      <w:pPr>
        <w:ind w:firstLine="360"/>
        <w:divId w:val="1105268522"/>
        <w:rPr>
          <w:rFonts w:eastAsia="Times New Roman"/>
        </w:rPr>
      </w:pPr>
      <w:r>
        <w:rPr>
          <w:rFonts w:eastAsia="Times New Roman"/>
          <w:color w:val="000000"/>
          <w:sz w:val="20"/>
          <w:szCs w:val="20"/>
        </w:rPr>
        <w:t xml:space="preserve">COVID-19 continues </w:t>
      </w:r>
      <w:r>
        <w:rPr>
          <w:rFonts w:eastAsia="Times New Roman"/>
          <w:color w:val="000000"/>
          <w:sz w:val="20"/>
          <w:szCs w:val="20"/>
        </w:rPr>
        <w:t>to evolve. We continue to closely monitor COVID-19 developments and the impact on our business, operations and investment portfolio. Any future impact of COVID-19 depends on many unknown factors and is highly uncertain, including as to the emergence and sp</w:t>
      </w:r>
      <w:r>
        <w:rPr>
          <w:rFonts w:eastAsia="Times New Roman"/>
          <w:color w:val="000000"/>
          <w:sz w:val="20"/>
          <w:szCs w:val="20"/>
        </w:rPr>
        <w:t xml:space="preserve">read of COVID-19 variants, the availability, adoption and efficacy of COVID-19 treatments and vaccines, and future actions taken by governmental authorities, central banks and other parties in </w:t>
      </w:r>
    </w:p>
    <w:p w:rsidR="00000000" w:rsidRDefault="00C56D69">
      <w:pPr>
        <w:jc w:val="center"/>
        <w:divId w:val="1126387483"/>
        <w:rPr>
          <w:rFonts w:eastAsia="Times New Roman"/>
        </w:rPr>
      </w:pPr>
      <w:r>
        <w:rPr>
          <w:rFonts w:eastAsia="Times New Roman"/>
          <w:color w:val="000000"/>
          <w:sz w:val="20"/>
          <w:szCs w:val="20"/>
        </w:rPr>
        <w:t>72</w:t>
      </w:r>
    </w:p>
    <w:p w:rsidR="00000000" w:rsidRDefault="00C56D69">
      <w:pPr>
        <w:rPr>
          <w:rFonts w:eastAsia="Times New Roman"/>
        </w:rPr>
      </w:pPr>
      <w:r>
        <w:rPr>
          <w:rFonts w:eastAsia="Times New Roman"/>
        </w:rPr>
        <w:pict>
          <v:rect id="_x0000_i1098" style="width:0;height:1.5pt" o:hralign="center" o:hrstd="t" o:hr="t" fillcolor="#a0a0a0" stroked="f"/>
        </w:pict>
      </w:r>
    </w:p>
    <w:p w:rsidR="00000000" w:rsidRDefault="00C56D69">
      <w:pPr>
        <w:ind w:firstLine="360"/>
        <w:divId w:val="168401580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803427718"/>
        <w:rPr>
          <w:rFonts w:eastAsia="Times New Roman"/>
        </w:rPr>
      </w:pPr>
      <w:r>
        <w:rPr>
          <w:rFonts w:eastAsia="Times New Roman"/>
          <w:color w:val="000000"/>
          <w:sz w:val="20"/>
          <w:szCs w:val="20"/>
        </w:rPr>
        <w:t xml:space="preserve">response to COVID-19. Further, as COVID-19 has not yet subsided, it is not possible to predict or estimate the longer-term effects of COVID-19 </w:t>
      </w:r>
      <w:r>
        <w:rPr>
          <w:rFonts w:eastAsia="Times New Roman"/>
          <w:color w:val="000000"/>
          <w:sz w:val="20"/>
          <w:szCs w:val="20"/>
        </w:rPr>
        <w:t xml:space="preserve">on the broad economy or on our business, results of operations and financial condition, including the impact on our investment portfolio and the possible need for us revisit or revise targets and/or aspects of our business model previously provided to the </w:t>
      </w:r>
      <w:r>
        <w:rPr>
          <w:rFonts w:eastAsia="Times New Roman"/>
          <w:color w:val="000000"/>
          <w:sz w:val="20"/>
          <w:szCs w:val="20"/>
        </w:rPr>
        <w:t>markets.</w:t>
      </w:r>
      <w:r>
        <w:rPr>
          <w:rFonts w:ascii="Calibri" w:eastAsia="Times New Roman" w:hAnsi="Calibri" w:cs="Calibri"/>
          <w:color w:val="000000"/>
          <w:sz w:val="22"/>
          <w:szCs w:val="22"/>
        </w:rPr>
        <w:t xml:space="preserve"> </w:t>
      </w:r>
      <w:r>
        <w:rPr>
          <w:rFonts w:eastAsia="Times New Roman"/>
          <w:color w:val="000000"/>
          <w:sz w:val="20"/>
          <w:szCs w:val="20"/>
        </w:rPr>
        <w:t xml:space="preserve">For additional information regarding the actual and potential impacts of COVID-19 and action we have taken to mitigate certain impacts, see “Risk Factors—Risks Relating to Conditions in the Financial Markets and Economy—The coronavirus (COVID-19) </w:t>
      </w:r>
      <w:r>
        <w:rPr>
          <w:rFonts w:eastAsia="Times New Roman"/>
          <w:color w:val="000000"/>
          <w:sz w:val="20"/>
          <w:szCs w:val="20"/>
        </w:rPr>
        <w:t>pandemic”, “Management’s Discussion and Analysis of Financial Condition and Results of Operations—Executive Summary—COVID-19 Impact” and “Management’s Discussion and Analysis of Financial Condition and Results of Operations—General Account Investment Portf</w:t>
      </w:r>
      <w:r>
        <w:rPr>
          <w:rFonts w:eastAsia="Times New Roman"/>
          <w:color w:val="000000"/>
          <w:sz w:val="20"/>
          <w:szCs w:val="20"/>
        </w:rPr>
        <w:t>olio” in the 2021 Form 10-K.</w:t>
      </w:r>
    </w:p>
    <w:p w:rsidR="00000000" w:rsidRDefault="00C56D69">
      <w:pPr>
        <w:divId w:val="2008629428"/>
        <w:rPr>
          <w:rFonts w:eastAsia="Times New Roman"/>
        </w:rPr>
      </w:pPr>
      <w:r>
        <w:rPr>
          <w:rFonts w:eastAsia="Times New Roman"/>
          <w:b/>
          <w:bCs/>
          <w:color w:val="000000"/>
          <w:sz w:val="20"/>
          <w:szCs w:val="20"/>
        </w:rPr>
        <w:t xml:space="preserve">Significant Factors Impacting Our Results </w:t>
      </w:r>
    </w:p>
    <w:p w:rsidR="00000000" w:rsidRDefault="00C56D69">
      <w:pPr>
        <w:ind w:firstLine="360"/>
        <w:divId w:val="1137532380"/>
        <w:rPr>
          <w:rFonts w:eastAsia="Times New Roman"/>
        </w:rPr>
      </w:pPr>
      <w:r>
        <w:rPr>
          <w:rFonts w:eastAsia="Times New Roman"/>
          <w:color w:val="000000"/>
          <w:sz w:val="20"/>
          <w:szCs w:val="20"/>
        </w:rPr>
        <w:t xml:space="preserve">The following significant factors have impacted, and may in the future impact, our financial condition, results of operations or cash flows. </w:t>
      </w:r>
    </w:p>
    <w:p w:rsidR="00000000" w:rsidRDefault="00C56D69">
      <w:pPr>
        <w:jc w:val="both"/>
        <w:divId w:val="1892576713"/>
        <w:rPr>
          <w:rFonts w:eastAsia="Times New Roman"/>
        </w:rPr>
      </w:pPr>
      <w:r>
        <w:rPr>
          <w:rFonts w:eastAsia="Times New Roman"/>
          <w:b/>
          <w:bCs/>
          <w:i/>
          <w:iCs/>
          <w:color w:val="000000"/>
          <w:sz w:val="20"/>
          <w:szCs w:val="20"/>
        </w:rPr>
        <w:t xml:space="preserve">Impact of Hedging and GMxB Reinsurance on </w:t>
      </w:r>
      <w:r>
        <w:rPr>
          <w:rFonts w:eastAsia="Times New Roman"/>
          <w:b/>
          <w:bCs/>
          <w:i/>
          <w:iCs/>
          <w:color w:val="000000"/>
          <w:sz w:val="20"/>
          <w:szCs w:val="20"/>
        </w:rPr>
        <w:t xml:space="preserve">Results </w:t>
      </w:r>
    </w:p>
    <w:p w:rsidR="00000000" w:rsidRDefault="00C56D69">
      <w:pPr>
        <w:ind w:firstLine="360"/>
        <w:divId w:val="1441950326"/>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w:t>
      </w:r>
      <w:r>
        <w:rPr>
          <w:rFonts w:eastAsia="Times New Roman"/>
          <w:color w:val="000000"/>
          <w:sz w:val="20"/>
          <w:szCs w:val="20"/>
        </w:rPr>
        <w:t xml:space="preserve">urance programs designed to mitigate the economic exposure to us from these features due to equity market and interest rate movements. These programs include: </w:t>
      </w:r>
    </w:p>
    <w:p w:rsidR="00000000" w:rsidRDefault="00C56D69">
      <w:pPr>
        <w:ind w:hanging="360"/>
        <w:jc w:val="both"/>
        <w:divId w:val="1510873813"/>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w:t>
      </w:r>
      <w:r>
        <w:rPr>
          <w:rFonts w:eastAsia="Times New Roman"/>
          <w:color w:val="000000"/>
          <w:sz w:val="20"/>
          <w:szCs w:val="20"/>
        </w:rPr>
        <w:t>ally, we reevaluate our economic exposure at least daily and rebalance our hedge positions accordingly) to mitigate certain risks associated with the GMxB features that are embedded in our liabilities for our variable annuity products. This program utilize</w:t>
      </w:r>
      <w:r>
        <w:rPr>
          <w:rFonts w:eastAsia="Times New Roman"/>
          <w:color w:val="000000"/>
          <w:sz w:val="20"/>
          <w:szCs w:val="20"/>
        </w:rPr>
        <w:t>s various derivative instruments that are managed in an effort to reduce the economic impact of unfavorable changes in GMxB features’ exposures attributable to movements in the equity markets and interest rates. Although this program is designed to provide</w:t>
      </w:r>
      <w:r>
        <w:rPr>
          <w:rFonts w:eastAsia="Times New Roman"/>
          <w:color w:val="000000"/>
          <w:sz w:val="20"/>
          <w:szCs w:val="20"/>
        </w:rPr>
        <w:t xml:space="preserve"> a measure of economic protection against the impact of adverse market conditions, it does not qualify for hedge accounting treatment. Accordingly, changes in value of the derivatives will be recognized in the period in which they occur with offsetting cha</w:t>
      </w:r>
      <w:r>
        <w:rPr>
          <w:rFonts w:eastAsia="Times New Roman"/>
          <w:color w:val="000000"/>
          <w:sz w:val="20"/>
          <w:szCs w:val="20"/>
        </w:rPr>
        <w:t xml:space="preserve">nges in reserves partially recognized in the current period, resulting in net income volatility. In addition to our dynamic hedging program, we have a hedging program using static hedge positions (derivative positions intended to be HTM with less frequent </w:t>
      </w:r>
      <w:r>
        <w:rPr>
          <w:rFonts w:eastAsia="Times New Roman"/>
          <w:color w:val="000000"/>
          <w:sz w:val="20"/>
          <w:szCs w:val="20"/>
        </w:rPr>
        <w:t>re-balancing) to protect our statutory capital against stress scenarios. This program in addition to our dynamic hedge program has increased the size of our derivative positions, resulting in an increase in net income volatility. The impacts are most prono</w:t>
      </w:r>
      <w:r>
        <w:rPr>
          <w:rFonts w:eastAsia="Times New Roman"/>
          <w:color w:val="000000"/>
          <w:sz w:val="20"/>
          <w:szCs w:val="20"/>
        </w:rPr>
        <w:t xml:space="preserve">unced for variable annuity products in our Individual Retirement segment. </w:t>
      </w:r>
    </w:p>
    <w:p w:rsidR="00000000" w:rsidRDefault="00C56D69">
      <w:pPr>
        <w:ind w:hanging="450"/>
        <w:jc w:val="both"/>
        <w:divId w:val="2013988662"/>
        <w:rPr>
          <w:rFonts w:eastAsia="Times New Roman"/>
        </w:rPr>
      </w:pPr>
      <w:r>
        <w:rPr>
          <w:rFonts w:eastAsia="Times New Roman"/>
          <w:color w:val="000000"/>
          <w:sz w:val="20"/>
          <w:szCs w:val="20"/>
        </w:rPr>
        <w:t>•</w:t>
      </w:r>
      <w:r>
        <w:rPr>
          <w:rFonts w:eastAsia="Times New Roman"/>
          <w:i/>
          <w:iCs/>
          <w:color w:val="000000"/>
          <w:sz w:val="20"/>
          <w:szCs w:val="20"/>
        </w:rPr>
        <w:t>GMxB reinsurance contracts.</w:t>
      </w:r>
      <w:r>
        <w:rPr>
          <w:rFonts w:eastAsia="Times New Roman"/>
          <w:color w:val="000000"/>
          <w:sz w:val="20"/>
          <w:szCs w:val="20"/>
        </w:rPr>
        <w:t xml:space="preserve"> Historically, GMIB reinsurance contracts were used to cede to non-affiliated reinsurers a portion of our exposure to variable annuity products that offe</w:t>
      </w:r>
      <w:r>
        <w:rPr>
          <w:rFonts w:eastAsia="Times New Roman"/>
          <w:color w:val="000000"/>
          <w:sz w:val="20"/>
          <w:szCs w:val="20"/>
        </w:rPr>
        <w:t>r a GMIB feature. We account for the GMIB reinsurance contracts as derivatives and report them at fair value. Gross GMIB reserves are calculated on the basis of assumptions related to projected benefits and related contract charges over the lives of the co</w:t>
      </w:r>
      <w:r>
        <w:rPr>
          <w:rFonts w:eastAsia="Times New Roman"/>
          <w:color w:val="000000"/>
          <w:sz w:val="20"/>
          <w:szCs w:val="20"/>
        </w:rPr>
        <w:t xml:space="preserve">ntracts. Accordingly, our gross reserves will not immediately reflect the offsetting impact on future claims exposure resulting from the same capital market or interest rate fluctuations that cause gains or losses on the fair value of the GMIB reinsurance </w:t>
      </w:r>
      <w:r>
        <w:rPr>
          <w:rFonts w:eastAsia="Times New Roman"/>
          <w:color w:val="000000"/>
          <w:sz w:val="20"/>
          <w:szCs w:val="20"/>
        </w:rPr>
        <w:t xml:space="preserve">contracts. Because changes in the fair value of the GMIB reinsurance contracts are recorded in the period in which they occur and a majority of the changes in gross reserves for GMIB are recognized over time, net income will be more volatile. In addition, </w:t>
      </w:r>
      <w:r>
        <w:rPr>
          <w:rFonts w:eastAsia="Times New Roman"/>
          <w:color w:val="000000"/>
          <w:sz w:val="20"/>
          <w:szCs w:val="20"/>
        </w:rPr>
        <w:t xml:space="preserve">on June 1, 2021, we ceded legacy variable annuity policies sold by Equitable Financial between 2006-2008 (the “Block”), comprised of non-New York “Accumulator” policies containing fixed rate GMIB and/or GMDB guarantees. As this contract provides full risk </w:t>
      </w:r>
      <w:r>
        <w:rPr>
          <w:rFonts w:eastAsia="Times New Roman"/>
          <w:color w:val="000000"/>
          <w:sz w:val="20"/>
          <w:szCs w:val="20"/>
        </w:rPr>
        <w:t xml:space="preserve">transfer and thus has the same risk attributes as the underlying direct contracts, the benefits of this treaty are accounted for in the same manner as the underlying gross reserves. </w:t>
      </w:r>
    </w:p>
    <w:p w:rsidR="00000000" w:rsidRDefault="00C56D69">
      <w:pPr>
        <w:jc w:val="both"/>
        <w:divId w:val="574095645"/>
        <w:rPr>
          <w:rFonts w:eastAsia="Times New Roman"/>
        </w:rPr>
      </w:pPr>
      <w:r>
        <w:rPr>
          <w:rFonts w:eastAsia="Times New Roman"/>
          <w:b/>
          <w:bCs/>
          <w:i/>
          <w:iCs/>
          <w:color w:val="000000"/>
          <w:sz w:val="20"/>
          <w:szCs w:val="20"/>
        </w:rPr>
        <w:t xml:space="preserve">Effect of Assumption Updates on Operating Results </w:t>
      </w:r>
    </w:p>
    <w:p w:rsidR="00000000" w:rsidRDefault="00C56D69">
      <w:pPr>
        <w:ind w:firstLine="360"/>
        <w:divId w:val="1284383988"/>
        <w:rPr>
          <w:rFonts w:eastAsia="Times New Roman"/>
        </w:rPr>
      </w:pPr>
      <w:r>
        <w:rPr>
          <w:rFonts w:eastAsia="Times New Roman"/>
          <w:color w:val="000000"/>
          <w:sz w:val="20"/>
          <w:szCs w:val="20"/>
        </w:rPr>
        <w:t>During the third quarter of each year, we conduct our annual review of the assumptions underlying the valuation of DAC, deferred sales inducement assets, unearned revenue liabilities, liabilities for future policyholder benefits and embedded derivatives fo</w:t>
      </w:r>
      <w:r>
        <w:rPr>
          <w:rFonts w:eastAsia="Times New Roman"/>
          <w:color w:val="000000"/>
          <w:sz w:val="20"/>
          <w:szCs w:val="20"/>
        </w:rPr>
        <w:t>r our Individual Retirement, Group Retirement, and Protection Solution segments (assumption reviews are not relevant for the Investment Management and Research segment). Assumptions are based on a combination of Company experience, industry experience, man</w:t>
      </w:r>
      <w:r>
        <w:rPr>
          <w:rFonts w:eastAsia="Times New Roman"/>
          <w:color w:val="000000"/>
          <w:sz w:val="20"/>
          <w:szCs w:val="20"/>
        </w:rPr>
        <w:t xml:space="preserve">agement actions and expert judgment and reflect our best estimate as of the date of the applicable financial statements. </w:t>
      </w:r>
    </w:p>
    <w:p w:rsidR="00000000" w:rsidRDefault="00C56D69">
      <w:pPr>
        <w:ind w:firstLine="360"/>
        <w:divId w:val="660692037"/>
        <w:rPr>
          <w:rFonts w:eastAsia="Times New Roman"/>
        </w:rPr>
      </w:pPr>
      <w:r>
        <w:rPr>
          <w:rFonts w:eastAsia="Times New Roman"/>
          <w:color w:val="000000"/>
          <w:sz w:val="20"/>
          <w:szCs w:val="20"/>
        </w:rPr>
        <w:t>Most of the variable annuity products, variable universal life insurance and universal life insurance products we offer maintain polic</w:t>
      </w:r>
      <w:r>
        <w:rPr>
          <w:rFonts w:eastAsia="Times New Roman"/>
          <w:color w:val="000000"/>
          <w:sz w:val="20"/>
          <w:szCs w:val="20"/>
        </w:rPr>
        <w:t xml:space="preserve">yholder deposits that are reported as liabilities and classified within either Separate Accounts liabilities or policyholder account balances. Our products and riders also impact liabilities for future policyholder benefits and unearned </w:t>
      </w:r>
    </w:p>
    <w:p w:rsidR="00000000" w:rsidRDefault="00C56D69">
      <w:pPr>
        <w:jc w:val="center"/>
        <w:divId w:val="1899897674"/>
        <w:rPr>
          <w:rFonts w:eastAsia="Times New Roman"/>
        </w:rPr>
      </w:pPr>
      <w:r>
        <w:rPr>
          <w:rFonts w:eastAsia="Times New Roman"/>
          <w:color w:val="000000"/>
          <w:sz w:val="20"/>
          <w:szCs w:val="20"/>
        </w:rPr>
        <w:t>73</w:t>
      </w:r>
    </w:p>
    <w:p w:rsidR="00000000" w:rsidRDefault="00C56D69">
      <w:pPr>
        <w:rPr>
          <w:rFonts w:eastAsia="Times New Roman"/>
        </w:rPr>
      </w:pPr>
      <w:r>
        <w:rPr>
          <w:rFonts w:eastAsia="Times New Roman"/>
        </w:rPr>
        <w:pict>
          <v:rect id="_x0000_i1099" style="width:0;height:1.5pt" o:hralign="center" o:hrstd="t" o:hr="t" fillcolor="#a0a0a0" stroked="f"/>
        </w:pict>
      </w:r>
    </w:p>
    <w:p w:rsidR="00000000" w:rsidRDefault="00C56D69">
      <w:pPr>
        <w:ind w:firstLine="360"/>
        <w:divId w:val="171896638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41392225"/>
        <w:rPr>
          <w:rFonts w:eastAsia="Times New Roman"/>
        </w:rPr>
      </w:pPr>
      <w:r>
        <w:rPr>
          <w:rFonts w:eastAsia="Times New Roman"/>
          <w:color w:val="000000"/>
          <w:sz w:val="20"/>
          <w:szCs w:val="20"/>
        </w:rPr>
        <w:t>revenues and assets for DAC and DSI. </w:t>
      </w:r>
      <w:r>
        <w:rPr>
          <w:rFonts w:eastAsia="Times New Roman"/>
          <w:color w:val="000000"/>
          <w:sz w:val="20"/>
          <w:szCs w:val="20"/>
        </w:rPr>
        <w:t>The valuation of these assets and liabilities (other than deposits) is based on differing accounting methods depending on the product, each of which requires numerous assumptions and considerable judgment. The accounting guidance applied in the valuation o</w:t>
      </w:r>
      <w:r>
        <w:rPr>
          <w:rFonts w:eastAsia="Times New Roman"/>
          <w:color w:val="000000"/>
          <w:sz w:val="20"/>
          <w:szCs w:val="20"/>
        </w:rPr>
        <w:t>f these assets and liabilities includes, but is not limited to, the following: (i) traditional life insurance products for which assumptions are locked in at inception; (ii) universal life insurance and variable life insurance secondary guarantees for whic</w:t>
      </w:r>
      <w:r>
        <w:rPr>
          <w:rFonts w:eastAsia="Times New Roman"/>
          <w:color w:val="000000"/>
          <w:sz w:val="20"/>
          <w:szCs w:val="20"/>
        </w:rPr>
        <w:t>h benefit liabilities are determined by estimating the expected value of death benefits payable when the account balance is projected to be zero and recognizing those benefits ratably over the accumulation period based on total expected assessments; (iii) </w:t>
      </w:r>
      <w:r>
        <w:rPr>
          <w:rFonts w:eastAsia="Times New Roman"/>
          <w:color w:val="000000"/>
          <w:sz w:val="20"/>
          <w:szCs w:val="20"/>
        </w:rPr>
        <w:t xml:space="preserve">certain product guarantees for which benefit liabilities are accrued over the life of the contract in proportion to actual and future expected policy assessments; and (iv) certain product guarantees reported as embedded derivatives at fair value. </w:t>
      </w:r>
    </w:p>
    <w:p w:rsidR="00000000" w:rsidRDefault="00C56D69">
      <w:pPr>
        <w:ind w:firstLine="360"/>
        <w:divId w:val="937256536"/>
        <w:rPr>
          <w:rFonts w:eastAsia="Times New Roman"/>
        </w:rPr>
      </w:pPr>
      <w:r>
        <w:rPr>
          <w:rFonts w:eastAsia="Times New Roman"/>
          <w:color w:val="000000"/>
          <w:sz w:val="20"/>
          <w:szCs w:val="20"/>
        </w:rPr>
        <w:t>For furt</w:t>
      </w:r>
      <w:r>
        <w:rPr>
          <w:rFonts w:eastAsia="Times New Roman"/>
          <w:color w:val="000000"/>
          <w:sz w:val="20"/>
          <w:szCs w:val="20"/>
        </w:rPr>
        <w:t>her details of our accounting policies and related judgments pertaining to assumption updates, see Note 2 of the Notes to the Consolidated Financial Statements and “—Summary of Critical Accounting Estimates—Liability for Future Policy Benefits” included in</w:t>
      </w:r>
      <w:r>
        <w:rPr>
          <w:rFonts w:eastAsia="Times New Roman"/>
          <w:color w:val="000000"/>
          <w:sz w:val="20"/>
          <w:szCs w:val="20"/>
        </w:rPr>
        <w:t xml:space="preserve"> the 2021 Form 10-K.</w:t>
      </w:r>
    </w:p>
    <w:p w:rsidR="00000000" w:rsidRDefault="00C56D69">
      <w:pPr>
        <w:jc w:val="both"/>
        <w:divId w:val="1421677269"/>
        <w:rPr>
          <w:rFonts w:eastAsia="Times New Roman"/>
        </w:rPr>
      </w:pPr>
      <w:r>
        <w:rPr>
          <w:rFonts w:eastAsia="Times New Roman"/>
          <w:b/>
          <w:bCs/>
          <w:i/>
          <w:iCs/>
          <w:color w:val="000000"/>
          <w:sz w:val="20"/>
          <w:szCs w:val="20"/>
        </w:rPr>
        <w:t>Assumption Updates</w:t>
      </w:r>
    </w:p>
    <w:p w:rsidR="00000000" w:rsidRDefault="00C56D69">
      <w:pPr>
        <w:ind w:firstLine="360"/>
        <w:divId w:val="75248851"/>
        <w:rPr>
          <w:rFonts w:eastAsia="Times New Roman"/>
        </w:rPr>
      </w:pPr>
      <w:r>
        <w:rPr>
          <w:rFonts w:eastAsia="Times New Roman"/>
          <w:color w:val="000000"/>
          <w:sz w:val="20"/>
          <w:szCs w:val="20"/>
        </w:rPr>
        <w:t>We conduct our annual review of our assumptions during the third quarter of each year. We also update our assumptions as needed in the event we become aware of economic conditions or events that could require a chang</w:t>
      </w:r>
      <w:r>
        <w:rPr>
          <w:rFonts w:eastAsia="Times New Roman"/>
          <w:color w:val="000000"/>
          <w:sz w:val="20"/>
          <w:szCs w:val="20"/>
        </w:rPr>
        <w:t xml:space="preserve">e in our assumptions that we believe may have a significant impact to the carrying value of product liabilities and assets and consequently materially impact our earnings in the period of the change. </w:t>
      </w:r>
    </w:p>
    <w:p w:rsidR="00000000" w:rsidRDefault="00C56D69">
      <w:pPr>
        <w:divId w:val="227420702"/>
        <w:rPr>
          <w:rFonts w:eastAsia="Times New Roman"/>
        </w:rPr>
      </w:pPr>
      <w:r>
        <w:rPr>
          <w:rFonts w:eastAsia="Times New Roman"/>
          <w:i/>
          <w:iCs/>
          <w:color w:val="000000"/>
          <w:sz w:val="20"/>
          <w:szCs w:val="20"/>
          <w:u w:val="single"/>
        </w:rPr>
        <w:t xml:space="preserve">Impact of Assumption Updates on Income from Continuing </w:t>
      </w:r>
      <w:r>
        <w:rPr>
          <w:rFonts w:eastAsia="Times New Roman"/>
          <w:i/>
          <w:iCs/>
          <w:color w:val="000000"/>
          <w:sz w:val="20"/>
          <w:szCs w:val="20"/>
          <w:u w:val="single"/>
        </w:rPr>
        <w:t>Operations before income taxes and Net income (loss)</w:t>
      </w:r>
    </w:p>
    <w:p w:rsidR="00000000" w:rsidRDefault="00C56D69">
      <w:pPr>
        <w:divId w:val="1285817750"/>
        <w:rPr>
          <w:rFonts w:eastAsia="Times New Roman"/>
        </w:rPr>
      </w:pPr>
      <w:r>
        <w:rPr>
          <w:rFonts w:eastAsia="Times New Roman"/>
          <w:color w:val="000000"/>
          <w:sz w:val="20"/>
          <w:szCs w:val="20"/>
        </w:rPr>
        <w:t>The table below presents the impact of our actuarial assumption update during the three months ended September 30, 2022 and 2021 to our income (loss) from continuing operations, before income taxes and n</w:t>
      </w:r>
      <w:r>
        <w:rPr>
          <w:rFonts w:eastAsia="Times New Roman"/>
          <w:color w:val="000000"/>
          <w:sz w:val="20"/>
          <w:szCs w:val="20"/>
        </w:rPr>
        <w:t>et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5234"/>
        <w:gridCol w:w="37"/>
        <w:gridCol w:w="120"/>
        <w:gridCol w:w="964"/>
        <w:gridCol w:w="36"/>
        <w:gridCol w:w="36"/>
        <w:gridCol w:w="36"/>
        <w:gridCol w:w="36"/>
        <w:gridCol w:w="120"/>
        <w:gridCol w:w="96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668827025"/>
        </w:trPr>
        <w:tc>
          <w:tcPr>
            <w:tcW w:w="50" w:type="pct"/>
            <w:vAlign w:val="center"/>
            <w:hideMark/>
          </w:tcPr>
          <w:p w:rsidR="00000000" w:rsidRDefault="00C56D69">
            <w:pPr>
              <w:rPr>
                <w:rFonts w:eastAsia="Times New Roman"/>
              </w:rPr>
            </w:pPr>
          </w:p>
        </w:tc>
        <w:tc>
          <w:tcPr>
            <w:tcW w:w="34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 (1)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Impact of assumption update on Net income (loss):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244796344"/>
              <w:rPr>
                <w:rFonts w:eastAsia="Times New Roman"/>
              </w:rPr>
            </w:pPr>
            <w:r>
              <w:rPr>
                <w:rFonts w:eastAsia="Times New Roman"/>
                <w:color w:val="000000"/>
                <w:sz w:val="20"/>
                <w:szCs w:val="20"/>
              </w:rPr>
              <w:t>Variable annuity product features related assumption update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222864400"/>
              <w:rPr>
                <w:rFonts w:eastAsia="Times New Roman"/>
              </w:rPr>
            </w:pPr>
            <w:r>
              <w:rPr>
                <w:rFonts w:eastAsia="Times New Roman"/>
                <w:color w:val="000000"/>
                <w:sz w:val="20"/>
                <w:szCs w:val="20"/>
              </w:rPr>
              <w:t>Assumption updates for other business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shd w:val="clear" w:color="auto" w:fill="CCEE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Impact of assumption updates on Income (loss) from continuing operations, before income tax</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Income tax benefit on assumption update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6882702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2048480808"/>
              <w:rPr>
                <w:rFonts w:eastAsia="Times New Roman"/>
              </w:rPr>
            </w:pPr>
            <w:r>
              <w:rPr>
                <w:rFonts w:eastAsia="Times New Roman"/>
                <w:color w:val="000000"/>
                <w:sz w:val="20"/>
                <w:szCs w:val="20"/>
              </w:rPr>
              <w:t>Net income (loss) impact of assumption update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259751108"/>
        <w:rPr>
          <w:rFonts w:eastAsia="Times New Roman"/>
        </w:rPr>
      </w:pPr>
      <w:r>
        <w:rPr>
          <w:rFonts w:eastAsia="Times New Roman"/>
          <w:color w:val="000000"/>
          <w:sz w:val="20"/>
          <w:szCs w:val="20"/>
        </w:rPr>
        <w:t>_____________</w:t>
      </w:r>
    </w:p>
    <w:p w:rsidR="00000000" w:rsidRDefault="00C56D69">
      <w:pPr>
        <w:ind w:hanging="360"/>
        <w:divId w:val="1566986523"/>
        <w:rPr>
          <w:rFonts w:eastAsia="Times New Roman"/>
        </w:rPr>
      </w:pPr>
      <w:r>
        <w:rPr>
          <w:rFonts w:eastAsia="Times New Roman"/>
          <w:color w:val="000000"/>
          <w:sz w:val="18"/>
          <w:szCs w:val="18"/>
        </w:rPr>
        <w:t>(1)</w:t>
      </w:r>
      <w:r>
        <w:rPr>
          <w:rFonts w:eastAsia="Times New Roman"/>
          <w:color w:val="000000"/>
          <w:sz w:val="18"/>
          <w:szCs w:val="18"/>
        </w:rPr>
        <w:t>The amounts for the three months and the nine months ended September 30 of each year represented the same amounts.</w:t>
      </w:r>
    </w:p>
    <w:p w:rsidR="00000000" w:rsidRDefault="00C56D69">
      <w:pPr>
        <w:divId w:val="113836567"/>
        <w:rPr>
          <w:rFonts w:eastAsia="Times New Roman"/>
        </w:rPr>
      </w:pPr>
      <w:r>
        <w:rPr>
          <w:rFonts w:eastAsia="Times New Roman"/>
          <w:b/>
          <w:bCs/>
          <w:color w:val="000000"/>
          <w:sz w:val="20"/>
          <w:szCs w:val="20"/>
        </w:rPr>
        <w:t>2022 Assumption Updates</w:t>
      </w:r>
    </w:p>
    <w:p w:rsidR="00000000" w:rsidRDefault="00C56D69">
      <w:pPr>
        <w:ind w:firstLine="360"/>
        <w:divId w:val="698318319"/>
        <w:rPr>
          <w:rFonts w:eastAsia="Times New Roman"/>
        </w:rPr>
      </w:pPr>
      <w:r>
        <w:rPr>
          <w:rFonts w:eastAsia="Times New Roman"/>
          <w:color w:val="000000"/>
          <w:sz w:val="20"/>
          <w:szCs w:val="20"/>
        </w:rPr>
        <w:t>The impact of the assumption update in the third quarter 2022 was an increase of $182 million to income (loss) from c</w:t>
      </w:r>
      <w:r>
        <w:rPr>
          <w:rFonts w:eastAsia="Times New Roman"/>
          <w:color w:val="000000"/>
          <w:sz w:val="20"/>
          <w:szCs w:val="20"/>
        </w:rPr>
        <w:t xml:space="preserve">ontinuing operations, before income taxes and an increase to net income (loss) of $144 million. </w:t>
      </w:r>
    </w:p>
    <w:p w:rsidR="00000000" w:rsidRDefault="00C56D69">
      <w:pPr>
        <w:ind w:firstLine="360"/>
        <w:divId w:val="1460682798"/>
        <w:rPr>
          <w:rFonts w:eastAsia="Times New Roman"/>
        </w:rPr>
      </w:pPr>
      <w:r>
        <w:rPr>
          <w:rFonts w:eastAsia="Times New Roman"/>
          <w:color w:val="000000"/>
          <w:sz w:val="20"/>
          <w:szCs w:val="20"/>
        </w:rPr>
        <w:t>The net impact of this assumption update on income (loss) from continuing operations, before income taxes of $182 million consisted of a decrease in policy cha</w:t>
      </w:r>
      <w:r>
        <w:rPr>
          <w:rFonts w:eastAsia="Times New Roman"/>
          <w:color w:val="000000"/>
          <w:sz w:val="20"/>
          <w:szCs w:val="20"/>
        </w:rPr>
        <w:t>rges and fee income of $23 million, a decrease in policyholders’ benefits of $243 million, an increase in interest credited to policyholder account balances of $1 million, an increase in net derivative losses of $80 million and a decrease in the amortizati</w:t>
      </w:r>
      <w:r>
        <w:rPr>
          <w:rFonts w:eastAsia="Times New Roman"/>
          <w:color w:val="000000"/>
          <w:sz w:val="20"/>
          <w:szCs w:val="20"/>
        </w:rPr>
        <w:t>on of DAC of $43 million.</w:t>
      </w:r>
    </w:p>
    <w:p w:rsidR="00000000" w:rsidRDefault="00C56D69">
      <w:pPr>
        <w:divId w:val="1341196938"/>
        <w:rPr>
          <w:rFonts w:eastAsia="Times New Roman"/>
        </w:rPr>
      </w:pPr>
      <w:r>
        <w:rPr>
          <w:rFonts w:eastAsia="Times New Roman"/>
          <w:b/>
          <w:bCs/>
          <w:color w:val="000000"/>
          <w:sz w:val="20"/>
          <w:szCs w:val="20"/>
        </w:rPr>
        <w:t>2021 Assumption Updates</w:t>
      </w:r>
    </w:p>
    <w:p w:rsidR="00000000" w:rsidRDefault="00C56D69">
      <w:pPr>
        <w:ind w:firstLine="360"/>
        <w:divId w:val="1330598934"/>
        <w:rPr>
          <w:rFonts w:eastAsia="Times New Roman"/>
        </w:rPr>
      </w:pPr>
      <w:r>
        <w:rPr>
          <w:rFonts w:eastAsia="Times New Roman"/>
          <w:color w:val="000000"/>
          <w:sz w:val="20"/>
          <w:szCs w:val="20"/>
        </w:rPr>
        <w:t xml:space="preserve">The impact of the economic assumption update in the third quarter 2021 was a decrease of $108 million to income (loss) from continuing operations, before income taxes and a decrease to net income (loss) of </w:t>
      </w:r>
      <w:r>
        <w:rPr>
          <w:rFonts w:eastAsia="Times New Roman"/>
          <w:color w:val="000000"/>
          <w:sz w:val="20"/>
          <w:szCs w:val="20"/>
        </w:rPr>
        <w:t>$85 million. As part of this annual update the reference interest rate utilized in our GAAP fair value calculations was updated from the LIBOR swap curve to the US Treasury curve to the US Treasury curve due to the impending cessation of LIBOR and our GAAP</w:t>
      </w:r>
      <w:r>
        <w:rPr>
          <w:rFonts w:eastAsia="Times New Roman"/>
          <w:color w:val="000000"/>
          <w:sz w:val="20"/>
          <w:szCs w:val="20"/>
        </w:rPr>
        <w:t xml:space="preserve"> fair value liability risk margins were increased, resulting in little impact to overall valuation as our view regarding market participant pricing of our guarantees has not changed at this time.</w:t>
      </w:r>
    </w:p>
    <w:p w:rsidR="00000000" w:rsidRDefault="00C56D69">
      <w:pPr>
        <w:jc w:val="center"/>
        <w:divId w:val="1834947319"/>
        <w:rPr>
          <w:rFonts w:eastAsia="Times New Roman"/>
        </w:rPr>
      </w:pPr>
      <w:r>
        <w:rPr>
          <w:rFonts w:eastAsia="Times New Roman"/>
          <w:color w:val="000000"/>
          <w:sz w:val="20"/>
          <w:szCs w:val="20"/>
        </w:rPr>
        <w:t>74</w:t>
      </w:r>
    </w:p>
    <w:p w:rsidR="00000000" w:rsidRDefault="00C56D69">
      <w:pPr>
        <w:rPr>
          <w:rFonts w:eastAsia="Times New Roman"/>
        </w:rPr>
      </w:pPr>
      <w:r>
        <w:rPr>
          <w:rFonts w:eastAsia="Times New Roman"/>
        </w:rPr>
        <w:pict>
          <v:rect id="_x0000_i1100" style="width:0;height:1.5pt" o:hralign="center" o:hrstd="t" o:hr="t" fillcolor="#a0a0a0" stroked="f"/>
        </w:pict>
      </w:r>
    </w:p>
    <w:p w:rsidR="00000000" w:rsidRDefault="00C56D69">
      <w:pPr>
        <w:ind w:firstLine="360"/>
        <w:divId w:val="142456700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895241027"/>
        <w:rPr>
          <w:rFonts w:eastAsia="Times New Roman"/>
        </w:rPr>
      </w:pPr>
      <w:r>
        <w:rPr>
          <w:rFonts w:eastAsia="Times New Roman"/>
          <w:color w:val="000000"/>
          <w:sz w:val="20"/>
          <w:szCs w:val="20"/>
        </w:rPr>
        <w:t>The net impact of this assumption update on income (loss) from operations, before income taxes of $108 million consisted of a decrease in policy charges and fee income of $28 million, a decrease in p</w:t>
      </w:r>
      <w:r>
        <w:rPr>
          <w:rFonts w:eastAsia="Times New Roman"/>
          <w:color w:val="000000"/>
          <w:sz w:val="20"/>
          <w:szCs w:val="20"/>
        </w:rPr>
        <w:t>olicyholders’ benefits of $62 million, an increase in net derivative gains (losses) of $200 million and a decrease in amortization of DAC of $58 million.</w:t>
      </w:r>
    </w:p>
    <w:p w:rsidR="00000000" w:rsidRDefault="00C56D69">
      <w:pPr>
        <w:divId w:val="1829244932"/>
        <w:rPr>
          <w:rFonts w:eastAsia="Times New Roman"/>
        </w:rPr>
      </w:pPr>
      <w:r>
        <w:rPr>
          <w:rFonts w:eastAsia="Times New Roman"/>
          <w:i/>
          <w:iCs/>
          <w:color w:val="000000"/>
          <w:sz w:val="20"/>
          <w:szCs w:val="20"/>
          <w:u w:val="single"/>
        </w:rPr>
        <w:t>Impact of Assumption Updates on Pre-tax Non-GAAP Operating Earnings</w:t>
      </w:r>
    </w:p>
    <w:p w:rsidR="00000000" w:rsidRDefault="00C56D69">
      <w:pPr>
        <w:divId w:val="148906502"/>
        <w:rPr>
          <w:rFonts w:eastAsia="Times New Roman"/>
        </w:rPr>
      </w:pPr>
      <w:r>
        <w:rPr>
          <w:rFonts w:eastAsia="Times New Roman"/>
          <w:color w:val="000000"/>
          <w:sz w:val="20"/>
          <w:szCs w:val="20"/>
        </w:rPr>
        <w:t>The table below presents the impact on pre-tax Non-GAAP Operating Earnings of our actuarial assumption updates during the three months ended September 30, 2022 and 2021 by segment and Corporate and Other.</w:t>
      </w:r>
    </w:p>
    <w:tbl>
      <w:tblPr>
        <w:tblW w:w="5000" w:type="pct"/>
        <w:tblCellMar>
          <w:top w:w="15" w:type="dxa"/>
          <w:left w:w="15" w:type="dxa"/>
          <w:bottom w:w="15" w:type="dxa"/>
          <w:right w:w="15" w:type="dxa"/>
        </w:tblCellMar>
        <w:tblLook w:val="04A0" w:firstRow="1" w:lastRow="0" w:firstColumn="1" w:lastColumn="0" w:noHBand="0" w:noVBand="1"/>
      </w:tblPr>
      <w:tblGrid>
        <w:gridCol w:w="38"/>
        <w:gridCol w:w="5533"/>
        <w:gridCol w:w="37"/>
        <w:gridCol w:w="120"/>
        <w:gridCol w:w="1037"/>
        <w:gridCol w:w="36"/>
        <w:gridCol w:w="36"/>
        <w:gridCol w:w="36"/>
        <w:gridCol w:w="36"/>
        <w:gridCol w:w="120"/>
        <w:gridCol w:w="1025"/>
        <w:gridCol w:w="36"/>
        <w:gridCol w:w="36"/>
        <w:gridCol w:w="36"/>
        <w:gridCol w:w="36"/>
        <w:gridCol w:w="36"/>
        <w:gridCol w:w="36"/>
        <w:gridCol w:w="36"/>
      </w:tblGrid>
      <w:tr w:rsidR="00000000">
        <w:trPr>
          <w:divId w:val="1432701873"/>
        </w:trPr>
        <w:tc>
          <w:tcPr>
            <w:tcW w:w="50" w:type="pct"/>
            <w:vAlign w:val="center"/>
            <w:hideMark/>
          </w:tcPr>
          <w:p w:rsidR="00000000" w:rsidRDefault="00C56D69">
            <w:pPr>
              <w:rPr>
                <w:rFonts w:eastAsia="Times New Roman"/>
              </w:rPr>
            </w:pPr>
          </w:p>
        </w:tc>
        <w:tc>
          <w:tcPr>
            <w:tcW w:w="344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 (1)</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Impact of assumption updates by segment:</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Impact of assumption updates on Corporate and 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43270187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impact on pre-tax Non-GAAP Operating Earnings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480342037"/>
        <w:rPr>
          <w:rFonts w:eastAsia="Times New Roman"/>
        </w:rPr>
      </w:pPr>
      <w:r>
        <w:rPr>
          <w:rFonts w:eastAsia="Times New Roman"/>
          <w:color w:val="000000"/>
          <w:sz w:val="18"/>
          <w:szCs w:val="18"/>
        </w:rPr>
        <w:t>______________</w:t>
      </w:r>
    </w:p>
    <w:p w:rsidR="00000000" w:rsidRDefault="00C56D69">
      <w:pPr>
        <w:ind w:hanging="360"/>
        <w:divId w:val="1146363940"/>
        <w:rPr>
          <w:rFonts w:eastAsia="Times New Roman"/>
        </w:rPr>
      </w:pPr>
      <w:r>
        <w:rPr>
          <w:rFonts w:eastAsia="Times New Roman"/>
          <w:color w:val="000000"/>
          <w:sz w:val="18"/>
          <w:szCs w:val="18"/>
        </w:rPr>
        <w:t>(1)</w:t>
      </w:r>
      <w:r>
        <w:rPr>
          <w:rFonts w:eastAsia="Times New Roman"/>
          <w:color w:val="000000"/>
          <w:sz w:val="18"/>
          <w:szCs w:val="18"/>
        </w:rPr>
        <w:t>The amounts for the three months and the nine months ended September 30 of each year represented the same amounts.</w:t>
      </w:r>
    </w:p>
    <w:p w:rsidR="00000000" w:rsidRDefault="00C56D69">
      <w:pPr>
        <w:divId w:val="78522599"/>
        <w:rPr>
          <w:rFonts w:eastAsia="Times New Roman"/>
        </w:rPr>
      </w:pPr>
      <w:r>
        <w:rPr>
          <w:rFonts w:eastAsia="Times New Roman"/>
          <w:b/>
          <w:bCs/>
          <w:color w:val="000000"/>
          <w:sz w:val="20"/>
          <w:szCs w:val="20"/>
        </w:rPr>
        <w:t>2022 Assumption Updates</w:t>
      </w:r>
    </w:p>
    <w:p w:rsidR="00000000" w:rsidRDefault="00C56D69">
      <w:pPr>
        <w:ind w:firstLine="360"/>
        <w:divId w:val="853953806"/>
        <w:rPr>
          <w:rFonts w:eastAsia="Times New Roman"/>
        </w:rPr>
      </w:pPr>
      <w:r>
        <w:rPr>
          <w:rFonts w:eastAsia="Times New Roman"/>
          <w:color w:val="000000"/>
          <w:sz w:val="20"/>
          <w:szCs w:val="20"/>
        </w:rPr>
        <w:t>The impact of our 2022 annual review on Non-GAAP Operating Earnings was favorable by $28 million before taking into c</w:t>
      </w:r>
      <w:r>
        <w:rPr>
          <w:rFonts w:eastAsia="Times New Roman"/>
          <w:color w:val="000000"/>
          <w:sz w:val="20"/>
          <w:szCs w:val="20"/>
        </w:rPr>
        <w:t>onsideration the tax impacts or $22 million after tax. For Individual Retirement segment, the impacts primarily reflect updated mortality on our older payout business. For Group Retirement segment, the impacts reflect updated economic assumptions. The annu</w:t>
      </w:r>
      <w:r>
        <w:rPr>
          <w:rFonts w:eastAsia="Times New Roman"/>
          <w:color w:val="000000"/>
          <w:sz w:val="20"/>
          <w:szCs w:val="20"/>
        </w:rPr>
        <w:t>al update for Protection Solutions segment reflects favorable economic conditions and surrenders primarily on the VUL line. This, in turn, creates future profits and lowers the accrual on our PFBL reserve.</w:t>
      </w:r>
    </w:p>
    <w:p w:rsidR="00000000" w:rsidRDefault="00C56D69">
      <w:pPr>
        <w:ind w:firstLine="360"/>
        <w:divId w:val="1019740414"/>
        <w:rPr>
          <w:rFonts w:eastAsia="Times New Roman"/>
        </w:rPr>
      </w:pPr>
      <w:r>
        <w:rPr>
          <w:rFonts w:eastAsia="Times New Roman"/>
          <w:color w:val="000000"/>
          <w:sz w:val="20"/>
          <w:szCs w:val="20"/>
        </w:rPr>
        <w:t>The net impact of assumption changes on Non-GAAP O</w:t>
      </w:r>
      <w:r>
        <w:rPr>
          <w:rFonts w:eastAsia="Times New Roman"/>
          <w:color w:val="000000"/>
          <w:sz w:val="20"/>
          <w:szCs w:val="20"/>
        </w:rPr>
        <w:t>perating Earnings in the third quarter 2022 decreased policy charges and fee income by $23 million, decreased policyholders’ benefits by $9 million, increased interest credited to policyholder account balances by $1 million and decreased amortization of DA</w:t>
      </w:r>
      <w:r>
        <w:rPr>
          <w:rFonts w:eastAsia="Times New Roman"/>
          <w:color w:val="000000"/>
          <w:sz w:val="20"/>
          <w:szCs w:val="20"/>
        </w:rPr>
        <w:t>C by $43 million. Non-GAAP Operating Earnings excludes items related to Variable annuity product features, such as changes in the fair value of the embedded derivatives associated with the GMIBNLG liability and the effect of benefit ratio unlock adjustment</w:t>
      </w:r>
      <w:r>
        <w:rPr>
          <w:rFonts w:eastAsia="Times New Roman"/>
          <w:color w:val="000000"/>
          <w:sz w:val="20"/>
          <w:szCs w:val="20"/>
        </w:rPr>
        <w:t>s.</w:t>
      </w:r>
    </w:p>
    <w:p w:rsidR="00000000" w:rsidRDefault="00C56D69">
      <w:pPr>
        <w:divId w:val="568614391"/>
        <w:rPr>
          <w:rFonts w:eastAsia="Times New Roman"/>
        </w:rPr>
      </w:pPr>
      <w:r>
        <w:rPr>
          <w:rFonts w:eastAsia="Times New Roman"/>
          <w:b/>
          <w:bCs/>
          <w:color w:val="000000"/>
          <w:sz w:val="20"/>
          <w:szCs w:val="20"/>
        </w:rPr>
        <w:t>2021 Assumption Updates</w:t>
      </w:r>
    </w:p>
    <w:p w:rsidR="00000000" w:rsidRDefault="00C56D69">
      <w:pPr>
        <w:ind w:firstLine="360"/>
        <w:divId w:val="26755572"/>
        <w:rPr>
          <w:rFonts w:eastAsia="Times New Roman"/>
        </w:rPr>
      </w:pPr>
      <w:r>
        <w:rPr>
          <w:rFonts w:eastAsia="Times New Roman"/>
          <w:color w:val="000000"/>
          <w:sz w:val="20"/>
          <w:szCs w:val="20"/>
        </w:rPr>
        <w:t>The impact of our 2021 annual review on Non-GAAP Operating Earnings was favorable by $8 million before taking into consideration the tax impacts or $6 million after tax. For the Individual Retirement segment, the impacts primaril</w:t>
      </w:r>
      <w:r>
        <w:rPr>
          <w:rFonts w:eastAsia="Times New Roman"/>
          <w:color w:val="000000"/>
          <w:sz w:val="20"/>
          <w:szCs w:val="20"/>
        </w:rPr>
        <w:t xml:space="preserve">y reflect updated mortality on our older payout business. For Group Retirement segment, the impacts reflect updated economic assumptions. The annual update for Protection Solutions segment reflects favorable economic conditions and surrenders primarily on </w:t>
      </w:r>
      <w:r>
        <w:rPr>
          <w:rFonts w:eastAsia="Times New Roman"/>
          <w:color w:val="000000"/>
          <w:sz w:val="20"/>
          <w:szCs w:val="20"/>
        </w:rPr>
        <w:t>the VUL line. This, in turn, creates future profits and lowers the accrual on our PFBL reserve.</w:t>
      </w:r>
    </w:p>
    <w:p w:rsidR="00000000" w:rsidRDefault="00C56D69">
      <w:pPr>
        <w:ind w:firstLine="360"/>
        <w:divId w:val="1333877115"/>
        <w:rPr>
          <w:rFonts w:eastAsia="Times New Roman"/>
        </w:rPr>
      </w:pPr>
      <w:r>
        <w:rPr>
          <w:rFonts w:eastAsia="Times New Roman"/>
          <w:color w:val="000000"/>
          <w:sz w:val="20"/>
          <w:szCs w:val="20"/>
        </w:rPr>
        <w:t xml:space="preserve">The net impact of assumption changes on Non-GAAP Operating Earnings in the third quarter 2021 decreased Policy charges and fee income by $28 million, increased </w:t>
      </w:r>
      <w:r>
        <w:rPr>
          <w:rFonts w:eastAsia="Times New Roman"/>
          <w:color w:val="000000"/>
          <w:sz w:val="20"/>
          <w:szCs w:val="20"/>
        </w:rPr>
        <w:t xml:space="preserve">Policyholders’ benefits by $22 million and decreased Amortization of DAC by $58 million. Non-GAAP Operating Earnings excludes items related to Variable annuity product features, such as changes in the fair value of the embedded derivatives associated with </w:t>
      </w:r>
      <w:r>
        <w:rPr>
          <w:rFonts w:eastAsia="Times New Roman"/>
          <w:color w:val="000000"/>
          <w:sz w:val="20"/>
          <w:szCs w:val="20"/>
        </w:rPr>
        <w:t>the GMIBNLG liability and the effect of benefit ratio unlock adjustments.</w:t>
      </w:r>
    </w:p>
    <w:p w:rsidR="00000000" w:rsidRDefault="00C56D69">
      <w:pPr>
        <w:divId w:val="1632326012"/>
        <w:rPr>
          <w:rFonts w:eastAsia="Times New Roman"/>
        </w:rPr>
      </w:pPr>
      <w:r>
        <w:rPr>
          <w:rFonts w:eastAsia="Times New Roman"/>
          <w:b/>
          <w:bCs/>
          <w:color w:val="000000"/>
          <w:sz w:val="20"/>
          <w:szCs w:val="20"/>
        </w:rPr>
        <w:t xml:space="preserve">Macroeconomic and Industry Trends </w:t>
      </w:r>
    </w:p>
    <w:p w:rsidR="00000000" w:rsidRDefault="00C56D69">
      <w:pPr>
        <w:ind w:firstLine="360"/>
        <w:divId w:val="811870292"/>
        <w:rPr>
          <w:rFonts w:eastAsia="Times New Roman"/>
        </w:rPr>
      </w:pPr>
      <w:r>
        <w:rPr>
          <w:rFonts w:eastAsia="Times New Roman"/>
          <w:color w:val="000000"/>
          <w:sz w:val="20"/>
          <w:szCs w:val="20"/>
        </w:rPr>
        <w:t>Our business and consolidated results of operations are significantly affected by economic conditions and consumer confidence, conditions in the gl</w:t>
      </w:r>
      <w:r>
        <w:rPr>
          <w:rFonts w:eastAsia="Times New Roman"/>
          <w:color w:val="000000"/>
          <w:sz w:val="20"/>
          <w:szCs w:val="20"/>
        </w:rPr>
        <w:t xml:space="preserve">obal capital markets and the interest rate environment. </w:t>
      </w:r>
    </w:p>
    <w:p w:rsidR="00000000" w:rsidRDefault="00C56D69">
      <w:pPr>
        <w:jc w:val="both"/>
        <w:divId w:val="1168211556"/>
        <w:rPr>
          <w:rFonts w:eastAsia="Times New Roman"/>
        </w:rPr>
      </w:pPr>
      <w:r>
        <w:rPr>
          <w:rFonts w:eastAsia="Times New Roman"/>
          <w:b/>
          <w:bCs/>
          <w:i/>
          <w:iCs/>
          <w:color w:val="000000"/>
          <w:sz w:val="20"/>
          <w:szCs w:val="20"/>
        </w:rPr>
        <w:t xml:space="preserve">Financial and Economic Environment </w:t>
      </w:r>
    </w:p>
    <w:p w:rsidR="00000000" w:rsidRDefault="00C56D69">
      <w:pPr>
        <w:ind w:firstLine="360"/>
        <w:divId w:val="1644770489"/>
        <w:rPr>
          <w:rFonts w:eastAsia="Times New Roman"/>
        </w:rPr>
      </w:pPr>
      <w:r>
        <w:rPr>
          <w:rFonts w:eastAsia="Times New Roman"/>
          <w:color w:val="000000"/>
          <w:sz w:val="20"/>
          <w:szCs w:val="20"/>
        </w:rPr>
        <w:t>A wide variety of factors continue to impact financial and economic conditions. These factors include, among others, increased volatility in the capital markets, e</w:t>
      </w:r>
      <w:r>
        <w:rPr>
          <w:rFonts w:eastAsia="Times New Roman"/>
          <w:color w:val="000000"/>
          <w:sz w:val="20"/>
          <w:szCs w:val="20"/>
        </w:rPr>
        <w:t xml:space="preserve">quity market declines, rising interest rates, inflationary pressures, plateauing or decreasing economic growth, high fuel and energy costs, changes in fiscal or monetary policy and geopolitical tensions. The </w:t>
      </w:r>
    </w:p>
    <w:p w:rsidR="00000000" w:rsidRDefault="00C56D69">
      <w:pPr>
        <w:jc w:val="center"/>
        <w:divId w:val="862521159"/>
        <w:rPr>
          <w:rFonts w:eastAsia="Times New Roman"/>
        </w:rPr>
      </w:pPr>
      <w:r>
        <w:rPr>
          <w:rFonts w:eastAsia="Times New Roman"/>
          <w:color w:val="000000"/>
          <w:sz w:val="20"/>
          <w:szCs w:val="20"/>
        </w:rPr>
        <w:t>75</w:t>
      </w:r>
    </w:p>
    <w:p w:rsidR="00000000" w:rsidRDefault="00C56D69">
      <w:pPr>
        <w:rPr>
          <w:rFonts w:eastAsia="Times New Roman"/>
        </w:rPr>
      </w:pPr>
      <w:r>
        <w:rPr>
          <w:rFonts w:eastAsia="Times New Roman"/>
        </w:rPr>
        <w:pict>
          <v:rect id="_x0000_i1101" style="width:0;height:1.5pt" o:hralign="center" o:hrstd="t" o:hr="t" fillcolor="#a0a0a0" stroked="f"/>
        </w:pict>
      </w:r>
    </w:p>
    <w:p w:rsidR="00000000" w:rsidRDefault="00C56D69">
      <w:pPr>
        <w:ind w:firstLine="360"/>
        <w:divId w:val="109709883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24065945"/>
        <w:rPr>
          <w:rFonts w:eastAsia="Times New Roman"/>
        </w:rPr>
      </w:pPr>
      <w:r>
        <w:rPr>
          <w:rFonts w:eastAsia="Times New Roman"/>
          <w:color w:val="000000"/>
          <w:sz w:val="20"/>
          <w:szCs w:val="20"/>
        </w:rPr>
        <w:t>invasion of Ukraine by Russia and the sanctions and other measures imposed in response to this conflict significantly increased the level of volatility in the financial markets and have i</w:t>
      </w:r>
      <w:r>
        <w:rPr>
          <w:rFonts w:eastAsia="Times New Roman"/>
          <w:color w:val="000000"/>
          <w:sz w:val="20"/>
          <w:szCs w:val="20"/>
        </w:rPr>
        <w:t>ncreased the level of economic and political uncertainty.</w:t>
      </w:r>
    </w:p>
    <w:p w:rsidR="00000000" w:rsidRDefault="00C56D69">
      <w:pPr>
        <w:ind w:firstLine="360"/>
        <w:divId w:val="297420443"/>
        <w:rPr>
          <w:rFonts w:eastAsia="Times New Roman"/>
        </w:rPr>
      </w:pPr>
      <w:r>
        <w:rPr>
          <w:rFonts w:eastAsia="Times New Roman"/>
          <w:color w:val="000000"/>
          <w:sz w:val="20"/>
          <w:szCs w:val="20"/>
        </w:rPr>
        <w:t>Stressed conditions, volatility and disruptions in the capital markets, particular markets, or financial asset classes can have an adverse effect on us, in part because we have a large investment po</w:t>
      </w:r>
      <w:r>
        <w:rPr>
          <w:rFonts w:eastAsia="Times New Roman"/>
          <w:color w:val="000000"/>
          <w:sz w:val="20"/>
          <w:szCs w:val="20"/>
        </w:rPr>
        <w:t>rtfolio. In addition, our insurance liabilities and derivatives are sensitive to changing market factors, including equity market performance and interest rates. During the third quarter 2022, equity markets continued their decline, while interest rates co</w:t>
      </w:r>
      <w:r>
        <w:rPr>
          <w:rFonts w:eastAsia="Times New Roman"/>
          <w:color w:val="000000"/>
          <w:sz w:val="20"/>
          <w:szCs w:val="20"/>
        </w:rPr>
        <w:t>ntinued to rise, and are anticipated to continue to rise throughout the year based on statements of members of the Board of Governors of the Federal Reserve System. An increase in market volatility could continue to affect our business, including through e</w:t>
      </w:r>
      <w:r>
        <w:rPr>
          <w:rFonts w:eastAsia="Times New Roman"/>
          <w:color w:val="000000"/>
          <w:sz w:val="20"/>
          <w:szCs w:val="20"/>
        </w:rPr>
        <w:t>ffects on the yields we earn on invested assets, changes in required reserves and capital and fluctuations in the value of our AUM, AV or AUA from which we derive our fee income. These effects could be exacerbated by uncertainty about future fiscal policy,</w:t>
      </w:r>
      <w:r>
        <w:rPr>
          <w:rFonts w:eastAsia="Times New Roman"/>
          <w:color w:val="000000"/>
          <w:sz w:val="20"/>
          <w:szCs w:val="20"/>
        </w:rPr>
        <w:t xml:space="preserve"> changes in tax policy, the scope of potential deregulation and levels of global trade. </w:t>
      </w:r>
    </w:p>
    <w:p w:rsidR="00000000" w:rsidRDefault="00C56D69">
      <w:pPr>
        <w:ind w:firstLine="360"/>
        <w:divId w:val="1450272305"/>
        <w:rPr>
          <w:rFonts w:eastAsia="Times New Roman"/>
        </w:rPr>
      </w:pPr>
      <w:r>
        <w:rPr>
          <w:rFonts w:eastAsia="Times New Roman"/>
          <w:color w:val="000000"/>
          <w:sz w:val="20"/>
          <w:szCs w:val="20"/>
        </w:rPr>
        <w:t>The potential for increased volatility, coupled with prevailing interest rates remaining below historical averages despite recent increases, could pressure sales and r</w:t>
      </w:r>
      <w:r>
        <w:rPr>
          <w:rFonts w:eastAsia="Times New Roman"/>
          <w:color w:val="000000"/>
          <w:sz w:val="20"/>
          <w:szCs w:val="20"/>
        </w:rPr>
        <w:t>educe demand for our products as consumers consider purchasing alternative products to meet their objectives. In addition, this environment could make it difficult to consistently develop products that are attractive to customers. Financial performance can</w:t>
      </w:r>
      <w:r>
        <w:rPr>
          <w:rFonts w:eastAsia="Times New Roman"/>
          <w:color w:val="000000"/>
          <w:sz w:val="20"/>
          <w:szCs w:val="20"/>
        </w:rPr>
        <w:t xml:space="preserve"> be adversely affected by market volatility and equity market declines as fees driven by AV and AUM fluctuate, hedging costs increase and revenues decline due to reduced sales and increased outflows. </w:t>
      </w:r>
    </w:p>
    <w:p w:rsidR="00000000" w:rsidRDefault="00C56D69">
      <w:pPr>
        <w:ind w:firstLine="360"/>
        <w:divId w:val="350185126"/>
        <w:rPr>
          <w:rFonts w:eastAsia="Times New Roman"/>
        </w:rPr>
      </w:pPr>
      <w:r>
        <w:rPr>
          <w:rFonts w:eastAsia="Times New Roman"/>
          <w:color w:val="000000"/>
          <w:sz w:val="20"/>
          <w:szCs w:val="20"/>
        </w:rPr>
        <w:t>We monitor the behavior of our customers and other fact</w:t>
      </w:r>
      <w:r>
        <w:rPr>
          <w:rFonts w:eastAsia="Times New Roman"/>
          <w:color w:val="000000"/>
          <w:sz w:val="20"/>
          <w:szCs w:val="20"/>
        </w:rPr>
        <w:t>ors, including mortality rates, morbidity rates, annuitization rates and lapse and surrender rates, which change in response to changes in capital market conditions, to ensure that our products and solutions remain attractive and profitable. For additional</w:t>
      </w:r>
      <w:r>
        <w:rPr>
          <w:rFonts w:eastAsia="Times New Roman"/>
          <w:color w:val="000000"/>
          <w:sz w:val="20"/>
          <w:szCs w:val="20"/>
        </w:rPr>
        <w:t xml:space="preserve"> information on our sensitivity to interest rates and capital market prices, see “Quantitative and Qualitative Disclosures About Market Risk.” </w:t>
      </w:r>
    </w:p>
    <w:p w:rsidR="00000000" w:rsidRDefault="00C56D69">
      <w:pPr>
        <w:jc w:val="both"/>
        <w:divId w:val="221795432"/>
        <w:rPr>
          <w:rFonts w:eastAsia="Times New Roman"/>
        </w:rPr>
      </w:pPr>
      <w:r>
        <w:rPr>
          <w:rFonts w:eastAsia="Times New Roman"/>
          <w:b/>
          <w:bCs/>
          <w:i/>
          <w:iCs/>
          <w:color w:val="000000"/>
          <w:sz w:val="20"/>
          <w:szCs w:val="20"/>
        </w:rPr>
        <w:t xml:space="preserve">Interest Rate Environment </w:t>
      </w:r>
    </w:p>
    <w:p w:rsidR="00000000" w:rsidRDefault="00C56D69">
      <w:pPr>
        <w:ind w:firstLine="360"/>
        <w:divId w:val="1268081161"/>
        <w:rPr>
          <w:rFonts w:eastAsia="Times New Roman"/>
        </w:rPr>
      </w:pPr>
      <w:r>
        <w:rPr>
          <w:rFonts w:eastAsia="Times New Roman"/>
          <w:color w:val="000000"/>
          <w:sz w:val="20"/>
          <w:szCs w:val="20"/>
        </w:rPr>
        <w:t>We believe the interest rate environment will continue to impact our business and fin</w:t>
      </w:r>
      <w:r>
        <w:rPr>
          <w:rFonts w:eastAsia="Times New Roman"/>
          <w:color w:val="000000"/>
          <w:sz w:val="20"/>
          <w:szCs w:val="20"/>
        </w:rPr>
        <w:t xml:space="preserve">ancial performance in the future for several reasons, including the following: </w:t>
      </w:r>
    </w:p>
    <w:p w:rsidR="00000000" w:rsidRDefault="00C56D69">
      <w:pPr>
        <w:ind w:hanging="360"/>
        <w:jc w:val="both"/>
        <w:divId w:val="293754550"/>
        <w:rPr>
          <w:rFonts w:eastAsia="Times New Roman"/>
        </w:rPr>
      </w:pPr>
      <w:r>
        <w:rPr>
          <w:rFonts w:eastAsia="Times New Roman"/>
          <w:color w:val="000000"/>
          <w:sz w:val="20"/>
          <w:szCs w:val="20"/>
        </w:rPr>
        <w:t>•Certain of our variable annuity and life insurance products pay guaranteed minimum interest crediting rates. We are required to pay these guaranteed minimum rates even if earn</w:t>
      </w:r>
      <w:r>
        <w:rPr>
          <w:rFonts w:eastAsia="Times New Roman"/>
          <w:color w:val="000000"/>
          <w:sz w:val="20"/>
          <w:szCs w:val="20"/>
        </w:rPr>
        <w:t>ings on our investment portfolio decline, with the resulting investment margin compression negatively impacting earnings. In addition, we expect more policyholders to hold policies with comparatively high guaranteed rates longer (lower lapse rates) in a lo</w:t>
      </w:r>
      <w:r>
        <w:rPr>
          <w:rFonts w:eastAsia="Times New Roman"/>
          <w:color w:val="000000"/>
          <w:sz w:val="20"/>
          <w:szCs w:val="20"/>
        </w:rPr>
        <w:t xml:space="preserve">w interest rate environment. Conversely, a rise in average yield on our investment portfolio should positively impact earnings. Similarly, we expect policyholders would be less likely to hold policies with existing guaranteed rates (higher lapse rates) as </w:t>
      </w:r>
      <w:r>
        <w:rPr>
          <w:rFonts w:eastAsia="Times New Roman"/>
          <w:color w:val="000000"/>
          <w:sz w:val="20"/>
          <w:szCs w:val="20"/>
        </w:rPr>
        <w:t xml:space="preserve">interest rates rise. </w:t>
      </w:r>
    </w:p>
    <w:p w:rsidR="00000000" w:rsidRDefault="00C56D69">
      <w:pPr>
        <w:ind w:hanging="360"/>
        <w:divId w:val="572011843"/>
        <w:rPr>
          <w:rFonts w:eastAsia="Times New Roman"/>
        </w:rPr>
      </w:pPr>
      <w:r>
        <w:rPr>
          <w:rFonts w:eastAsia="Times New Roman"/>
          <w:color w:val="000000"/>
          <w:sz w:val="20"/>
          <w:szCs w:val="20"/>
        </w:rPr>
        <w:t>•A prolonged low interest rate environment also may subject us to increased hedging costs or an increase in the amount of statutory reserves that our insurance subsidiaries are required to hold for GMxB features, lowering their statut</w:t>
      </w:r>
      <w:r>
        <w:rPr>
          <w:rFonts w:eastAsia="Times New Roman"/>
          <w:color w:val="000000"/>
          <w:sz w:val="20"/>
          <w:szCs w:val="20"/>
        </w:rPr>
        <w:t xml:space="preserve">ory surplus, which would adversely affect their ability to pay dividends to us. In addition, it may also increase the perceived value of GMxB features to our policyholders, which in turn may lead to a higher rate of annuitization and higher persistency of </w:t>
      </w:r>
      <w:r>
        <w:rPr>
          <w:rFonts w:eastAsia="Times New Roman"/>
          <w:color w:val="000000"/>
          <w:sz w:val="20"/>
          <w:szCs w:val="20"/>
        </w:rPr>
        <w:t xml:space="preserve">those products over time. Finally, low interest rates may continue to cause an acceleration of DAC amortization or reserve increase due to loss recognition for interest sensitive products, primarily for our Protection Solutions segment. </w:t>
      </w:r>
    </w:p>
    <w:p w:rsidR="00000000" w:rsidRDefault="00C56D69">
      <w:pPr>
        <w:ind w:firstLine="360"/>
        <w:divId w:val="1438283138"/>
        <w:rPr>
          <w:rFonts w:eastAsia="Times New Roman"/>
        </w:rPr>
      </w:pPr>
      <w:r>
        <w:rPr>
          <w:rFonts w:eastAsia="Times New Roman"/>
          <w:color w:val="000000"/>
          <w:sz w:val="20"/>
          <w:szCs w:val="20"/>
        </w:rPr>
        <w:t>For a discussion o</w:t>
      </w:r>
      <w:r>
        <w:rPr>
          <w:rFonts w:eastAsia="Times New Roman"/>
          <w:color w:val="000000"/>
          <w:sz w:val="20"/>
          <w:szCs w:val="20"/>
        </w:rPr>
        <w:t>n derivatives we used to hedge interest rates, see Note 4 of the Notes to the Consolidated Financial Statements in this Form 10-Q.</w:t>
      </w:r>
    </w:p>
    <w:p w:rsidR="00000000" w:rsidRDefault="00C56D69">
      <w:pPr>
        <w:jc w:val="both"/>
        <w:divId w:val="901600004"/>
        <w:rPr>
          <w:rFonts w:eastAsia="Times New Roman"/>
        </w:rPr>
      </w:pPr>
      <w:r>
        <w:rPr>
          <w:rFonts w:eastAsia="Times New Roman"/>
          <w:b/>
          <w:bCs/>
          <w:i/>
          <w:iCs/>
          <w:color w:val="000000"/>
          <w:sz w:val="20"/>
          <w:szCs w:val="20"/>
        </w:rPr>
        <w:t xml:space="preserve">Regulatory Developments </w:t>
      </w:r>
    </w:p>
    <w:p w:rsidR="00000000" w:rsidRDefault="00C56D69">
      <w:pPr>
        <w:ind w:firstLine="360"/>
        <w:divId w:val="1321694369"/>
        <w:rPr>
          <w:rFonts w:eastAsia="Times New Roman"/>
        </w:rPr>
      </w:pPr>
      <w:r>
        <w:rPr>
          <w:rFonts w:eastAsia="Times New Roman"/>
          <w:color w:val="000000"/>
          <w:sz w:val="20"/>
          <w:szCs w:val="20"/>
        </w:rPr>
        <w:t>Our life insurance subsidiaries are regulated primarily at the state level, with some policies and products also subject to federal regulation. In addition, Holdings and its insurance subsidiaries are subject to regulation under the insurance holding compa</w:t>
      </w:r>
      <w:r>
        <w:rPr>
          <w:rFonts w:eastAsia="Times New Roman"/>
          <w:color w:val="000000"/>
          <w:sz w:val="20"/>
          <w:szCs w:val="20"/>
        </w:rPr>
        <w:t>ny laws of various U.S. jurisdictions. Furthermore, on an ongoing basis, regulators refine capital requirements and introduce new reserving standards. Regulations recently adopted or currently under review can potentially impact our statutory reserve, capi</w:t>
      </w:r>
      <w:r>
        <w:rPr>
          <w:rFonts w:eastAsia="Times New Roman"/>
          <w:color w:val="000000"/>
          <w:sz w:val="20"/>
          <w:szCs w:val="20"/>
        </w:rPr>
        <w:t>tal requirements and profitability of the industry and result in increased regulation and oversight for the industry. For additional information on regulatory developments and the risks we face, see “Business—Regulation” and “Risk Factors—Legal and Regulat</w:t>
      </w:r>
      <w:r>
        <w:rPr>
          <w:rFonts w:eastAsia="Times New Roman"/>
          <w:color w:val="000000"/>
          <w:sz w:val="20"/>
          <w:szCs w:val="20"/>
        </w:rPr>
        <w:t>ory Risks.” in the 2021 Form 10-K.</w:t>
      </w:r>
    </w:p>
    <w:p w:rsidR="00000000" w:rsidRDefault="00C56D69">
      <w:pPr>
        <w:jc w:val="center"/>
        <w:divId w:val="2126150938"/>
        <w:rPr>
          <w:rFonts w:eastAsia="Times New Roman"/>
        </w:rPr>
      </w:pPr>
      <w:r>
        <w:rPr>
          <w:rFonts w:eastAsia="Times New Roman"/>
          <w:color w:val="000000"/>
          <w:sz w:val="20"/>
          <w:szCs w:val="20"/>
        </w:rPr>
        <w:t>76</w:t>
      </w:r>
    </w:p>
    <w:p w:rsidR="00000000" w:rsidRDefault="00C56D69">
      <w:pPr>
        <w:rPr>
          <w:rFonts w:eastAsia="Times New Roman"/>
        </w:rPr>
      </w:pPr>
      <w:r>
        <w:rPr>
          <w:rFonts w:eastAsia="Times New Roman"/>
        </w:rPr>
        <w:pict>
          <v:rect id="_x0000_i1102" style="width:0;height:1.5pt" o:hralign="center" o:hrstd="t" o:hr="t" fillcolor="#a0a0a0" stroked="f"/>
        </w:pict>
      </w:r>
    </w:p>
    <w:p w:rsidR="00000000" w:rsidRDefault="00C56D69">
      <w:pPr>
        <w:ind w:firstLine="360"/>
        <w:divId w:val="845443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1093942438"/>
        <w:rPr>
          <w:rFonts w:eastAsia="Times New Roman"/>
        </w:rPr>
      </w:pPr>
      <w:r>
        <w:rPr>
          <w:rFonts w:eastAsia="Times New Roman"/>
          <w:i/>
          <w:iCs/>
          <w:color w:val="000000"/>
          <w:sz w:val="20"/>
          <w:szCs w:val="20"/>
        </w:rPr>
        <w:t>Inflation Reduction Act.</w:t>
      </w:r>
      <w:r>
        <w:rPr>
          <w:rFonts w:eastAsia="Times New Roman"/>
          <w:color w:val="000000"/>
          <w:sz w:val="20"/>
          <w:szCs w:val="20"/>
        </w:rPr>
        <w:t xml:space="preserve"> On August 16, 2022, President Biden signed the Inflation Reduction Act into law which introduces a 15% minimum tax bas</w:t>
      </w:r>
      <w:r>
        <w:rPr>
          <w:rFonts w:eastAsia="Times New Roman"/>
          <w:color w:val="000000"/>
          <w:sz w:val="20"/>
          <w:szCs w:val="20"/>
        </w:rPr>
        <w:t>ed on financial statement income as well as a 1% excise tax on share buybacks, effective for tax years beginning in 2023. While neither the minimum tax nor the excise tax on share buybacks are currently expected to have a significant impact on the Company,</w:t>
      </w:r>
      <w:r>
        <w:rPr>
          <w:rFonts w:eastAsia="Times New Roman"/>
          <w:color w:val="000000"/>
          <w:sz w:val="20"/>
          <w:szCs w:val="20"/>
        </w:rPr>
        <w:t xml:space="preserve"> we continue to monitor developments and regulations associated with the Inflation Reduction Act for any potential future impacts on our business, results of operations and financial condition.</w:t>
      </w:r>
    </w:p>
    <w:p w:rsidR="00000000" w:rsidRDefault="00C56D69">
      <w:pPr>
        <w:ind w:firstLine="360"/>
        <w:divId w:val="1376387478"/>
        <w:rPr>
          <w:rFonts w:eastAsia="Times New Roman"/>
        </w:rPr>
      </w:pPr>
      <w:r>
        <w:rPr>
          <w:rFonts w:eastAsia="Times New Roman"/>
          <w:i/>
          <w:iCs/>
          <w:color w:val="000000"/>
          <w:sz w:val="20"/>
          <w:szCs w:val="20"/>
        </w:rPr>
        <w:t>Climate Risks.</w:t>
      </w:r>
      <w:r>
        <w:rPr>
          <w:rFonts w:eastAsia="Times New Roman"/>
          <w:color w:val="000000"/>
          <w:sz w:val="20"/>
          <w:szCs w:val="20"/>
        </w:rPr>
        <w:t xml:space="preserve"> In March 2022, the SEC released proposed rule c</w:t>
      </w:r>
      <w:r>
        <w:rPr>
          <w:rFonts w:eastAsia="Times New Roman"/>
          <w:color w:val="000000"/>
          <w:sz w:val="20"/>
          <w:szCs w:val="20"/>
        </w:rPr>
        <w:t>hanges on climate-related disclosure. The proposed rule changes would require companies to include certain climate-related disclosures including information about climate-related risks that have had or reasonably likely to have a material impact on their b</w:t>
      </w:r>
      <w:r>
        <w:rPr>
          <w:rFonts w:eastAsia="Times New Roman"/>
          <w:color w:val="000000"/>
          <w:sz w:val="20"/>
          <w:szCs w:val="20"/>
        </w:rPr>
        <w:t>usiness, results of operations, or financial condition, and certain climate-related financial statement metrics in a note to the audited financial statements. Among other things, the required information about climate-related risks also would include discl</w:t>
      </w:r>
      <w:r>
        <w:rPr>
          <w:rFonts w:eastAsia="Times New Roman"/>
          <w:color w:val="000000"/>
          <w:sz w:val="20"/>
          <w:szCs w:val="20"/>
        </w:rPr>
        <w:t xml:space="preserve">osure of a company’s greenhouse gas emissions, information about climate-related targets and goals, and if a transition plan, has been adopted as part of climate-related risk management strategy, and requires extensive attestation requirements. If adopted </w:t>
      </w:r>
      <w:r>
        <w:rPr>
          <w:rFonts w:eastAsia="Times New Roman"/>
          <w:color w:val="000000"/>
          <w:sz w:val="20"/>
          <w:szCs w:val="20"/>
        </w:rPr>
        <w:t>as proposed, the rule changes are expected to result in additional compliance and reporting costs.</w:t>
      </w:r>
    </w:p>
    <w:p w:rsidR="00000000" w:rsidRDefault="00C56D69">
      <w:pPr>
        <w:ind w:firstLine="360"/>
        <w:divId w:val="1336301153"/>
        <w:rPr>
          <w:rFonts w:eastAsia="Times New Roman"/>
        </w:rPr>
      </w:pPr>
      <w:r>
        <w:rPr>
          <w:rFonts w:eastAsia="Times New Roman"/>
          <w:i/>
          <w:iCs/>
          <w:color w:val="000000"/>
          <w:sz w:val="20"/>
          <w:szCs w:val="20"/>
        </w:rPr>
        <w:t>Privacy and Security of Customer Information and Cybersecurity Regulation</w:t>
      </w:r>
      <w:r>
        <w:rPr>
          <w:rFonts w:eastAsia="Times New Roman"/>
          <w:color w:val="000000"/>
          <w:sz w:val="20"/>
          <w:szCs w:val="20"/>
        </w:rPr>
        <w:t>. In March 2022, the SEC released proposed rules enhancing cybersecurity risk and ma</w:t>
      </w:r>
      <w:r>
        <w:rPr>
          <w:rFonts w:eastAsia="Times New Roman"/>
          <w:color w:val="000000"/>
          <w:sz w:val="20"/>
          <w:szCs w:val="20"/>
        </w:rPr>
        <w:t>nagement disclosure requirements for companies. If enacted, the proposed rules would, among other things, require disclosure of any material cybersecurity incident on its Form 8-K within four business days of determining that the incident it has experience</w:t>
      </w:r>
      <w:r>
        <w:rPr>
          <w:rFonts w:eastAsia="Times New Roman"/>
          <w:color w:val="000000"/>
          <w:sz w:val="20"/>
          <w:szCs w:val="20"/>
        </w:rPr>
        <w:t>d is material. They would also require periodic disclosures of, among other things, (i) details on the company’s cybersecurity policies and procedures, (ii) cybersecurity governance, oversight policies and risk management policies, including the board of d</w:t>
      </w:r>
      <w:r>
        <w:rPr>
          <w:rFonts w:eastAsia="Times New Roman"/>
          <w:color w:val="000000"/>
          <w:sz w:val="20"/>
          <w:szCs w:val="20"/>
        </w:rPr>
        <w:t>irectors’ oversight of cybersecurity risks, (iii) the relevant expertise of members of the board of directors with respect to cybersecurity issues and (iv) details of any cybersecurity incident that was previously disclosed on Form 8-K, as well as any undi</w:t>
      </w:r>
      <w:r>
        <w:rPr>
          <w:rFonts w:eastAsia="Times New Roman"/>
          <w:color w:val="000000"/>
          <w:sz w:val="20"/>
          <w:szCs w:val="20"/>
        </w:rPr>
        <w:t>sclosed incidents that were non-material, but have become material in the aggregate.</w:t>
      </w:r>
    </w:p>
    <w:p w:rsidR="00000000" w:rsidRDefault="00C56D69">
      <w:pPr>
        <w:ind w:firstLine="360"/>
        <w:divId w:val="1812013261"/>
        <w:rPr>
          <w:rFonts w:eastAsia="Times New Roman"/>
        </w:rPr>
      </w:pPr>
      <w:r>
        <w:rPr>
          <w:rFonts w:eastAsia="Times New Roman"/>
          <w:color w:val="000000"/>
          <w:sz w:val="20"/>
          <w:szCs w:val="20"/>
        </w:rPr>
        <w:t>In July 2022, the NYDFS proposed amendments to the New York Cybersecurity Requirements for Financial Services Companies promulgated by the NYDFS in March 2017. The amendme</w:t>
      </w:r>
      <w:r>
        <w:rPr>
          <w:rFonts w:eastAsia="Times New Roman"/>
          <w:color w:val="000000"/>
          <w:sz w:val="20"/>
          <w:szCs w:val="20"/>
        </w:rPr>
        <w:t>nts, if adopted, would require new reporting, governance and oversight measures be implemented, enhance certain cybersecurity safeguards (e.g., annual audits, vulnerability assessments, and password controls and monitoring), and mandate notifications in th</w:t>
      </w:r>
      <w:r>
        <w:rPr>
          <w:rFonts w:eastAsia="Times New Roman"/>
          <w:color w:val="000000"/>
          <w:sz w:val="20"/>
          <w:szCs w:val="20"/>
        </w:rPr>
        <w:t>e event that a covered entity makes a cyber-ransom payment. The pre-proposal comment period on these draft amendments ended in August 2022, and an additional comment period is expected in the future.</w:t>
      </w:r>
    </w:p>
    <w:p w:rsidR="00000000" w:rsidRDefault="00C56D69">
      <w:pPr>
        <w:ind w:firstLine="360"/>
        <w:divId w:val="2079940651"/>
        <w:rPr>
          <w:rFonts w:eastAsia="Times New Roman"/>
        </w:rPr>
      </w:pPr>
      <w:r>
        <w:rPr>
          <w:rFonts w:eastAsia="Times New Roman"/>
          <w:i/>
          <w:iCs/>
          <w:color w:val="000000"/>
          <w:sz w:val="20"/>
          <w:szCs w:val="20"/>
        </w:rPr>
        <w:t xml:space="preserve">Fiduciary Rules / “Best Interest” Standards of Conduct. </w:t>
      </w:r>
      <w:r>
        <w:rPr>
          <w:rFonts w:eastAsia="Times New Roman"/>
          <w:color w:val="000000"/>
          <w:sz w:val="20"/>
          <w:szCs w:val="20"/>
        </w:rPr>
        <w:t xml:space="preserve">The NYDFS’ amendments to Regulation 187 - Suitability and Best Interests in Life Insurance and Annuity Transactions (“Regulation 187”) incorporate the “best interest” standard for annuity transactions and they expand the scope of the regulation to include </w:t>
      </w:r>
      <w:r>
        <w:rPr>
          <w:rFonts w:eastAsia="Times New Roman"/>
          <w:color w:val="000000"/>
          <w:sz w:val="20"/>
          <w:szCs w:val="20"/>
        </w:rPr>
        <w:t>sales of life insurance policies to consumers. In April 2021, the Appellate Division of the New York Supreme Court overturned Regulation 187 for being unconstitutionally vague, although the New York State Court of Appeals reversed this ruling on October 20</w:t>
      </w:r>
      <w:r>
        <w:rPr>
          <w:rFonts w:eastAsia="Times New Roman"/>
          <w:color w:val="000000"/>
          <w:sz w:val="20"/>
          <w:szCs w:val="20"/>
        </w:rPr>
        <w:t>, 2022. We cannot predict whether any rules or rule amendments will be adopted by either the SEC or NYDFS, what form any such final rules may take, or what effect adoption of such rules or amendments would have on our business or compliance costs.</w:t>
      </w:r>
    </w:p>
    <w:p w:rsidR="00000000" w:rsidRDefault="00C56D69">
      <w:pPr>
        <w:divId w:val="94600538"/>
        <w:rPr>
          <w:rFonts w:eastAsia="Times New Roman"/>
        </w:rPr>
      </w:pPr>
      <w:r>
        <w:rPr>
          <w:rFonts w:eastAsia="Times New Roman"/>
          <w:b/>
          <w:bCs/>
          <w:color w:val="000000"/>
          <w:sz w:val="20"/>
          <w:szCs w:val="20"/>
        </w:rPr>
        <w:t>Producti</w:t>
      </w:r>
      <w:r>
        <w:rPr>
          <w:rFonts w:eastAsia="Times New Roman"/>
          <w:b/>
          <w:bCs/>
          <w:color w:val="000000"/>
          <w:sz w:val="20"/>
          <w:szCs w:val="20"/>
        </w:rPr>
        <w:t xml:space="preserve">vity Strategies </w:t>
      </w:r>
    </w:p>
    <w:p w:rsidR="00000000" w:rsidRDefault="00C56D69">
      <w:pPr>
        <w:divId w:val="111168498"/>
        <w:rPr>
          <w:rFonts w:eastAsia="Times New Roman"/>
        </w:rPr>
      </w:pPr>
      <w:r>
        <w:rPr>
          <w:rFonts w:eastAsia="Times New Roman"/>
          <w:i/>
          <w:iCs/>
          <w:color w:val="000000"/>
          <w:sz w:val="20"/>
          <w:szCs w:val="20"/>
          <w:u w:val="single"/>
        </w:rPr>
        <w:t xml:space="preserve">Retirement and Protection Businesses </w:t>
      </w:r>
    </w:p>
    <w:p w:rsidR="00000000" w:rsidRDefault="00C56D69">
      <w:pPr>
        <w:ind w:firstLine="360"/>
        <w:divId w:val="725177438"/>
        <w:rPr>
          <w:rFonts w:eastAsia="Times New Roman"/>
        </w:rPr>
      </w:pPr>
      <w:r>
        <w:rPr>
          <w:rFonts w:eastAsia="Times New Roman"/>
          <w:color w:val="000000"/>
          <w:sz w:val="20"/>
          <w:szCs w:val="20"/>
        </w:rPr>
        <w:t xml:space="preserve">As part of our continuing efforts to drive productivity improvements, in January 2021, we began a new program expected to achieve $80 million of targeted run-rate expense savings by 2023, of which $43 </w:t>
      </w:r>
      <w:r>
        <w:rPr>
          <w:rFonts w:eastAsia="Times New Roman"/>
          <w:color w:val="000000"/>
          <w:sz w:val="20"/>
          <w:szCs w:val="20"/>
        </w:rPr>
        <w:t>million has been achieved as of September 30, 2022. We expect to achieve these savings by shifting our workforce into an agile working model, leveraging technology-enabled capabilities, optimizing our real estate footprint, and continuing to realize a port</w:t>
      </w:r>
      <w:r>
        <w:rPr>
          <w:rFonts w:eastAsia="Times New Roman"/>
          <w:color w:val="000000"/>
          <w:sz w:val="20"/>
          <w:szCs w:val="20"/>
        </w:rPr>
        <w:t xml:space="preserve">ion of COVID-19 related savings. </w:t>
      </w:r>
    </w:p>
    <w:p w:rsidR="00000000" w:rsidRDefault="00C56D69">
      <w:pPr>
        <w:jc w:val="center"/>
        <w:divId w:val="736440280"/>
        <w:rPr>
          <w:rFonts w:eastAsia="Times New Roman"/>
        </w:rPr>
      </w:pPr>
      <w:r>
        <w:rPr>
          <w:rFonts w:eastAsia="Times New Roman"/>
          <w:color w:val="000000"/>
          <w:sz w:val="20"/>
          <w:szCs w:val="20"/>
        </w:rPr>
        <w:t>77</w:t>
      </w:r>
    </w:p>
    <w:p w:rsidR="00000000" w:rsidRDefault="00C56D69">
      <w:pPr>
        <w:rPr>
          <w:rFonts w:eastAsia="Times New Roman"/>
        </w:rPr>
      </w:pPr>
      <w:r>
        <w:rPr>
          <w:rFonts w:eastAsia="Times New Roman"/>
        </w:rPr>
        <w:pict>
          <v:rect id="_x0000_i1103" style="width:0;height:1.5pt" o:hralign="center" o:hrstd="t" o:hr="t" fillcolor="#a0a0a0" stroked="f"/>
        </w:pict>
      </w:r>
    </w:p>
    <w:p w:rsidR="00000000" w:rsidRDefault="00C56D69">
      <w:pPr>
        <w:ind w:firstLine="360"/>
        <w:divId w:val="20698852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68300939"/>
        <w:rPr>
          <w:rFonts w:eastAsia="Times New Roman"/>
        </w:rPr>
      </w:pPr>
      <w:r>
        <w:rPr>
          <w:rFonts w:eastAsia="Times New Roman"/>
          <w:b/>
          <w:bCs/>
          <w:color w:val="000000"/>
          <w:sz w:val="20"/>
          <w:szCs w:val="20"/>
        </w:rPr>
        <w:t xml:space="preserve">Key Operating Measures </w:t>
      </w:r>
    </w:p>
    <w:p w:rsidR="00000000" w:rsidRDefault="00C56D69">
      <w:pPr>
        <w:ind w:firstLine="360"/>
        <w:divId w:val="402027392"/>
        <w:rPr>
          <w:rFonts w:eastAsia="Times New Roman"/>
        </w:rPr>
      </w:pPr>
      <w:r>
        <w:rPr>
          <w:rFonts w:eastAsia="Times New Roman"/>
          <w:color w:val="000000"/>
          <w:sz w:val="20"/>
          <w:szCs w:val="20"/>
        </w:rPr>
        <w:t>In addition to our results presented in accordance with U.S. GAAP, we report Non-</w:t>
      </w:r>
      <w:r>
        <w:rPr>
          <w:rFonts w:eastAsia="Times New Roman"/>
          <w:color w:val="000000"/>
          <w:sz w:val="20"/>
          <w:szCs w:val="20"/>
        </w:rPr>
        <w:t>GAAP Operating Earnings, Non-GAAP Operating ROE, and Non-GAAP operating common EPS, each of which is a measure that is not determined in accordance with U.S. GAAP. Management principally uses these non-GAAP financial measures in evaluating performance beca</w:t>
      </w:r>
      <w:r>
        <w:rPr>
          <w:rFonts w:eastAsia="Times New Roman"/>
          <w:color w:val="000000"/>
          <w:sz w:val="20"/>
          <w:szCs w:val="20"/>
        </w:rPr>
        <w:t xml:space="preserve">use they present a clearer picture of our operating performance and they allow management to allocate resources. Similarly, management believes that the use of these Non-GAAP financial measures, together with relevant U.S. GAAP measures, provide investors </w:t>
      </w:r>
      <w:r>
        <w:rPr>
          <w:rFonts w:eastAsia="Times New Roman"/>
          <w:color w:val="000000"/>
          <w:sz w:val="20"/>
          <w:szCs w:val="20"/>
        </w:rPr>
        <w:t xml:space="preserve">with a better understanding of our results of operations and the underlying profitability drivers and trends of our business. These non-GAAP financial measures are intended to remove from our results of operations the impact of market changes (where there </w:t>
      </w:r>
      <w:r>
        <w:rPr>
          <w:rFonts w:eastAsia="Times New Roman"/>
          <w:color w:val="000000"/>
          <w:sz w:val="20"/>
          <w:szCs w:val="20"/>
        </w:rPr>
        <w:t xml:space="preserve">is mismatch in the valuation of assets and liabilities) as well as certain other expenses which are not part of our underlying profitability drivers or likely to re-occur in the foreseeable future, as such items fluctuate from period-to-period in a manner </w:t>
      </w:r>
      <w:r>
        <w:rPr>
          <w:rFonts w:eastAsia="Times New Roman"/>
          <w:color w:val="000000"/>
          <w:sz w:val="20"/>
          <w:szCs w:val="20"/>
        </w:rPr>
        <w:t xml:space="preserve">inconsistent with these drivers. These measures should be considered supplementary to our results that are presented in accordance with U.S. GAAP and should not be viewed as a substitute for the U.S. GAAP measures. Other companies may use similarly titled </w:t>
      </w:r>
      <w:r>
        <w:rPr>
          <w:rFonts w:eastAsia="Times New Roman"/>
          <w:color w:val="000000"/>
          <w:sz w:val="20"/>
          <w:szCs w:val="20"/>
        </w:rPr>
        <w:t xml:space="preserve">non-GAAP financial measures that are calculated differently from the way we calculate such measures. Consequently, our non-GAAP financial measures may not be comparable to similar measures used by other companies. </w:t>
      </w:r>
    </w:p>
    <w:p w:rsidR="00000000" w:rsidRDefault="00C56D69">
      <w:pPr>
        <w:ind w:firstLine="360"/>
        <w:divId w:val="752549938"/>
        <w:rPr>
          <w:rFonts w:eastAsia="Times New Roman"/>
        </w:rPr>
      </w:pPr>
      <w:r>
        <w:rPr>
          <w:rFonts w:eastAsia="Times New Roman"/>
          <w:color w:val="000000"/>
          <w:sz w:val="20"/>
          <w:szCs w:val="20"/>
        </w:rPr>
        <w:t>We also discuss certain operating measures, including AUM, AUA, AV, Protection Solutions Reserves and certain other operating measures, which management believes provide useful information about our businesses and the operational factors underlying our fin</w:t>
      </w:r>
      <w:r>
        <w:rPr>
          <w:rFonts w:eastAsia="Times New Roman"/>
          <w:color w:val="000000"/>
          <w:sz w:val="20"/>
          <w:szCs w:val="20"/>
        </w:rPr>
        <w:t xml:space="preserve">ancial performance. </w:t>
      </w:r>
    </w:p>
    <w:p w:rsidR="00000000" w:rsidRDefault="00C56D69">
      <w:pPr>
        <w:jc w:val="both"/>
        <w:divId w:val="416558580"/>
        <w:rPr>
          <w:rFonts w:eastAsia="Times New Roman"/>
        </w:rPr>
      </w:pPr>
      <w:r>
        <w:rPr>
          <w:rFonts w:eastAsia="Times New Roman"/>
          <w:b/>
          <w:bCs/>
          <w:i/>
          <w:iCs/>
          <w:color w:val="000000"/>
          <w:sz w:val="20"/>
          <w:szCs w:val="20"/>
        </w:rPr>
        <w:t xml:space="preserve">Non-GAAP Operating Earnings </w:t>
      </w:r>
    </w:p>
    <w:p w:rsidR="00000000" w:rsidRDefault="00C56D69">
      <w:pPr>
        <w:ind w:firstLine="360"/>
        <w:divId w:val="1985893553"/>
        <w:rPr>
          <w:rFonts w:eastAsia="Times New Roman"/>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w:t>
      </w:r>
      <w:r>
        <w:rPr>
          <w:rFonts w:eastAsia="Times New Roman"/>
          <w:color w:val="000000"/>
          <w:sz w:val="20"/>
          <w:szCs w:val="20"/>
        </w:rPr>
        <w:t xml:space="preserve"> after-tax net income attributable to Holdings. The most significant of such adjustments relates to our derivative positions, which protect economic value and statutory capital, and are more sensitive to changes in market conditions than the variable annui</w:t>
      </w:r>
      <w:r>
        <w:rPr>
          <w:rFonts w:eastAsia="Times New Roman"/>
          <w:color w:val="000000"/>
          <w:sz w:val="20"/>
          <w:szCs w:val="20"/>
        </w:rPr>
        <w:t xml:space="preserve">ty product liabilities as valued under U.S. GAAP. This is a large source of volatility in net income. </w:t>
      </w:r>
    </w:p>
    <w:p w:rsidR="00000000" w:rsidRDefault="00C56D69">
      <w:pPr>
        <w:ind w:firstLine="360"/>
        <w:divId w:val="541400086"/>
        <w:rPr>
          <w:rFonts w:eastAsia="Times New Roman"/>
        </w:rPr>
      </w:pPr>
      <w:r>
        <w:rPr>
          <w:rFonts w:eastAsia="Times New Roman"/>
          <w:color w:val="000000"/>
          <w:sz w:val="20"/>
          <w:szCs w:val="20"/>
        </w:rPr>
        <w:t>Non-GAAP Operating Earnings equals our consolidated after-tax net income attributable to Holdings adjusted to eliminate the impact of the following items</w:t>
      </w:r>
      <w:r>
        <w:rPr>
          <w:rFonts w:eastAsia="Times New Roman"/>
          <w:color w:val="000000"/>
          <w:sz w:val="20"/>
          <w:szCs w:val="20"/>
        </w:rPr>
        <w:t xml:space="preserve">: </w:t>
      </w:r>
    </w:p>
    <w:p w:rsidR="00000000" w:rsidRDefault="00C56D69">
      <w:pPr>
        <w:ind w:hanging="360"/>
        <w:divId w:val="116267907"/>
        <w:rPr>
          <w:rFonts w:eastAsia="Times New Roman"/>
        </w:rPr>
      </w:pPr>
      <w:r>
        <w:rPr>
          <w:rFonts w:ascii="Calibri" w:eastAsia="Times New Roman" w:hAnsi="Calibri" w:cs="Calibri"/>
          <w:color w:val="000000"/>
          <w:sz w:val="22"/>
          <w:szCs w:val="22"/>
        </w:rPr>
        <w:t>•</w:t>
      </w: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including extraordinar</w:t>
      </w:r>
      <w:r>
        <w:rPr>
          <w:rFonts w:eastAsia="Times New Roman"/>
          <w:color w:val="000000"/>
          <w:sz w:val="20"/>
          <w:szCs w:val="20"/>
        </w:rPr>
        <w:t xml:space="preserve">y economic conditions or events such as COVID-19; (iii) changes in the fair value of the embedded derivatives reflected within variable annuity products’ net derivative results and the impact of these items on DAC amortization on our SCS product; and (iv) </w:t>
      </w:r>
      <w:r>
        <w:rPr>
          <w:rFonts w:eastAsia="Times New Roman"/>
          <w:color w:val="000000"/>
          <w:sz w:val="20"/>
          <w:szCs w:val="20"/>
        </w:rPr>
        <w:t xml:space="preserve">DAC amortization for the SCS variable annuity product arising from near-term fluctuations in index segment returns; </w:t>
      </w:r>
    </w:p>
    <w:p w:rsidR="00000000" w:rsidRDefault="00C56D69">
      <w:pPr>
        <w:ind w:hanging="360"/>
        <w:jc w:val="both"/>
        <w:divId w:val="114645825"/>
        <w:rPr>
          <w:rFonts w:eastAsia="Times New Roman"/>
        </w:rPr>
      </w:pPr>
      <w:r>
        <w:rPr>
          <w:rFonts w:eastAsia="Times New Roman"/>
          <w:color w:val="000000"/>
          <w:sz w:val="20"/>
          <w:szCs w:val="20"/>
        </w:rPr>
        <w:t>•Investment (gains) losses, which includes credit loss impairments of securities/investments, sales or disposals of securities/investments,</w:t>
      </w:r>
      <w:r>
        <w:rPr>
          <w:rFonts w:eastAsia="Times New Roman"/>
          <w:color w:val="000000"/>
          <w:sz w:val="20"/>
          <w:szCs w:val="20"/>
        </w:rPr>
        <w:t xml:space="preserve"> realized capital gains/losses and valuation allowances; </w:t>
      </w:r>
    </w:p>
    <w:p w:rsidR="00000000" w:rsidRDefault="00C56D69">
      <w:pPr>
        <w:ind w:hanging="360"/>
        <w:jc w:val="both"/>
        <w:divId w:val="1781871354"/>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 or projected benefit obligation duri</w:t>
      </w:r>
      <w:r>
        <w:rPr>
          <w:rFonts w:eastAsia="Times New Roman"/>
          <w:color w:val="000000"/>
          <w:sz w:val="20"/>
          <w:szCs w:val="20"/>
        </w:rPr>
        <w:t xml:space="preserve">ng a given period related to pension, other postretirement benefit obligations, and the one-time impact of the settlement of the defined benefit obligation; </w:t>
      </w:r>
    </w:p>
    <w:p w:rsidR="00000000" w:rsidRDefault="00C56D69">
      <w:pPr>
        <w:ind w:hanging="360"/>
        <w:jc w:val="both"/>
        <w:divId w:val="740636581"/>
        <w:rPr>
          <w:rFonts w:eastAsia="Times New Roman"/>
        </w:rPr>
      </w:pPr>
      <w:r>
        <w:rPr>
          <w:rFonts w:eastAsia="Times New Roman"/>
          <w:color w:val="000000"/>
          <w:sz w:val="20"/>
          <w:szCs w:val="20"/>
        </w:rPr>
        <w:t>•Other adjustments, which primarily include restructuring costs related to severance and separatio</w:t>
      </w:r>
      <w:r>
        <w:rPr>
          <w:rFonts w:eastAsia="Times New Roman"/>
          <w:color w:val="000000"/>
          <w:sz w:val="20"/>
          <w:szCs w:val="20"/>
        </w:rPr>
        <w:t>n, COVID-19 related impacts, net derivative gains (losses) on certain Non-GMxB derivatives, net investment income from certain items including consolidated VIE investments, seed capital mark-to-market adjustments, unrealized gain/losses associated with equ</w:t>
      </w:r>
      <w:r>
        <w:rPr>
          <w:rFonts w:eastAsia="Times New Roman"/>
          <w:color w:val="000000"/>
          <w:sz w:val="20"/>
          <w:szCs w:val="20"/>
        </w:rPr>
        <w:t>ity securities, certain legal accruals; and a bespoke deal to repurchase UL policies from one entity that had invested in numerous policies purchased in the life settlement market, which disposed of the risk of additional COI litigation by that entity rela</w:t>
      </w:r>
      <w:r>
        <w:rPr>
          <w:rFonts w:eastAsia="Times New Roman"/>
          <w:color w:val="000000"/>
          <w:sz w:val="20"/>
          <w:szCs w:val="20"/>
        </w:rPr>
        <w:t xml:space="preserve">ted to those UL policies; and </w:t>
      </w:r>
    </w:p>
    <w:p w:rsidR="00000000" w:rsidRDefault="00C56D69">
      <w:pPr>
        <w:ind w:hanging="360"/>
        <w:divId w:val="1032071901"/>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C56D69">
      <w:pPr>
        <w:ind w:firstLine="360"/>
        <w:divId w:val="2025595434"/>
        <w:rPr>
          <w:rFonts w:eastAsia="Times New Roman"/>
        </w:rPr>
      </w:pPr>
      <w:r>
        <w:rPr>
          <w:rFonts w:eastAsia="Times New Roman"/>
          <w:color w:val="000000"/>
          <w:sz w:val="20"/>
          <w:szCs w:val="20"/>
        </w:rPr>
        <w:t>In the first quarter 2022, the Company updated its Non-GAAP Operating Earnings measure to exclude the DAC amortization impact of near-term fluctuations in indexed segment returns on the SCS variable annuity product to reflect the impact of market fluctuati</w:t>
      </w:r>
      <w:r>
        <w:rPr>
          <w:rFonts w:eastAsia="Times New Roman"/>
          <w:color w:val="000000"/>
          <w:sz w:val="20"/>
          <w:szCs w:val="20"/>
        </w:rPr>
        <w:t>ons consistently with the long term duration of the product. For the three and nine months ended September 30, 2022, Non-GAAP Operating Earnings was favorably impacted by this change in the amount of $24 million and $94 million for the three and nine month</w:t>
      </w:r>
      <w:r>
        <w:rPr>
          <w:rFonts w:eastAsia="Times New Roman"/>
          <w:color w:val="000000"/>
          <w:sz w:val="20"/>
          <w:szCs w:val="20"/>
        </w:rPr>
        <w:t xml:space="preserve">s ended September 30, 2022, respectively. The presentation of Non-GAAP Operating Earnings in prior periods was not revised to reflect this modification, however, the Company estimated that had the treatment in </w:t>
      </w:r>
    </w:p>
    <w:p w:rsidR="00000000" w:rsidRDefault="00C56D69">
      <w:pPr>
        <w:jc w:val="center"/>
        <w:divId w:val="834077771"/>
        <w:rPr>
          <w:rFonts w:eastAsia="Times New Roman"/>
        </w:rPr>
      </w:pPr>
      <w:r>
        <w:rPr>
          <w:rFonts w:eastAsia="Times New Roman"/>
          <w:color w:val="000000"/>
          <w:sz w:val="20"/>
          <w:szCs w:val="20"/>
        </w:rPr>
        <w:t>78</w:t>
      </w:r>
    </w:p>
    <w:p w:rsidR="00000000" w:rsidRDefault="00C56D69">
      <w:pPr>
        <w:rPr>
          <w:rFonts w:eastAsia="Times New Roman"/>
        </w:rPr>
      </w:pPr>
      <w:r>
        <w:rPr>
          <w:rFonts w:eastAsia="Times New Roman"/>
        </w:rPr>
        <w:pict>
          <v:rect id="_x0000_i1104" style="width:0;height:1.5pt" o:hralign="center" o:hrstd="t" o:hr="t" fillcolor="#a0a0a0" stroked="f"/>
        </w:pict>
      </w:r>
    </w:p>
    <w:p w:rsidR="00000000" w:rsidRDefault="00C56D69">
      <w:pPr>
        <w:ind w:firstLine="360"/>
        <w:divId w:val="181267598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718431583"/>
        <w:rPr>
          <w:rFonts w:eastAsia="Times New Roman"/>
        </w:rPr>
      </w:pPr>
      <w:r>
        <w:rPr>
          <w:rFonts w:eastAsia="Times New Roman"/>
          <w:color w:val="000000"/>
          <w:sz w:val="20"/>
          <w:szCs w:val="20"/>
        </w:rPr>
        <w:t>the Company’s Non-GAAP Operating Earnings measure of the Amortization of DAC for SCS been modified in 2020, the pre-tax impact on Non-GAAP Operating Earnings of excluding the SCS-relate</w:t>
      </w:r>
      <w:r>
        <w:rPr>
          <w:rFonts w:eastAsia="Times New Roman"/>
          <w:color w:val="000000"/>
          <w:sz w:val="20"/>
          <w:szCs w:val="20"/>
        </w:rPr>
        <w:t>d DAC amortization from Non-GAAP Operating Earnings would have been an increase of $7 million for the three months ended September 30, 2021, and a decrease of $7 million, $16 million and $34 million for the nine months ended September 30, 2021, and years e</w:t>
      </w:r>
      <w:r>
        <w:rPr>
          <w:rFonts w:eastAsia="Times New Roman"/>
          <w:color w:val="000000"/>
          <w:sz w:val="20"/>
          <w:szCs w:val="20"/>
        </w:rPr>
        <w:t xml:space="preserve">nded December 31, 2021 and 2020, respectively. </w:t>
      </w:r>
    </w:p>
    <w:p w:rsidR="00000000" w:rsidRDefault="00C56D69">
      <w:pPr>
        <w:ind w:firstLine="360"/>
        <w:divId w:val="1950812087"/>
        <w:rPr>
          <w:rFonts w:eastAsia="Times New Roman"/>
        </w:rPr>
      </w:pPr>
      <w:r>
        <w:rPr>
          <w:rFonts w:eastAsia="Times New Roman"/>
          <w:color w:val="000000"/>
          <w:sz w:val="20"/>
          <w:szCs w:val="20"/>
        </w:rPr>
        <w:t>Because Non-GAAP Operating Earnings excludes the foregoing items that can be distortive or unpredictable, management believes that this measure enhances the understanding of the Company’s underlying drivers o</w:t>
      </w:r>
      <w:r>
        <w:rPr>
          <w:rFonts w:eastAsia="Times New Roman"/>
          <w:color w:val="000000"/>
          <w:sz w:val="20"/>
          <w:szCs w:val="20"/>
        </w:rPr>
        <w:t xml:space="preserve">f profitability and trends in our business, thereby allowing management to make decisions that will positively impact our business. </w:t>
      </w:r>
    </w:p>
    <w:p w:rsidR="00000000" w:rsidRDefault="00C56D69">
      <w:pPr>
        <w:ind w:firstLine="360"/>
        <w:divId w:val="88042723"/>
        <w:rPr>
          <w:rFonts w:eastAsia="Times New Roman"/>
        </w:rPr>
      </w:pPr>
      <w:r>
        <w:rPr>
          <w:rFonts w:eastAsia="Times New Roman"/>
          <w:color w:val="000000"/>
          <w:sz w:val="20"/>
          <w:szCs w:val="20"/>
        </w:rPr>
        <w:t xml:space="preserve">We use the prevailing corporate federal income tax rate of 21% while taking into account any non-recurring differences for </w:t>
      </w:r>
      <w:r>
        <w:rPr>
          <w:rFonts w:eastAsia="Times New Roman"/>
          <w:color w:val="000000"/>
          <w:sz w:val="20"/>
          <w:szCs w:val="20"/>
        </w:rPr>
        <w:t xml:space="preserve">events recognized differently in our financial statements and federal income tax returns as well as partnership income taxed at lower rates when reconciling Net income (loss) attributable to Holdings to Non-GAAP Operating Earnings. </w:t>
      </w:r>
    </w:p>
    <w:p w:rsidR="00000000" w:rsidRDefault="00C56D69">
      <w:pPr>
        <w:ind w:firstLine="360"/>
        <w:divId w:val="1538810589"/>
        <w:rPr>
          <w:rFonts w:eastAsia="Times New Roman"/>
        </w:rPr>
      </w:pPr>
      <w:r>
        <w:rPr>
          <w:rFonts w:eastAsia="Times New Roman"/>
          <w:color w:val="000000"/>
          <w:sz w:val="20"/>
          <w:szCs w:val="20"/>
        </w:rPr>
        <w:t>The table below present</w:t>
      </w:r>
      <w:r>
        <w:rPr>
          <w:rFonts w:eastAsia="Times New Roman"/>
          <w:color w:val="000000"/>
          <w:sz w:val="20"/>
          <w:szCs w:val="20"/>
        </w:rPr>
        <w:t>s a reconciliation of net income (loss) attributable to Holdings to Non-GAAP Operating Earnings for the three and nine months ended September 30, 2022 and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4892"/>
        <w:gridCol w:w="39"/>
        <w:gridCol w:w="36"/>
        <w:gridCol w:w="120"/>
        <w:gridCol w:w="613"/>
        <w:gridCol w:w="36"/>
        <w:gridCol w:w="36"/>
        <w:gridCol w:w="36"/>
        <w:gridCol w:w="36"/>
        <w:gridCol w:w="120"/>
        <w:gridCol w:w="613"/>
        <w:gridCol w:w="36"/>
        <w:gridCol w:w="36"/>
        <w:gridCol w:w="36"/>
        <w:gridCol w:w="36"/>
        <w:gridCol w:w="120"/>
        <w:gridCol w:w="562"/>
        <w:gridCol w:w="36"/>
        <w:gridCol w:w="36"/>
        <w:gridCol w:w="36"/>
        <w:gridCol w:w="36"/>
        <w:gridCol w:w="120"/>
        <w:gridCol w:w="563"/>
        <w:gridCol w:w="36"/>
      </w:tblGrid>
      <w:tr w:rsidR="00000000">
        <w:trPr>
          <w:divId w:val="2050759185"/>
        </w:trPr>
        <w:tc>
          <w:tcPr>
            <w:tcW w:w="50" w:type="pct"/>
            <w:vAlign w:val="center"/>
            <w:hideMark/>
          </w:tcPr>
          <w:p w:rsidR="00000000" w:rsidRDefault="00C56D69">
            <w:pPr>
              <w:ind w:firstLine="360"/>
              <w:rPr>
                <w:rFonts w:eastAsia="Times New Roman"/>
              </w:rPr>
            </w:pPr>
          </w:p>
        </w:tc>
        <w:tc>
          <w:tcPr>
            <w:tcW w:w="300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05075918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2050759185"/>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2050759185"/>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050759185"/>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C56D69">
            <w:pPr>
              <w:spacing w:after="100"/>
              <w:rPr>
                <w:rFonts w:eastAsia="Times New Roman"/>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(693)</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related to:</w:t>
            </w:r>
          </w:p>
        </w:tc>
        <w:tc>
          <w:tcPr>
            <w:tcW w:w="0" w:type="auto"/>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50759185"/>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Variable annuity product features</w:t>
            </w:r>
          </w:p>
        </w:tc>
        <w:tc>
          <w:tcPr>
            <w:tcW w:w="0" w:type="auto"/>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(2,639)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3,632 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w:t>
            </w:r>
          </w:p>
        </w:tc>
        <w:tc>
          <w:tcPr>
            <w:tcW w:w="0" w:type="auto"/>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adjustments (1) (2) (3)</w:t>
            </w:r>
          </w:p>
        </w:tc>
        <w:tc>
          <w:tcPr>
            <w:tcW w:w="0" w:type="auto"/>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FFFF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Income tax expense (benefit) related to above adjustments</w:t>
            </w:r>
          </w:p>
        </w:tc>
        <w:tc>
          <w:tcPr>
            <w:tcW w:w="0" w:type="auto"/>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Non-recurring tax items</w:t>
            </w:r>
          </w:p>
        </w:tc>
        <w:tc>
          <w:tcPr>
            <w:tcW w:w="0" w:type="auto"/>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050759185"/>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C56D69">
            <w:pPr>
              <w:spacing w:after="100"/>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443114788"/>
        <w:rPr>
          <w:rFonts w:eastAsia="Times New Roman"/>
        </w:rPr>
      </w:pPr>
      <w:r>
        <w:rPr>
          <w:rFonts w:eastAsia="Times New Roman"/>
          <w:color w:val="000000"/>
          <w:sz w:val="18"/>
          <w:szCs w:val="18"/>
        </w:rPr>
        <w:t>______________</w:t>
      </w:r>
    </w:p>
    <w:p w:rsidR="00000000" w:rsidRDefault="00C56D69">
      <w:pPr>
        <w:ind w:hanging="360"/>
        <w:divId w:val="746346808"/>
        <w:rPr>
          <w:rFonts w:eastAsia="Times New Roman"/>
        </w:rPr>
      </w:pPr>
      <w:r>
        <w:rPr>
          <w:rFonts w:eastAsia="Times New Roman"/>
          <w:color w:val="000000"/>
          <w:sz w:val="18"/>
          <w:szCs w:val="18"/>
        </w:rPr>
        <w:t>(1)Includes Separation Costs of $25 million and $62 million for the three months and nine months ended September 30, 2021, respectively. Separation costs were completed during 2021.</w:t>
      </w:r>
    </w:p>
    <w:p w:rsidR="00000000" w:rsidRDefault="00C56D69">
      <w:pPr>
        <w:ind w:hanging="360"/>
        <w:divId w:val="1442382831"/>
        <w:rPr>
          <w:rFonts w:eastAsia="Times New Roman"/>
        </w:rPr>
      </w:pPr>
      <w:r>
        <w:rPr>
          <w:rFonts w:eastAsia="Times New Roman"/>
          <w:color w:val="000000"/>
          <w:sz w:val="18"/>
          <w:szCs w:val="18"/>
          <w:shd w:val="clear" w:color="auto" w:fill="FFFFFF"/>
        </w:rPr>
        <w:t xml:space="preserve">(2)Includes certain gross legal expenses related to the cost of insurance </w:t>
      </w:r>
      <w:r>
        <w:rPr>
          <w:rFonts w:eastAsia="Times New Roman"/>
          <w:color w:val="000000"/>
          <w:sz w:val="18"/>
          <w:szCs w:val="18"/>
          <w:shd w:val="clear" w:color="auto" w:fill="FFFFFF"/>
        </w:rPr>
        <w:t>litigation of $2 million and $0 million, $168 million and $180 million for the three and nine months ended September 30, 2022 and 2021, respectively. Includes policyholder benefit costs of $0 million and $75 million for the three and nine months ended Sept</w:t>
      </w:r>
      <w:r>
        <w:rPr>
          <w:rFonts w:eastAsia="Times New Roman"/>
          <w:color w:val="000000"/>
          <w:sz w:val="18"/>
          <w:szCs w:val="18"/>
          <w:shd w:val="clear" w:color="auto" w:fill="FFFFFF"/>
        </w:rPr>
        <w:t xml:space="preserve">ember 30, 2022 stemming from a deal to repurchase UL policies from one entity that had invested in numerous policies purchased in the life settlement market. </w:t>
      </w:r>
    </w:p>
    <w:p w:rsidR="00000000" w:rsidRDefault="00C56D69">
      <w:pPr>
        <w:ind w:hanging="360"/>
        <w:divId w:val="2077970827"/>
        <w:rPr>
          <w:rFonts w:eastAsia="Times New Roman"/>
        </w:rPr>
      </w:pPr>
      <w:r>
        <w:rPr>
          <w:rFonts w:eastAsia="Times New Roman"/>
          <w:color w:val="000000"/>
          <w:sz w:val="18"/>
          <w:szCs w:val="18"/>
        </w:rPr>
        <w:t>(3)Includes Non-GMxB related derivative hedge losses of ($28) million, ($4) million, ($68) millio</w:t>
      </w:r>
      <w:r>
        <w:rPr>
          <w:rFonts w:eastAsia="Times New Roman"/>
          <w:color w:val="000000"/>
          <w:sz w:val="18"/>
          <w:szCs w:val="18"/>
        </w:rPr>
        <w:t>n and $140 million for the three and nine months ended September 30, 2022 and 2021, respectively.</w:t>
      </w:r>
    </w:p>
    <w:p w:rsidR="00000000" w:rsidRDefault="00C56D69">
      <w:pPr>
        <w:ind w:firstLine="360"/>
        <w:divId w:val="1906525216"/>
        <w:rPr>
          <w:rFonts w:eastAsia="Times New Roman"/>
        </w:rPr>
      </w:pPr>
    </w:p>
    <w:p w:rsidR="00000000" w:rsidRDefault="00C56D69">
      <w:pPr>
        <w:jc w:val="both"/>
        <w:divId w:val="676543694"/>
        <w:rPr>
          <w:rFonts w:eastAsia="Times New Roman"/>
        </w:rPr>
      </w:pPr>
      <w:r>
        <w:rPr>
          <w:rFonts w:eastAsia="Times New Roman"/>
          <w:b/>
          <w:bCs/>
          <w:i/>
          <w:iCs/>
          <w:color w:val="000000"/>
          <w:sz w:val="20"/>
          <w:szCs w:val="20"/>
        </w:rPr>
        <w:t xml:space="preserve">Non-GAAP Operating ROE </w:t>
      </w:r>
    </w:p>
    <w:p w:rsidR="00000000" w:rsidRDefault="00C56D69">
      <w:pPr>
        <w:ind w:firstLine="360"/>
        <w:divId w:val="1245531886"/>
        <w:rPr>
          <w:rFonts w:eastAsia="Times New Roman"/>
        </w:rPr>
      </w:pPr>
      <w:r>
        <w:rPr>
          <w:rFonts w:eastAsia="Times New Roman"/>
          <w:color w:val="000000"/>
          <w:sz w:val="20"/>
          <w:szCs w:val="20"/>
        </w:rPr>
        <w:t xml:space="preserve">We calculate Non-GAAP Operating ROE by dividing Non-GAAP Operating Earnings for the previous twelve calendar months by consolidated </w:t>
      </w:r>
      <w:r>
        <w:rPr>
          <w:rFonts w:eastAsia="Times New Roman"/>
          <w:color w:val="000000"/>
          <w:sz w:val="20"/>
          <w:szCs w:val="20"/>
        </w:rPr>
        <w:t>average equity attributable to Holdings’ common shareholders, excluding AOCI. AOCI fluctuates period-to-period in a manner inconsistent with our underlying profitability drivers as the majority of such fluctuation is related to the market volatility of the</w:t>
      </w:r>
      <w:r>
        <w:rPr>
          <w:rFonts w:eastAsia="Times New Roman"/>
          <w:color w:val="000000"/>
          <w:sz w:val="20"/>
          <w:szCs w:val="20"/>
        </w:rPr>
        <w:t xml:space="preserve"> unrealized gains and losses associated with our AFS securities. Therefore, we believe excluding AOCI is more effective for analyzing the trends of our operations. </w:t>
      </w:r>
    </w:p>
    <w:p w:rsidR="00000000" w:rsidRDefault="00C56D69">
      <w:pPr>
        <w:ind w:firstLine="360"/>
        <w:divId w:val="813644118"/>
        <w:rPr>
          <w:rFonts w:eastAsia="Times New Roman"/>
        </w:rPr>
      </w:pPr>
      <w:r>
        <w:rPr>
          <w:rFonts w:eastAsia="Times New Roman"/>
          <w:color w:val="000000"/>
          <w:sz w:val="20"/>
          <w:szCs w:val="20"/>
        </w:rPr>
        <w:t>The following table presents return on average equity attributable to Holdings’ common shar</w:t>
      </w:r>
      <w:r>
        <w:rPr>
          <w:rFonts w:eastAsia="Times New Roman"/>
          <w:color w:val="000000"/>
          <w:sz w:val="20"/>
          <w:szCs w:val="20"/>
        </w:rPr>
        <w:t>eholders, excluding AOCI and Non-GAAP Operating ROE for the trailing twelve 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52"/>
        <w:gridCol w:w="6484"/>
        <w:gridCol w:w="36"/>
        <w:gridCol w:w="121"/>
        <w:gridCol w:w="1577"/>
        <w:gridCol w:w="36"/>
      </w:tblGrid>
      <w:tr w:rsidR="00000000">
        <w:trPr>
          <w:divId w:val="28797590"/>
        </w:trPr>
        <w:tc>
          <w:tcPr>
            <w:tcW w:w="50" w:type="pct"/>
            <w:vAlign w:val="center"/>
            <w:hideMark/>
          </w:tcPr>
          <w:p w:rsidR="00000000" w:rsidRDefault="00C56D69">
            <w:pPr>
              <w:ind w:firstLine="360"/>
              <w:rPr>
                <w:rFonts w:eastAsia="Times New Roman"/>
              </w:rPr>
            </w:pPr>
          </w:p>
        </w:tc>
        <w:tc>
          <w:tcPr>
            <w:tcW w:w="392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9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879759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Trailing Twelve Months Ended September 30, 2022</w:t>
            </w:r>
          </w:p>
        </w:tc>
      </w:tr>
      <w:tr w:rsidR="00000000">
        <w:trPr>
          <w:divId w:val="28797590"/>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8797590"/>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2,748</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8797590"/>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8,844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jc w:val="center"/>
        <w:divId w:val="525683127"/>
        <w:rPr>
          <w:rFonts w:eastAsia="Times New Roman"/>
        </w:rPr>
      </w:pPr>
      <w:r>
        <w:rPr>
          <w:rFonts w:eastAsia="Times New Roman"/>
          <w:color w:val="000000"/>
          <w:sz w:val="20"/>
          <w:szCs w:val="20"/>
        </w:rPr>
        <w:t>79</w:t>
      </w:r>
    </w:p>
    <w:p w:rsidR="00000000" w:rsidRDefault="00C56D69">
      <w:pPr>
        <w:rPr>
          <w:rFonts w:eastAsia="Times New Roman"/>
        </w:rPr>
      </w:pPr>
      <w:r>
        <w:rPr>
          <w:rFonts w:eastAsia="Times New Roman"/>
        </w:rPr>
        <w:pict>
          <v:rect id="_x0000_i1105" style="width:0;height:1.5pt" o:hralign="center" o:hrstd="t" o:hr="t" fillcolor="#a0a0a0" stroked="f"/>
        </w:pict>
      </w:r>
    </w:p>
    <w:p w:rsidR="00000000" w:rsidRDefault="00C56D69">
      <w:pPr>
        <w:ind w:firstLine="360"/>
        <w:divId w:val="1066876284"/>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trPr>
          <w:divId w:val="1199931303"/>
        </w:trPr>
        <w:tc>
          <w:tcPr>
            <w:tcW w:w="50" w:type="pct"/>
            <w:vAlign w:val="center"/>
            <w:hideMark/>
          </w:tcPr>
          <w:p w:rsidR="00000000" w:rsidRDefault="00C56D69">
            <w:pPr>
              <w:ind w:firstLine="360"/>
              <w:rPr>
                <w:rFonts w:eastAsia="Times New Roman"/>
              </w:rPr>
            </w:pPr>
          </w:p>
        </w:tc>
        <w:tc>
          <w:tcPr>
            <w:tcW w:w="392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9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19993130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Trailing Twelve Months Ended September 30, 2022</w:t>
            </w:r>
          </w:p>
        </w:tc>
      </w:tr>
      <w:tr w:rsidR="00000000">
        <w:trPr>
          <w:divId w:val="119993130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19993130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1199931303"/>
          <w:trHeight w:val="280"/>
        </w:trPr>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19993130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9993130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8,844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19993130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bl>
    <w:p w:rsidR="00000000" w:rsidRDefault="00C56D69">
      <w:pPr>
        <w:jc w:val="both"/>
        <w:divId w:val="1614820269"/>
        <w:rPr>
          <w:rFonts w:eastAsia="Times New Roman"/>
        </w:rPr>
      </w:pPr>
      <w:r>
        <w:rPr>
          <w:rFonts w:eastAsia="Times New Roman"/>
          <w:b/>
          <w:bCs/>
          <w:i/>
          <w:iCs/>
          <w:color w:val="000000"/>
          <w:sz w:val="20"/>
          <w:szCs w:val="20"/>
        </w:rPr>
        <w:t>Non-GAAP Operating Common EPS</w:t>
      </w:r>
    </w:p>
    <w:p w:rsidR="00000000" w:rsidRDefault="00C56D69">
      <w:pPr>
        <w:ind w:firstLine="360"/>
        <w:divId w:val="360204159"/>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common EPS for the three and nine months ended September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887"/>
        <w:gridCol w:w="38"/>
        <w:gridCol w:w="120"/>
        <w:gridCol w:w="604"/>
        <w:gridCol w:w="36"/>
        <w:gridCol w:w="36"/>
        <w:gridCol w:w="36"/>
        <w:gridCol w:w="36"/>
        <w:gridCol w:w="120"/>
        <w:gridCol w:w="544"/>
        <w:gridCol w:w="36"/>
        <w:gridCol w:w="36"/>
        <w:gridCol w:w="36"/>
        <w:gridCol w:w="36"/>
        <w:gridCol w:w="36"/>
        <w:gridCol w:w="120"/>
        <w:gridCol w:w="605"/>
        <w:gridCol w:w="36"/>
        <w:gridCol w:w="36"/>
        <w:gridCol w:w="36"/>
        <w:gridCol w:w="36"/>
        <w:gridCol w:w="120"/>
        <w:gridCol w:w="605"/>
        <w:gridCol w:w="36"/>
      </w:tblGrid>
      <w:tr w:rsidR="00000000">
        <w:trPr>
          <w:divId w:val="1583568461"/>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58356846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rsidR="00000000" w:rsidRDefault="00C56D6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158356846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C56D6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158356846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1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(per share amounts)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583568461"/>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attributable to Holdings (1)</w:t>
            </w: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0.72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1.62 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Net income (loss) available to Holdings’ </w:t>
            </w:r>
            <w:r>
              <w:rPr>
                <w:rFonts w:eastAsia="Times New Roman"/>
                <w:color w:val="000000"/>
                <w:sz w:val="20"/>
                <w:szCs w:val="20"/>
              </w:rPr>
              <w:t>common shareholders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83568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Variable annuity product features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(0.31)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(6.89)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(0.41)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adjustments (2)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Income tax expense (benefit) related to above adjustments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8356846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Non-GAAP operating common EPS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689409446"/>
        <w:rPr>
          <w:rFonts w:eastAsia="Times New Roman"/>
        </w:rPr>
      </w:pPr>
      <w:r>
        <w:rPr>
          <w:rFonts w:eastAsia="Times New Roman"/>
          <w:color w:val="000000"/>
          <w:sz w:val="20"/>
          <w:szCs w:val="20"/>
        </w:rPr>
        <w:t>______________</w:t>
      </w:r>
    </w:p>
    <w:p w:rsidR="00000000" w:rsidRDefault="00C56D69">
      <w:pPr>
        <w:ind w:hanging="360"/>
        <w:divId w:val="497579527"/>
        <w:rPr>
          <w:rFonts w:eastAsia="Times New Roman"/>
        </w:rPr>
      </w:pPr>
      <w:r>
        <w:rPr>
          <w:rFonts w:eastAsia="Times New Roman"/>
          <w:color w:val="000000"/>
          <w:sz w:val="18"/>
          <w:szCs w:val="18"/>
        </w:rPr>
        <w:t>(1)For periods presented with a net loss, basic shares are used for EPS .</w:t>
      </w:r>
    </w:p>
    <w:p w:rsidR="00000000" w:rsidRDefault="00C56D69">
      <w:pPr>
        <w:ind w:hanging="360"/>
        <w:divId w:val="618536589"/>
        <w:rPr>
          <w:rFonts w:eastAsia="Times New Roman"/>
        </w:rPr>
      </w:pPr>
      <w:r>
        <w:rPr>
          <w:rFonts w:eastAsia="Times New Roman"/>
          <w:color w:val="000000"/>
          <w:sz w:val="18"/>
          <w:szCs w:val="18"/>
        </w:rPr>
        <w:t>(2)Includes separation costs of $0.06 and $0.15 for the three months and nine months ended September 30, 2021, respectively.</w:t>
      </w:r>
    </w:p>
    <w:p w:rsidR="00000000" w:rsidRDefault="00C56D69">
      <w:pPr>
        <w:ind w:hanging="360"/>
        <w:divId w:val="489251535"/>
        <w:rPr>
          <w:rFonts w:eastAsia="Times New Roman"/>
        </w:rPr>
      </w:pPr>
      <w:r>
        <w:rPr>
          <w:rFonts w:eastAsia="Times New Roman"/>
          <w:color w:val="000000"/>
          <w:sz w:val="18"/>
          <w:szCs w:val="18"/>
        </w:rPr>
        <w:t>(3)Includes certain gross legal expenses related to the c</w:t>
      </w:r>
      <w:r>
        <w:rPr>
          <w:rFonts w:eastAsia="Times New Roman"/>
          <w:color w:val="000000"/>
          <w:sz w:val="18"/>
          <w:szCs w:val="18"/>
        </w:rPr>
        <w:t>ost of insurance litigation of $0.01, $0.00, $0.44 and $0.43 for the three and nine months ended September 30, 2022 and2021, respectively. Includes policyholder benefit costs of $0.00 and $0.20 for the three and nine months ended September 30, 2022 stemmin</w:t>
      </w:r>
      <w:r>
        <w:rPr>
          <w:rFonts w:eastAsia="Times New Roman"/>
          <w:color w:val="000000"/>
          <w:sz w:val="18"/>
          <w:szCs w:val="18"/>
        </w:rPr>
        <w:t>g from a deal to repurchase UL policies from one entity that had invested in numerous policies purchased in the life settlement market.</w:t>
      </w:r>
    </w:p>
    <w:p w:rsidR="00000000" w:rsidRDefault="00C56D69">
      <w:pPr>
        <w:ind w:hanging="360"/>
        <w:divId w:val="1236010828"/>
        <w:rPr>
          <w:rFonts w:eastAsia="Times New Roman"/>
        </w:rPr>
      </w:pPr>
      <w:r>
        <w:rPr>
          <w:rFonts w:eastAsia="Times New Roman"/>
          <w:color w:val="000000"/>
          <w:sz w:val="18"/>
          <w:szCs w:val="18"/>
        </w:rPr>
        <w:t>(4)Includes Non-GMxB related derivative hedge losses of ($0.07), ($0.01), ($0.18) and $0.31 for the three and nine month</w:t>
      </w:r>
      <w:r>
        <w:rPr>
          <w:rFonts w:eastAsia="Times New Roman"/>
          <w:color w:val="000000"/>
          <w:sz w:val="18"/>
          <w:szCs w:val="18"/>
        </w:rPr>
        <w:t>s ended September 30, 2022 and 2021, respectively.</w:t>
      </w:r>
    </w:p>
    <w:p w:rsidR="00000000" w:rsidRDefault="00C56D69">
      <w:pPr>
        <w:jc w:val="both"/>
        <w:divId w:val="1848981754"/>
        <w:rPr>
          <w:rFonts w:eastAsia="Times New Roman"/>
        </w:rPr>
      </w:pPr>
      <w:r>
        <w:rPr>
          <w:rFonts w:eastAsia="Times New Roman"/>
          <w:b/>
          <w:bCs/>
          <w:i/>
          <w:iCs/>
          <w:color w:val="000000"/>
          <w:sz w:val="20"/>
          <w:szCs w:val="20"/>
        </w:rPr>
        <w:t xml:space="preserve">Assets Under Management </w:t>
      </w:r>
    </w:p>
    <w:p w:rsidR="00000000" w:rsidRDefault="00C56D69">
      <w:pPr>
        <w:ind w:firstLine="360"/>
        <w:divId w:val="1501508707"/>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w:t>
      </w:r>
      <w:r>
        <w:rPr>
          <w:rFonts w:eastAsia="Times New Roman"/>
          <w:color w:val="000000"/>
          <w:sz w:val="20"/>
          <w:szCs w:val="20"/>
        </w:rPr>
        <w:t xml:space="preserve">i) the Separate Accounts assets of our Individual Retirement, Group Retirement and Protection Solutions businesses. Total AUM reflects exclusions between segments to avoid double counting. </w:t>
      </w:r>
    </w:p>
    <w:p w:rsidR="00000000" w:rsidRDefault="00C56D69">
      <w:pPr>
        <w:jc w:val="both"/>
        <w:divId w:val="1443501857"/>
        <w:rPr>
          <w:rFonts w:eastAsia="Times New Roman"/>
        </w:rPr>
      </w:pPr>
      <w:r>
        <w:rPr>
          <w:rFonts w:eastAsia="Times New Roman"/>
          <w:b/>
          <w:bCs/>
          <w:i/>
          <w:iCs/>
          <w:color w:val="000000"/>
          <w:sz w:val="20"/>
          <w:szCs w:val="20"/>
        </w:rPr>
        <w:t xml:space="preserve">Assets Under Administration </w:t>
      </w:r>
    </w:p>
    <w:p w:rsidR="00000000" w:rsidRDefault="00C56D69">
      <w:pPr>
        <w:ind w:firstLine="360"/>
        <w:divId w:val="1805007423"/>
        <w:rPr>
          <w:rFonts w:eastAsia="Times New Roman"/>
        </w:rPr>
      </w:pPr>
      <w:r>
        <w:rPr>
          <w:rFonts w:eastAsia="Times New Roman"/>
          <w:color w:val="000000"/>
          <w:sz w:val="20"/>
          <w:szCs w:val="20"/>
        </w:rPr>
        <w:t>AUA includes non-insurance client ass</w:t>
      </w:r>
      <w:r>
        <w:rPr>
          <w:rFonts w:eastAsia="Times New Roman"/>
          <w:color w:val="000000"/>
          <w:sz w:val="20"/>
          <w:szCs w:val="20"/>
        </w:rPr>
        <w:t xml:space="preserve">ets that are invested in our savings and investment products or serviced by our Equitable Advisors platform. We provide administrative services for these assets and generally record the revenues received as distribution fees. </w:t>
      </w:r>
    </w:p>
    <w:p w:rsidR="00000000" w:rsidRDefault="00C56D69">
      <w:pPr>
        <w:jc w:val="both"/>
        <w:divId w:val="195390705"/>
        <w:rPr>
          <w:rFonts w:eastAsia="Times New Roman"/>
        </w:rPr>
      </w:pPr>
      <w:r>
        <w:rPr>
          <w:rFonts w:eastAsia="Times New Roman"/>
          <w:b/>
          <w:bCs/>
          <w:i/>
          <w:iCs/>
          <w:color w:val="000000"/>
          <w:sz w:val="20"/>
          <w:szCs w:val="20"/>
        </w:rPr>
        <w:t xml:space="preserve">Account Value </w:t>
      </w:r>
    </w:p>
    <w:p w:rsidR="00000000" w:rsidRDefault="00C56D69">
      <w:pPr>
        <w:ind w:firstLine="360"/>
        <w:divId w:val="18823627"/>
        <w:rPr>
          <w:rFonts w:eastAsia="Times New Roman"/>
        </w:rPr>
      </w:pPr>
      <w:r>
        <w:rPr>
          <w:rFonts w:eastAsia="Times New Roman"/>
          <w:color w:val="000000"/>
          <w:sz w:val="20"/>
          <w:szCs w:val="20"/>
        </w:rPr>
        <w:t>AV generally e</w:t>
      </w:r>
      <w:r>
        <w:rPr>
          <w:rFonts w:eastAsia="Times New Roman"/>
          <w:color w:val="000000"/>
          <w:sz w:val="20"/>
          <w:szCs w:val="20"/>
        </w:rPr>
        <w:t>quals the aggregate policy account value of our retirement products. General Account AV refers to account balances in investment options that are backed by the General Account while Separate Accounts AV refers to Separate Accounts investment assets.</w:t>
      </w:r>
    </w:p>
    <w:p w:rsidR="00000000" w:rsidRDefault="00C56D69">
      <w:pPr>
        <w:jc w:val="center"/>
        <w:divId w:val="1174880896"/>
        <w:rPr>
          <w:rFonts w:eastAsia="Times New Roman"/>
        </w:rPr>
      </w:pPr>
      <w:r>
        <w:rPr>
          <w:rFonts w:eastAsia="Times New Roman"/>
          <w:color w:val="000000"/>
          <w:sz w:val="20"/>
          <w:szCs w:val="20"/>
        </w:rPr>
        <w:t>80</w:t>
      </w:r>
    </w:p>
    <w:p w:rsidR="00000000" w:rsidRDefault="00C56D69">
      <w:pPr>
        <w:rPr>
          <w:rFonts w:eastAsia="Times New Roman"/>
        </w:rPr>
      </w:pPr>
      <w:r>
        <w:rPr>
          <w:rFonts w:eastAsia="Times New Roman"/>
        </w:rPr>
        <w:pict>
          <v:rect id="_x0000_i1106" style="width:0;height:1.5pt" o:hralign="center" o:hrstd="t" o:hr="t" fillcolor="#a0a0a0" stroked="f"/>
        </w:pict>
      </w:r>
    </w:p>
    <w:p w:rsidR="00000000" w:rsidRDefault="00C56D69">
      <w:pPr>
        <w:ind w:firstLine="360"/>
        <w:divId w:val="116798558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both"/>
        <w:divId w:val="1494224434"/>
        <w:rPr>
          <w:rFonts w:eastAsia="Times New Roman"/>
        </w:rPr>
      </w:pPr>
      <w:r>
        <w:rPr>
          <w:rFonts w:eastAsia="Times New Roman"/>
          <w:b/>
          <w:bCs/>
          <w:i/>
          <w:iCs/>
          <w:color w:val="000000"/>
          <w:sz w:val="20"/>
          <w:szCs w:val="20"/>
        </w:rPr>
        <w:t xml:space="preserve">Protection Solutions Reserves </w:t>
      </w:r>
    </w:p>
    <w:p w:rsidR="00000000" w:rsidRDefault="00C56D69">
      <w:pPr>
        <w:ind w:firstLine="360"/>
        <w:divId w:val="445854873"/>
        <w:rPr>
          <w:rFonts w:eastAsia="Times New Roman"/>
        </w:rPr>
      </w:pPr>
      <w:r>
        <w:rPr>
          <w:rFonts w:eastAsia="Times New Roman"/>
          <w:color w:val="000000"/>
          <w:sz w:val="20"/>
          <w:szCs w:val="20"/>
        </w:rPr>
        <w:t xml:space="preserve">Protection Solutions Reserves equals the aggregate value of policyholders’ account balances and future policy benefits for policies in our Protection Solutions segment. </w:t>
      </w:r>
    </w:p>
    <w:p w:rsidR="00000000" w:rsidRDefault="00C56D69">
      <w:pPr>
        <w:divId w:val="2032220684"/>
        <w:rPr>
          <w:rFonts w:eastAsia="Times New Roman"/>
        </w:rPr>
      </w:pPr>
      <w:r>
        <w:rPr>
          <w:rFonts w:eastAsia="Times New Roman"/>
          <w:b/>
          <w:bCs/>
          <w:color w:val="000000"/>
          <w:sz w:val="20"/>
          <w:szCs w:val="20"/>
        </w:rPr>
        <w:t xml:space="preserve">Consolidated Results of Operations </w:t>
      </w:r>
    </w:p>
    <w:p w:rsidR="00000000" w:rsidRDefault="00C56D69">
      <w:pPr>
        <w:ind w:firstLine="360"/>
        <w:divId w:val="136538187"/>
        <w:rPr>
          <w:rFonts w:eastAsia="Times New Roman"/>
        </w:rPr>
      </w:pPr>
      <w:r>
        <w:rPr>
          <w:rFonts w:eastAsia="Times New Roman"/>
          <w:color w:val="000000"/>
          <w:sz w:val="20"/>
          <w:szCs w:val="20"/>
        </w:rPr>
        <w:t>Our consolidated results of operations are signifi</w:t>
      </w:r>
      <w:r>
        <w:rPr>
          <w:rFonts w:eastAsia="Times New Roman"/>
          <w:color w:val="000000"/>
          <w:sz w:val="20"/>
          <w:szCs w:val="20"/>
        </w:rPr>
        <w:t>cantly affected by conditions in the capital markets and the economy because we offer market sensitive products. These products have been a significant driver of our results of operations. Because the future claims exposure on these products is sensitive t</w:t>
      </w:r>
      <w:r>
        <w:rPr>
          <w:rFonts w:eastAsia="Times New Roman"/>
          <w:color w:val="000000"/>
          <w:sz w:val="20"/>
          <w:szCs w:val="20"/>
        </w:rPr>
        <w:t>o movements in the equity markets and interest rates, we have in place various hedging and reinsurance programs that are designed to mitigate the economic risk of movements in the equity markets and interest rates. The volatility in net income attributable</w:t>
      </w:r>
      <w:r>
        <w:rPr>
          <w:rFonts w:eastAsia="Times New Roman"/>
          <w:color w:val="000000"/>
          <w:sz w:val="20"/>
          <w:szCs w:val="20"/>
        </w:rPr>
        <w:t xml:space="preserve"> to Holdings for the periods presented below results from the mismatch between: (i) the change in carrying value of the reserves for GMDB and certain GMIB features that do not fully and immediately reflect the impact of equity and interest market fluctuati</w:t>
      </w:r>
      <w:r>
        <w:rPr>
          <w:rFonts w:eastAsia="Times New Roman"/>
          <w:color w:val="000000"/>
          <w:sz w:val="20"/>
          <w:szCs w:val="20"/>
        </w:rPr>
        <w:t xml:space="preserve">ons; (ii) the change in fair value of products with the GMIB feature that have a no-lapse guarantee; and (iii) our hedging and reinsurance programs. </w:t>
      </w:r>
    </w:p>
    <w:p w:rsidR="00000000" w:rsidRDefault="00C56D69">
      <w:pPr>
        <w:jc w:val="both"/>
        <w:divId w:val="784539834"/>
        <w:rPr>
          <w:rFonts w:eastAsia="Times New Roman"/>
        </w:rPr>
      </w:pPr>
      <w:r>
        <w:rPr>
          <w:rFonts w:eastAsia="Times New Roman"/>
          <w:b/>
          <w:bCs/>
          <w:i/>
          <w:iCs/>
          <w:color w:val="000000"/>
          <w:sz w:val="20"/>
          <w:szCs w:val="20"/>
        </w:rPr>
        <w:t xml:space="preserve">Ownership and Consolidation of AllianceBernstein </w:t>
      </w:r>
    </w:p>
    <w:p w:rsidR="00000000" w:rsidRDefault="00C56D69">
      <w:pPr>
        <w:ind w:firstLine="360"/>
        <w:divId w:val="108665350"/>
        <w:rPr>
          <w:rFonts w:eastAsia="Times New Roman"/>
        </w:rPr>
      </w:pPr>
      <w:r>
        <w:rPr>
          <w:rFonts w:eastAsia="Times New Roman"/>
          <w:color w:val="000000"/>
          <w:sz w:val="20"/>
          <w:szCs w:val="20"/>
        </w:rPr>
        <w:t>Our indirect, wholly-owned subsidiary, AllianceBernstein</w:t>
      </w:r>
      <w:r>
        <w:rPr>
          <w:rFonts w:eastAsia="Times New Roman"/>
          <w:color w:val="000000"/>
          <w:sz w:val="20"/>
          <w:szCs w:val="20"/>
        </w:rPr>
        <w:t xml:space="preserve"> Corporation, is the General Partner of AB. Accordingly, AB’s results are fully reflected in our consolidated financial statements. </w:t>
      </w:r>
    </w:p>
    <w:p w:rsidR="00000000" w:rsidRDefault="00C56D69">
      <w:pPr>
        <w:ind w:firstLine="360"/>
        <w:divId w:val="2049916649"/>
        <w:rPr>
          <w:rFonts w:eastAsia="Times New Roman"/>
        </w:rPr>
      </w:pPr>
      <w:r>
        <w:rPr>
          <w:rFonts w:eastAsia="Times New Roman"/>
          <w:color w:val="000000"/>
          <w:sz w:val="20"/>
          <w:szCs w:val="20"/>
        </w:rPr>
        <w:t>Our economic interest in AB was approximately 64% and 65% during the three months ended September 30, 2022 and 2021, and ap</w:t>
      </w:r>
      <w:r>
        <w:rPr>
          <w:rFonts w:eastAsia="Times New Roman"/>
          <w:color w:val="000000"/>
          <w:sz w:val="20"/>
          <w:szCs w:val="20"/>
        </w:rPr>
        <w:t>proximately 65% during the nine months ended September 30, 2022 and 2021. The slight decrease in economic interest was due to the issuance of AB Units relating to AB’s 100% acquisition of CarVal. On July 1, 2022, AB issued 3.2 million AB Units (with a fair</w:t>
      </w:r>
      <w:r>
        <w:rPr>
          <w:rFonts w:eastAsia="Times New Roman"/>
          <w:color w:val="000000"/>
          <w:sz w:val="20"/>
          <w:szCs w:val="20"/>
        </w:rPr>
        <w:t xml:space="preserve"> value of $133 million) and recorded a $419 million liability for the issuance of additional AB Units on November 1, 2022. AB also recorded a contingent consideration payable of $227 million (to be paid predominantly in AB Units) based on CarVal achieving </w:t>
      </w:r>
      <w:r>
        <w:rPr>
          <w:rFonts w:eastAsia="Times New Roman"/>
          <w:color w:val="000000"/>
          <w:sz w:val="20"/>
          <w:szCs w:val="20"/>
        </w:rPr>
        <w:t>certain performance objectives over a six-year period ending December 31, 2027. The issuance of the AB Units is not expected to have a significant impact on Non-GAAP Operating Earnings and Net Income.</w:t>
      </w:r>
    </w:p>
    <w:p w:rsidR="00000000" w:rsidRDefault="00C56D69">
      <w:pPr>
        <w:jc w:val="both"/>
        <w:divId w:val="136070172"/>
        <w:rPr>
          <w:rFonts w:eastAsia="Times New Roman"/>
        </w:rPr>
      </w:pPr>
      <w:r>
        <w:rPr>
          <w:rFonts w:eastAsia="Times New Roman"/>
          <w:b/>
          <w:bCs/>
          <w:i/>
          <w:iCs/>
          <w:color w:val="000000"/>
          <w:sz w:val="20"/>
          <w:szCs w:val="20"/>
        </w:rPr>
        <w:t>Consolidated Results of Operations</w:t>
      </w:r>
    </w:p>
    <w:p w:rsidR="00000000" w:rsidRDefault="00C56D69">
      <w:pPr>
        <w:ind w:firstLine="360"/>
        <w:divId w:val="2107992413"/>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our consolidated statements of income (loss) for the three and nine months ended September 30, 2022 and 2021:</w:t>
      </w:r>
    </w:p>
    <w:p w:rsidR="00000000" w:rsidRDefault="00C56D69">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4775"/>
        <w:gridCol w:w="37"/>
        <w:gridCol w:w="121"/>
        <w:gridCol w:w="588"/>
        <w:gridCol w:w="36"/>
        <w:gridCol w:w="36"/>
        <w:gridCol w:w="36"/>
        <w:gridCol w:w="36"/>
        <w:gridCol w:w="121"/>
        <w:gridCol w:w="588"/>
        <w:gridCol w:w="36"/>
        <w:gridCol w:w="36"/>
        <w:gridCol w:w="36"/>
        <w:gridCol w:w="36"/>
        <w:gridCol w:w="120"/>
        <w:gridCol w:w="588"/>
        <w:gridCol w:w="36"/>
        <w:gridCol w:w="36"/>
        <w:gridCol w:w="36"/>
        <w:gridCol w:w="36"/>
        <w:gridCol w:w="120"/>
        <w:gridCol w:w="526"/>
        <w:gridCol w:w="36"/>
        <w:gridCol w:w="36"/>
        <w:gridCol w:w="36"/>
        <w:gridCol w:w="36"/>
        <w:gridCol w:w="36"/>
        <w:gridCol w:w="36"/>
        <w:gridCol w:w="36"/>
      </w:tblGrid>
      <w:tr w:rsidR="00000000">
        <w:trPr>
          <w:divId w:val="1129978928"/>
        </w:trPr>
        <w:tc>
          <w:tcPr>
            <w:tcW w:w="50" w:type="pct"/>
            <w:vAlign w:val="center"/>
            <w:hideMark/>
          </w:tcPr>
          <w:p w:rsidR="00000000" w:rsidRDefault="00C56D69">
            <w:pPr>
              <w:jc w:val="center"/>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2,755 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and service fees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1,323 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3,009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7,718 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129978928"/>
          <w:trHeight w:val="24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center"/>
        <w:divId w:val="1561868756"/>
        <w:rPr>
          <w:rFonts w:eastAsia="Times New Roman"/>
        </w:rPr>
      </w:pPr>
      <w:r>
        <w:rPr>
          <w:rFonts w:eastAsia="Times New Roman"/>
          <w:color w:val="000000"/>
          <w:sz w:val="20"/>
          <w:szCs w:val="20"/>
        </w:rPr>
        <w:t>81</w:t>
      </w:r>
    </w:p>
    <w:p w:rsidR="00000000" w:rsidRDefault="00C56D69">
      <w:pPr>
        <w:rPr>
          <w:rFonts w:eastAsia="Times New Roman"/>
        </w:rPr>
      </w:pPr>
      <w:r>
        <w:rPr>
          <w:rFonts w:eastAsia="Times New Roman"/>
        </w:rPr>
        <w:pict>
          <v:rect id="_x0000_i1107" style="width:0;height:1.5pt" o:hralign="center" o:hrstd="t" o:hr="t" fillcolor="#a0a0a0" stroked="f"/>
        </w:pict>
      </w:r>
    </w:p>
    <w:p w:rsidR="00000000" w:rsidRDefault="00C56D69">
      <w:pPr>
        <w:ind w:firstLine="360"/>
        <w:divId w:val="1466042684"/>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776"/>
        <w:gridCol w:w="37"/>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7"/>
        <w:gridCol w:w="36"/>
        <w:gridCol w:w="36"/>
        <w:gridCol w:w="36"/>
        <w:gridCol w:w="36"/>
        <w:gridCol w:w="36"/>
        <w:gridCol w:w="36"/>
        <w:gridCol w:w="36"/>
      </w:tblGrid>
      <w:tr w:rsidR="00000000">
        <w:trPr>
          <w:divId w:val="1251810843"/>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8,675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8,352 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3,446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658 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Height w:val="24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411.3 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251810843"/>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414.6 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4994"/>
        <w:gridCol w:w="144"/>
        <w:gridCol w:w="144"/>
        <w:gridCol w:w="673"/>
        <w:gridCol w:w="144"/>
        <w:gridCol w:w="144"/>
        <w:gridCol w:w="144"/>
        <w:gridCol w:w="144"/>
        <w:gridCol w:w="144"/>
        <w:gridCol w:w="673"/>
        <w:gridCol w:w="144"/>
        <w:gridCol w:w="144"/>
        <w:gridCol w:w="673"/>
        <w:gridCol w:w="144"/>
        <w:gridCol w:w="144"/>
        <w:gridCol w:w="144"/>
        <w:gridCol w:w="144"/>
        <w:gridCol w:w="144"/>
        <w:gridCol w:w="673"/>
        <w:gridCol w:w="144"/>
        <w:gridCol w:w="160"/>
        <w:gridCol w:w="160"/>
        <w:gridCol w:w="160"/>
        <w:gridCol w:w="480"/>
        <w:gridCol w:w="480"/>
        <w:gridCol w:w="480"/>
      </w:tblGrid>
      <w:tr w:rsidR="00000000">
        <w:tc>
          <w:tcPr>
            <w:tcW w:w="50" w:type="pct"/>
            <w:vAlign w:val="center"/>
            <w:hideMark/>
          </w:tcPr>
          <w:p w:rsidR="00000000" w:rsidRDefault="00C56D69">
            <w:pPr>
              <w:rPr>
                <w:rFonts w:eastAsia="Times New Roman"/>
              </w:rPr>
            </w:pPr>
          </w:p>
        </w:tc>
        <w:tc>
          <w:tcPr>
            <w:tcW w:w="302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955136732"/>
        <w:rPr>
          <w:rFonts w:eastAsia="Times New Roman"/>
        </w:rPr>
      </w:pPr>
    </w:p>
    <w:p w:rsidR="00000000" w:rsidRDefault="00C56D69">
      <w:pPr>
        <w:ind w:firstLine="360"/>
        <w:divId w:val="564725659"/>
        <w:rPr>
          <w:rFonts w:eastAsia="Times New Roman"/>
        </w:rPr>
      </w:pPr>
      <w:r>
        <w:rPr>
          <w:rFonts w:eastAsia="Times New Roman"/>
          <w:color w:val="000000"/>
          <w:sz w:val="20"/>
          <w:szCs w:val="20"/>
        </w:rPr>
        <w:t>The following table summarizes our Non-GAAP Operating Earnings per common share for the three and nine months ended September 30, 2022 and</w:t>
      </w:r>
      <w:r>
        <w:rPr>
          <w:rFonts w:eastAsia="Times New Roman"/>
          <w:color w:val="000000"/>
          <w:sz w:val="20"/>
          <w:szCs w:val="20"/>
        </w:rPr>
        <w:t xml:space="preserve">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4137"/>
        <w:gridCol w:w="36"/>
        <w:gridCol w:w="480"/>
        <w:gridCol w:w="400"/>
        <w:gridCol w:w="36"/>
        <w:gridCol w:w="36"/>
        <w:gridCol w:w="36"/>
        <w:gridCol w:w="36"/>
        <w:gridCol w:w="480"/>
        <w:gridCol w:w="400"/>
        <w:gridCol w:w="36"/>
        <w:gridCol w:w="480"/>
        <w:gridCol w:w="400"/>
        <w:gridCol w:w="36"/>
        <w:gridCol w:w="36"/>
        <w:gridCol w:w="36"/>
        <w:gridCol w:w="36"/>
        <w:gridCol w:w="480"/>
        <w:gridCol w:w="400"/>
        <w:gridCol w:w="36"/>
        <w:gridCol w:w="36"/>
        <w:gridCol w:w="36"/>
        <w:gridCol w:w="36"/>
        <w:gridCol w:w="36"/>
        <w:gridCol w:w="36"/>
        <w:gridCol w:w="36"/>
      </w:tblGrid>
      <w:tr w:rsidR="00000000">
        <w:trPr>
          <w:divId w:val="1673028776"/>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67302877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shd w:val="clear" w:color="auto" w:fill="FFFFFF"/>
            <w:tcMar>
              <w:top w:w="30" w:type="dxa"/>
              <w:left w:w="20" w:type="dxa"/>
              <w:bottom w:w="30" w:type="dxa"/>
              <w:right w:w="20" w:type="dxa"/>
            </w:tcMar>
            <w:vAlign w:val="bottom"/>
            <w:hideMark/>
          </w:tcPr>
          <w:p w:rsidR="00000000" w:rsidRDefault="00C56D69">
            <w:pPr>
              <w:spacing w:after="100"/>
              <w:ind w:firstLine="36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673028776"/>
        </w:trPr>
        <w:tc>
          <w:tcPr>
            <w:tcW w:w="0" w:type="auto"/>
            <w:gridSpan w:val="3"/>
            <w:tcMar>
              <w:top w:w="0" w:type="dxa"/>
              <w:left w:w="20" w:type="dxa"/>
              <w:bottom w:w="0" w:type="dxa"/>
              <w:right w:w="20" w:type="dxa"/>
            </w:tcMar>
            <w:vAlign w:val="center"/>
            <w:hideMark/>
          </w:tcPr>
          <w:p w:rsidR="00000000" w:rsidRDefault="00C56D69">
            <w:pPr>
              <w:spacing w:after="100"/>
              <w:ind w:firstLine="36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ind w:firstLine="360"/>
              <w:rPr>
                <w:rFonts w:eastAsia="Times New Roman"/>
              </w:rPr>
            </w:pPr>
            <w:r>
              <w:rPr>
                <w:rFonts w:eastAsia="Times New Roman"/>
                <w:b/>
                <w:bCs/>
                <w:color w:val="000000"/>
                <w:sz w:val="20"/>
                <w:szCs w:val="20"/>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ind w:firstLine="36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ind w:firstLine="360"/>
              <w:rPr>
                <w:rFonts w:eastAsia="Times New Roman"/>
              </w:rPr>
            </w:pPr>
            <w:r>
              <w:rPr>
                <w:rFonts w:eastAsia="Times New Roman"/>
                <w:color w:val="000000"/>
                <w:sz w:val="20"/>
                <w:szCs w:val="20"/>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ind w:firstLine="36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ind w:firstLine="36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C56D69">
            <w:pPr>
              <w:spacing w:after="100"/>
              <w:ind w:firstLine="36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673028776"/>
          <w:trHeight w:val="22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673028776"/>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Non-GAAP </w:t>
            </w:r>
            <w:r>
              <w:rPr>
                <w:rFonts w:eastAsia="Times New Roman"/>
                <w:color w:val="000000"/>
                <w:sz w:val="20"/>
                <w:szCs w:val="20"/>
              </w:rPr>
              <w:t>operating earnings per common share:</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67302877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Basic </w:t>
            </w:r>
          </w:p>
        </w:tc>
        <w:tc>
          <w:tcPr>
            <w:tcW w:w="0" w:type="auto"/>
            <w:shd w:val="clear" w:color="auto" w:fill="CCEE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673028776"/>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673457616"/>
        <w:rPr>
          <w:rFonts w:eastAsia="Times New Roman"/>
        </w:rPr>
      </w:pPr>
    </w:p>
    <w:p w:rsidR="00000000" w:rsidRDefault="00C56D69">
      <w:pPr>
        <w:divId w:val="533928016"/>
        <w:rPr>
          <w:rFonts w:eastAsia="Times New Roman"/>
        </w:rPr>
      </w:pPr>
      <w:r>
        <w:rPr>
          <w:rFonts w:eastAsia="Times New Roman"/>
          <w:b/>
          <w:bCs/>
          <w:color w:val="000000"/>
          <w:sz w:val="20"/>
          <w:szCs w:val="20"/>
        </w:rPr>
        <w:t>Three Months Ended September 30, 2022 Comp</w:t>
      </w:r>
      <w:r>
        <w:rPr>
          <w:rFonts w:eastAsia="Times New Roman"/>
          <w:b/>
          <w:bCs/>
          <w:color w:val="000000"/>
          <w:sz w:val="20"/>
          <w:szCs w:val="20"/>
        </w:rPr>
        <w:t>ared to the Three Months Ended September 30, 2021</w:t>
      </w:r>
    </w:p>
    <w:p w:rsidR="00000000" w:rsidRDefault="00C56D69">
      <w:pPr>
        <w:jc w:val="both"/>
        <w:divId w:val="1139499290"/>
        <w:rPr>
          <w:rFonts w:eastAsia="Times New Roman"/>
        </w:rPr>
      </w:pPr>
      <w:r>
        <w:rPr>
          <w:rFonts w:eastAsia="Times New Roman"/>
          <w:b/>
          <w:bCs/>
          <w:i/>
          <w:iCs/>
          <w:color w:val="000000"/>
          <w:sz w:val="20"/>
          <w:szCs w:val="20"/>
        </w:rPr>
        <w:t>Net Income Attributable to Holdings</w:t>
      </w:r>
    </w:p>
    <w:p w:rsidR="00000000" w:rsidRDefault="00C56D69">
      <w:pPr>
        <w:ind w:firstLine="360"/>
        <w:divId w:val="1298874562"/>
        <w:rPr>
          <w:rFonts w:eastAsia="Times New Roman"/>
        </w:rPr>
      </w:pPr>
      <w:r>
        <w:rPr>
          <w:rFonts w:eastAsia="Times New Roman"/>
          <w:color w:val="000000"/>
          <w:sz w:val="20"/>
          <w:szCs w:val="20"/>
        </w:rPr>
        <w:t>Net income attributable to Holdings decreased by $399 million, to a net income of $273 million for the three months ended September 30, 2022 from a net income of $672 mil</w:t>
      </w:r>
      <w:r>
        <w:rPr>
          <w:rFonts w:eastAsia="Times New Roman"/>
          <w:color w:val="000000"/>
          <w:sz w:val="20"/>
          <w:szCs w:val="20"/>
        </w:rPr>
        <w:t>lion in the three months ended September 30, 2021. The following notable items were the primary drivers for the change in net income (loss):</w:t>
      </w:r>
    </w:p>
    <w:p w:rsidR="00000000" w:rsidRDefault="00C56D69">
      <w:pPr>
        <w:jc w:val="center"/>
        <w:divId w:val="2058628593"/>
        <w:rPr>
          <w:rFonts w:eastAsia="Times New Roman"/>
        </w:rPr>
      </w:pPr>
      <w:r>
        <w:rPr>
          <w:rFonts w:eastAsia="Times New Roman"/>
          <w:color w:val="000000"/>
          <w:sz w:val="20"/>
          <w:szCs w:val="20"/>
        </w:rPr>
        <w:t>82</w:t>
      </w:r>
    </w:p>
    <w:p w:rsidR="00000000" w:rsidRDefault="00C56D69">
      <w:pPr>
        <w:rPr>
          <w:rFonts w:eastAsia="Times New Roman"/>
        </w:rPr>
      </w:pPr>
      <w:r>
        <w:rPr>
          <w:rFonts w:eastAsia="Times New Roman"/>
        </w:rPr>
        <w:pict>
          <v:rect id="_x0000_i1108" style="width:0;height:1.5pt" o:hralign="center" o:hrstd="t" o:hr="t" fillcolor="#a0a0a0" stroked="f"/>
        </w:pict>
      </w:r>
    </w:p>
    <w:p w:rsidR="00000000" w:rsidRDefault="00C56D69">
      <w:pPr>
        <w:ind w:firstLine="360"/>
        <w:divId w:val="47653099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128282704"/>
        <w:rPr>
          <w:rFonts w:eastAsia="Times New Roman"/>
        </w:rPr>
      </w:pPr>
      <w:r>
        <w:rPr>
          <w:rFonts w:eastAsia="Times New Roman"/>
          <w:color w:val="000000"/>
          <w:sz w:val="20"/>
          <w:szCs w:val="20"/>
        </w:rPr>
        <w:t>Unfavorable items included:</w:t>
      </w:r>
    </w:p>
    <w:p w:rsidR="00000000" w:rsidRDefault="00C56D69">
      <w:pPr>
        <w:ind w:hanging="360"/>
        <w:divId w:val="1717579555"/>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Investment gains decreased by $495 million mainly due to AFS fixed maturities in an unrealized loss position in anticipation of the EQUI-VEST Transaction and rebalancing program to reduce duration during 2022.</w:t>
      </w:r>
    </w:p>
    <w:p w:rsidR="00000000" w:rsidRDefault="00C56D69">
      <w:pPr>
        <w:ind w:hanging="360"/>
        <w:divId w:val="1659534611"/>
        <w:rPr>
          <w:rFonts w:eastAsia="Times New Roman"/>
        </w:rPr>
      </w:pPr>
      <w:r>
        <w:rPr>
          <w:rFonts w:eastAsia="Times New Roman"/>
          <w:color w:val="000000"/>
          <w:sz w:val="20"/>
          <w:szCs w:val="20"/>
        </w:rPr>
        <w:t>•Fee-type revenue decreased by $209 million ma</w:t>
      </w:r>
      <w:r>
        <w:rPr>
          <w:rFonts w:eastAsia="Times New Roman"/>
          <w:color w:val="000000"/>
          <w:sz w:val="20"/>
          <w:szCs w:val="20"/>
        </w:rPr>
        <w:t>inly driven by lower average Separate Accounts AV within our Individual and Group Retirement segments as a result of lower equity markets, and lower advisory base fees, Bernstein Research Services revenues and distribution revenues in our Investment Manage</w:t>
      </w:r>
      <w:r>
        <w:rPr>
          <w:rFonts w:eastAsia="Times New Roman"/>
          <w:color w:val="000000"/>
          <w:sz w:val="20"/>
          <w:szCs w:val="20"/>
        </w:rPr>
        <w:t>ment and Research segment primarily resulting from lower average AUM due to market depreciation.</w:t>
      </w:r>
    </w:p>
    <w:p w:rsidR="00000000" w:rsidRDefault="00C56D69">
      <w:pPr>
        <w:ind w:hanging="360"/>
        <w:divId w:val="1702825995"/>
        <w:rPr>
          <w:rFonts w:eastAsia="Times New Roman"/>
        </w:rPr>
      </w:pPr>
      <w:r>
        <w:rPr>
          <w:rFonts w:eastAsia="Times New Roman"/>
          <w:color w:val="000000"/>
          <w:sz w:val="20"/>
          <w:szCs w:val="20"/>
          <w:shd w:val="clear" w:color="auto" w:fill="FFFFFF"/>
        </w:rPr>
        <w:t>•Net investment income decreased by $155 million mainly due to lower alternative investment income, lower prepayments, and lower income from seed capital inves</w:t>
      </w:r>
      <w:r>
        <w:rPr>
          <w:rFonts w:eastAsia="Times New Roman"/>
          <w:color w:val="000000"/>
          <w:sz w:val="20"/>
          <w:szCs w:val="20"/>
          <w:shd w:val="clear" w:color="auto" w:fill="FFFFFF"/>
        </w:rPr>
        <w:t xml:space="preserve">tments (offset by hedging gains in derivatives), partially offset by higher income from floating rate securities, higher asset balances and GA optimization. </w:t>
      </w:r>
    </w:p>
    <w:p w:rsidR="00000000" w:rsidRDefault="00C56D69">
      <w:pPr>
        <w:ind w:hanging="360"/>
        <w:divId w:val="313729726"/>
        <w:rPr>
          <w:rFonts w:eastAsia="Times New Roman"/>
        </w:rPr>
      </w:pPr>
      <w:r>
        <w:rPr>
          <w:rFonts w:eastAsia="Times New Roman"/>
          <w:color w:val="000000"/>
          <w:sz w:val="20"/>
          <w:szCs w:val="20"/>
        </w:rPr>
        <w:t>•Interest credited to policyholders’ account balances increased by $73 million mainly due to growt</w:t>
      </w:r>
      <w:r>
        <w:rPr>
          <w:rFonts w:eastAsia="Times New Roman"/>
          <w:color w:val="000000"/>
          <w:sz w:val="20"/>
          <w:szCs w:val="20"/>
        </w:rPr>
        <w:t xml:space="preserve">h of SCS AV and increase in interest rates and average outstanding amounts of funding agreements during third quarter of 2022 compared to the third quarter 2021. </w:t>
      </w:r>
    </w:p>
    <w:p w:rsidR="00000000" w:rsidRDefault="00C56D69">
      <w:pPr>
        <w:ind w:hanging="360"/>
        <w:jc w:val="both"/>
        <w:divId w:val="1989748288"/>
        <w:rPr>
          <w:rFonts w:eastAsia="Times New Roman"/>
        </w:rPr>
      </w:pPr>
      <w:r>
        <w:rPr>
          <w:rFonts w:eastAsia="Times New Roman"/>
          <w:color w:val="000000"/>
          <w:sz w:val="20"/>
          <w:szCs w:val="20"/>
        </w:rPr>
        <w:t>•Amortization of DAC increased by $41 million mainly due to equity market depreciation and le</w:t>
      </w:r>
      <w:r>
        <w:rPr>
          <w:rFonts w:eastAsia="Times New Roman"/>
          <w:color w:val="000000"/>
          <w:sz w:val="20"/>
          <w:szCs w:val="20"/>
        </w:rPr>
        <w:t xml:space="preserve">ss favorable assumption updates during the third quarter 2022 compared to the third quarter 2021. </w:t>
      </w:r>
    </w:p>
    <w:p w:rsidR="00000000" w:rsidRDefault="00C56D69">
      <w:pPr>
        <w:ind w:firstLine="360"/>
        <w:divId w:val="7564237"/>
        <w:rPr>
          <w:rFonts w:eastAsia="Times New Roman"/>
        </w:rPr>
      </w:pPr>
      <w:r>
        <w:rPr>
          <w:rFonts w:eastAsia="Times New Roman"/>
          <w:color w:val="000000"/>
          <w:sz w:val="20"/>
          <w:szCs w:val="20"/>
        </w:rPr>
        <w:t>These were partially offset by the following favorable items:</w:t>
      </w:r>
    </w:p>
    <w:p w:rsidR="00000000" w:rsidRDefault="00C56D69">
      <w:pPr>
        <w:ind w:hanging="360"/>
        <w:divId w:val="900023582"/>
        <w:rPr>
          <w:rFonts w:eastAsia="Times New Roman"/>
        </w:rPr>
      </w:pPr>
      <w:r>
        <w:rPr>
          <w:rFonts w:eastAsia="Times New Roman"/>
          <w:color w:val="000000"/>
          <w:sz w:val="20"/>
          <w:szCs w:val="20"/>
        </w:rPr>
        <w:t xml:space="preserve">•Net derivative gains increased by $253 million from a $185 million loss from prior period due </w:t>
      </w:r>
      <w:r>
        <w:rPr>
          <w:rFonts w:eastAsia="Times New Roman"/>
          <w:color w:val="000000"/>
          <w:sz w:val="20"/>
          <w:szCs w:val="20"/>
        </w:rPr>
        <w:t xml:space="preserve">to equity market depreciation and more favorable assumption updates in the third quarter 2022 versus the prior period quarter partially offset by impacts from rising interest rate increases. </w:t>
      </w:r>
    </w:p>
    <w:p w:rsidR="00000000" w:rsidRDefault="00C56D69">
      <w:pPr>
        <w:ind w:hanging="360"/>
        <w:divId w:val="860703705"/>
        <w:rPr>
          <w:rFonts w:eastAsia="Times New Roman"/>
        </w:rPr>
      </w:pPr>
      <w:r>
        <w:rPr>
          <w:rFonts w:eastAsia="Times New Roman"/>
          <w:color w:val="000000"/>
          <w:sz w:val="20"/>
          <w:szCs w:val="20"/>
        </w:rPr>
        <w:t>•Policyholders’ benefits decreased by $126 million mainly due to</w:t>
      </w:r>
      <w:r>
        <w:rPr>
          <w:rFonts w:eastAsia="Times New Roman"/>
          <w:color w:val="000000"/>
          <w:sz w:val="20"/>
          <w:szCs w:val="20"/>
        </w:rPr>
        <w:t xml:space="preserve"> more favorable assumption updates in third quarter 2022 compared to third quarter 2021 partially offset by equity market depreciation during the third quarter 2022 compared to equity market appreciation during the third quarter 2021 (offset in Net Derivat</w:t>
      </w:r>
      <w:r>
        <w:rPr>
          <w:rFonts w:eastAsia="Times New Roman"/>
          <w:color w:val="000000"/>
          <w:sz w:val="20"/>
          <w:szCs w:val="20"/>
        </w:rPr>
        <w:t>ive gains) and higher benefits due to strong growth in Employee Benefits.</w:t>
      </w:r>
    </w:p>
    <w:p w:rsidR="00000000" w:rsidRDefault="00C56D69">
      <w:pPr>
        <w:ind w:hanging="360"/>
        <w:divId w:val="1352492225"/>
        <w:rPr>
          <w:rFonts w:eastAsia="Times New Roman"/>
        </w:rPr>
      </w:pPr>
      <w:r>
        <w:rPr>
          <w:rFonts w:eastAsia="Times New Roman"/>
          <w:color w:val="000000"/>
          <w:sz w:val="20"/>
          <w:szCs w:val="20"/>
          <w:shd w:val="clear" w:color="auto" w:fill="FFFFFF"/>
        </w:rPr>
        <w:t>•</w:t>
      </w:r>
      <w:r>
        <w:rPr>
          <w:rFonts w:eastAsia="Times New Roman"/>
          <w:color w:val="000000"/>
          <w:sz w:val="20"/>
          <w:szCs w:val="20"/>
        </w:rPr>
        <w:t>Commissions and distribution-related payments decreased by $68 million mainly due to lower payments to financial intermediaries for the distribution of AB mutual funds in our Invest</w:t>
      </w:r>
      <w:r>
        <w:rPr>
          <w:rFonts w:eastAsia="Times New Roman"/>
          <w:color w:val="000000"/>
          <w:sz w:val="20"/>
          <w:szCs w:val="20"/>
        </w:rPr>
        <w:t>ment Management and Research segment and lower AV in our Individual Retirement segment related to equity market depreciation</w:t>
      </w:r>
      <w:r>
        <w:rPr>
          <w:rFonts w:eastAsia="Times New Roman"/>
          <w:color w:val="000000"/>
          <w:sz w:val="20"/>
          <w:szCs w:val="20"/>
          <w:shd w:val="clear" w:color="auto" w:fill="FFFFFF"/>
        </w:rPr>
        <w:t>.</w:t>
      </w:r>
    </w:p>
    <w:p w:rsidR="00000000" w:rsidRDefault="00C56D69">
      <w:pPr>
        <w:ind w:hanging="360"/>
        <w:divId w:val="2024361816"/>
        <w:rPr>
          <w:rFonts w:eastAsia="Times New Roman"/>
        </w:rPr>
      </w:pPr>
      <w:r>
        <w:rPr>
          <w:rFonts w:eastAsia="Times New Roman"/>
          <w:color w:val="000000"/>
          <w:sz w:val="20"/>
          <w:szCs w:val="20"/>
        </w:rPr>
        <w:t>•Net income attributable to noncontrolling interest decreased by $39 million mainly due to lower AB pre-tax income and consolidate</w:t>
      </w:r>
      <w:r>
        <w:rPr>
          <w:rFonts w:eastAsia="Times New Roman"/>
          <w:color w:val="000000"/>
          <w:sz w:val="20"/>
          <w:szCs w:val="20"/>
        </w:rPr>
        <w:t>d VIE losses during the third quarter 2022.</w:t>
      </w:r>
    </w:p>
    <w:p w:rsidR="00000000" w:rsidRDefault="00C56D69">
      <w:pPr>
        <w:ind w:hanging="360"/>
        <w:jc w:val="both"/>
        <w:divId w:val="267586748"/>
        <w:rPr>
          <w:rFonts w:eastAsia="Times New Roman"/>
        </w:rPr>
      </w:pPr>
      <w:r>
        <w:rPr>
          <w:rFonts w:eastAsia="Times New Roman"/>
          <w:color w:val="000000"/>
          <w:sz w:val="20"/>
          <w:szCs w:val="20"/>
        </w:rPr>
        <w:t xml:space="preserve">•Income tax expense decreased by $73 million mainly due to a decrease in pre-tax income in the third quarter 2022, partially offset by a higher effective tax rate. </w:t>
      </w:r>
    </w:p>
    <w:p w:rsidR="00000000" w:rsidRDefault="00C56D69">
      <w:pPr>
        <w:jc w:val="both"/>
        <w:divId w:val="30737871"/>
        <w:rPr>
          <w:rFonts w:eastAsia="Times New Roman"/>
        </w:rPr>
      </w:pPr>
      <w:r>
        <w:rPr>
          <w:rFonts w:eastAsia="Times New Roman"/>
          <w:b/>
          <w:bCs/>
          <w:i/>
          <w:iCs/>
          <w:color w:val="000000"/>
          <w:sz w:val="20"/>
          <w:szCs w:val="20"/>
        </w:rPr>
        <w:t>Non-GAAP Operating Earnings</w:t>
      </w:r>
    </w:p>
    <w:p w:rsidR="00000000" w:rsidRDefault="00C56D69">
      <w:pPr>
        <w:ind w:firstLine="360"/>
        <w:divId w:val="1646424371"/>
        <w:rPr>
          <w:rFonts w:eastAsia="Times New Roman"/>
        </w:rPr>
      </w:pPr>
      <w:r>
        <w:rPr>
          <w:rFonts w:eastAsia="Times New Roman"/>
          <w:color w:val="000000"/>
          <w:sz w:val="20"/>
          <w:szCs w:val="20"/>
        </w:rPr>
        <w:t xml:space="preserve">Non-GAAP Operating </w:t>
      </w:r>
      <w:r>
        <w:rPr>
          <w:rFonts w:eastAsia="Times New Roman"/>
          <w:color w:val="000000"/>
          <w:sz w:val="20"/>
          <w:szCs w:val="20"/>
        </w:rPr>
        <w:t>Earnings decreased by $319 million to $498 million for the three months ended September 30, 2022 from $818 million in the three months ended September 30, 2021. The following notable items were the primary drivers for the change in Non-GAAP Operating Earni</w:t>
      </w:r>
      <w:r>
        <w:rPr>
          <w:rFonts w:eastAsia="Times New Roman"/>
          <w:color w:val="000000"/>
          <w:sz w:val="20"/>
          <w:szCs w:val="20"/>
        </w:rPr>
        <w:t>ngs:</w:t>
      </w:r>
    </w:p>
    <w:p w:rsidR="00000000" w:rsidRDefault="00C56D69">
      <w:pPr>
        <w:ind w:firstLine="360"/>
        <w:divId w:val="1248729295"/>
        <w:rPr>
          <w:rFonts w:eastAsia="Times New Roman"/>
        </w:rPr>
      </w:pPr>
      <w:r>
        <w:rPr>
          <w:rFonts w:eastAsia="Times New Roman"/>
          <w:color w:val="000000"/>
          <w:sz w:val="20"/>
          <w:szCs w:val="20"/>
        </w:rPr>
        <w:t>Unfavorable items included:</w:t>
      </w:r>
    </w:p>
    <w:p w:rsidR="00000000" w:rsidRDefault="00C56D69">
      <w:pPr>
        <w:ind w:hanging="180"/>
        <w:divId w:val="1548298897"/>
        <w:rPr>
          <w:rFonts w:eastAsia="Times New Roman"/>
        </w:rPr>
      </w:pPr>
      <w:r>
        <w:rPr>
          <w:rFonts w:eastAsia="Times New Roman"/>
          <w:color w:val="000000"/>
          <w:sz w:val="20"/>
          <w:szCs w:val="20"/>
        </w:rPr>
        <w:t>•Fee-type revenue decreased by $214 million mainly due to lower average Separate Accounts AV within our Individual and Group Retirement segments as a result of lower equity markets, and lower advisory base fees, Bernstein R</w:t>
      </w:r>
      <w:r>
        <w:rPr>
          <w:rFonts w:eastAsia="Times New Roman"/>
          <w:color w:val="000000"/>
          <w:sz w:val="20"/>
          <w:szCs w:val="20"/>
        </w:rPr>
        <w:t>esearch Services revenues and distribution revenues in our Investment Management and Research segment primarily resulting from lower average AUM due to market depreciation.</w:t>
      </w:r>
    </w:p>
    <w:p w:rsidR="00000000" w:rsidRDefault="00C56D69">
      <w:pPr>
        <w:ind w:hanging="180"/>
        <w:divId w:val="70086376"/>
        <w:rPr>
          <w:rFonts w:eastAsia="Times New Roman"/>
        </w:rPr>
      </w:pPr>
      <w:r>
        <w:rPr>
          <w:rFonts w:eastAsia="Times New Roman"/>
          <w:color w:val="000000"/>
          <w:sz w:val="20"/>
          <w:szCs w:val="20"/>
          <w:shd w:val="clear" w:color="auto" w:fill="FFFFFF"/>
        </w:rPr>
        <w:t>•Net investment income decreased by $163 million mainly due to</w:t>
      </w:r>
      <w:r>
        <w:rPr>
          <w:rFonts w:eastAsia="Times New Roman"/>
          <w:color w:val="000000"/>
          <w:sz w:val="20"/>
          <w:szCs w:val="20"/>
        </w:rPr>
        <w:t xml:space="preserve"> lower alternative in</w:t>
      </w:r>
      <w:r>
        <w:rPr>
          <w:rFonts w:eastAsia="Times New Roman"/>
          <w:color w:val="000000"/>
          <w:sz w:val="20"/>
          <w:szCs w:val="20"/>
        </w:rPr>
        <w:t xml:space="preserve">vestment income, lower prepayments and lower income from seed capital investments (offset by hedging gains in derivatives), partially offset by higher income from floating rate securities and higher income from new investment yields. </w:t>
      </w:r>
    </w:p>
    <w:p w:rsidR="00000000" w:rsidRDefault="00C56D69">
      <w:pPr>
        <w:ind w:hanging="180"/>
        <w:divId w:val="1809275133"/>
        <w:rPr>
          <w:rFonts w:eastAsia="Times New Roman"/>
        </w:rPr>
      </w:pPr>
      <w:r>
        <w:rPr>
          <w:rFonts w:eastAsia="Times New Roman"/>
          <w:color w:val="000000"/>
          <w:sz w:val="20"/>
          <w:szCs w:val="20"/>
        </w:rPr>
        <w:t>•Interest credited to</w:t>
      </w:r>
      <w:r>
        <w:rPr>
          <w:rFonts w:eastAsia="Times New Roman"/>
          <w:color w:val="000000"/>
          <w:sz w:val="20"/>
          <w:szCs w:val="20"/>
        </w:rPr>
        <w:t xml:space="preserve"> policyholders’ account balances increased by $73 million mainly due to growth of SCS AV and increase in interest rates and average outstanding amounts of funding agreements during third quarter 2022 compared to the third quarter 2021. </w:t>
      </w:r>
    </w:p>
    <w:p w:rsidR="00000000" w:rsidRDefault="00C56D69">
      <w:pPr>
        <w:jc w:val="center"/>
        <w:divId w:val="146168578"/>
        <w:rPr>
          <w:rFonts w:eastAsia="Times New Roman"/>
        </w:rPr>
      </w:pPr>
      <w:r>
        <w:rPr>
          <w:rFonts w:eastAsia="Times New Roman"/>
          <w:color w:val="000000"/>
          <w:sz w:val="20"/>
          <w:szCs w:val="20"/>
        </w:rPr>
        <w:t>83</w:t>
      </w:r>
    </w:p>
    <w:p w:rsidR="00000000" w:rsidRDefault="00C56D69">
      <w:pPr>
        <w:rPr>
          <w:rFonts w:eastAsia="Times New Roman"/>
        </w:rPr>
      </w:pPr>
      <w:r>
        <w:rPr>
          <w:rFonts w:eastAsia="Times New Roman"/>
        </w:rPr>
        <w:pict>
          <v:rect id="_x0000_i1109" style="width:0;height:1.5pt" o:hralign="center" o:hrstd="t" o:hr="t" fillcolor="#a0a0a0" stroked="f"/>
        </w:pict>
      </w:r>
    </w:p>
    <w:p w:rsidR="00000000" w:rsidRDefault="00C56D69">
      <w:pPr>
        <w:ind w:firstLine="360"/>
        <w:divId w:val="44284665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180"/>
        <w:divId w:val="397289839"/>
        <w:rPr>
          <w:rFonts w:eastAsia="Times New Roman"/>
        </w:rPr>
      </w:pPr>
      <w:r>
        <w:rPr>
          <w:rFonts w:eastAsia="Times New Roman"/>
          <w:color w:val="000000"/>
          <w:sz w:val="20"/>
          <w:szCs w:val="20"/>
        </w:rPr>
        <w:t>•Policyholders’ benefits increased by $46 million mainly due to equity market depreciation during the third quarter 2022 compared to equity market appreciation</w:t>
      </w:r>
      <w:r>
        <w:rPr>
          <w:rFonts w:eastAsia="Times New Roman"/>
          <w:color w:val="000000"/>
          <w:sz w:val="20"/>
          <w:szCs w:val="20"/>
        </w:rPr>
        <w:t xml:space="preserve"> during the third quarter 2021 (offset in Net Derivative gains), higher benefits due to strong growth in Employee Benefits partially offset by more favorable assumption updates in third quarter 2022 compared to third quarter 2021.</w:t>
      </w:r>
    </w:p>
    <w:p w:rsidR="00000000" w:rsidRDefault="00C56D69">
      <w:pPr>
        <w:ind w:hanging="180"/>
        <w:divId w:val="338044704"/>
        <w:rPr>
          <w:rFonts w:eastAsia="Times New Roman"/>
        </w:rPr>
      </w:pPr>
      <w:r>
        <w:rPr>
          <w:rFonts w:eastAsia="Times New Roman"/>
          <w:color w:val="000000"/>
          <w:sz w:val="20"/>
          <w:szCs w:val="20"/>
        </w:rPr>
        <w:t>•</w:t>
      </w:r>
      <w:r>
        <w:rPr>
          <w:rFonts w:eastAsia="Times New Roman"/>
          <w:color w:val="000000"/>
          <w:sz w:val="20"/>
          <w:szCs w:val="20"/>
        </w:rPr>
        <w:t>Amortization of DAC increased by $30 million mainly due to equity market depreciation and less favorable assumption updates during the third quarter 2022 compared to the third quarter 2021.</w:t>
      </w:r>
    </w:p>
    <w:p w:rsidR="00000000" w:rsidRDefault="00C56D69">
      <w:pPr>
        <w:ind w:hanging="180"/>
        <w:jc w:val="both"/>
        <w:divId w:val="2080975120"/>
        <w:rPr>
          <w:rFonts w:eastAsia="Times New Roman"/>
        </w:rPr>
      </w:pPr>
      <w:r>
        <w:rPr>
          <w:rFonts w:eastAsia="Times New Roman"/>
          <w:color w:val="000000"/>
          <w:sz w:val="20"/>
          <w:szCs w:val="20"/>
        </w:rPr>
        <w:t>•Compensation, benefits and other operating costs and expenses inc</w:t>
      </w:r>
      <w:r>
        <w:rPr>
          <w:rFonts w:eastAsia="Times New Roman"/>
          <w:color w:val="000000"/>
          <w:sz w:val="20"/>
          <w:szCs w:val="20"/>
        </w:rPr>
        <w:t xml:space="preserve">reased by $24 million mainly due to unfavorable COLI impacts. </w:t>
      </w:r>
    </w:p>
    <w:p w:rsidR="00000000" w:rsidRDefault="00C56D69">
      <w:pPr>
        <w:ind w:firstLine="360"/>
        <w:divId w:val="1898080923"/>
        <w:rPr>
          <w:rFonts w:eastAsia="Times New Roman"/>
        </w:rPr>
      </w:pPr>
      <w:r>
        <w:rPr>
          <w:rFonts w:eastAsia="Times New Roman"/>
          <w:color w:val="000000"/>
          <w:sz w:val="20"/>
          <w:szCs w:val="20"/>
        </w:rPr>
        <w:t>These were partially offset by the following favorable items:</w:t>
      </w:r>
    </w:p>
    <w:p w:rsidR="00000000" w:rsidRDefault="00C56D69">
      <w:pPr>
        <w:ind w:hanging="180"/>
        <w:divId w:val="1605649879"/>
        <w:rPr>
          <w:rFonts w:eastAsia="Times New Roman"/>
        </w:rPr>
      </w:pPr>
      <w:r>
        <w:rPr>
          <w:rFonts w:eastAsia="Times New Roman"/>
          <w:color w:val="000000"/>
          <w:sz w:val="20"/>
          <w:szCs w:val="20"/>
        </w:rPr>
        <w:t>•</w:t>
      </w:r>
      <w:r>
        <w:rPr>
          <w:rFonts w:eastAsia="Times New Roman"/>
          <w:color w:val="000000"/>
          <w:sz w:val="20"/>
          <w:szCs w:val="20"/>
        </w:rPr>
        <w:t>Net derivative gains increased by $82 million from a $64 million gain in the prior period mainly due to equity market depreciation (offset in Policyholder’s benefits) during third quarter 2022 partially offset by inflation related hedging losses on TIPS.</w:t>
      </w:r>
    </w:p>
    <w:p w:rsidR="00000000" w:rsidRDefault="00C56D69">
      <w:pPr>
        <w:ind w:hanging="180"/>
        <w:divId w:val="1872919508"/>
        <w:rPr>
          <w:rFonts w:eastAsia="Times New Roman"/>
        </w:rPr>
      </w:pPr>
      <w:r>
        <w:rPr>
          <w:rFonts w:eastAsia="Times New Roman"/>
          <w:color w:val="000000"/>
          <w:sz w:val="20"/>
          <w:szCs w:val="20"/>
        </w:rPr>
        <w:t>•</w:t>
      </w:r>
      <w:r>
        <w:rPr>
          <w:rFonts w:eastAsia="Times New Roman"/>
          <w:color w:val="000000"/>
          <w:sz w:val="20"/>
          <w:szCs w:val="20"/>
        </w:rPr>
        <w:t xml:space="preserve">Commissions and distribution-related payments decreased by $68 million mainly due to lower AV in our Individual Retirement segment related to equity market depreciation and lower payments to financial intermediaries for the distribution of AB mutual funds </w:t>
      </w:r>
      <w:r>
        <w:rPr>
          <w:rFonts w:eastAsia="Times New Roman"/>
          <w:color w:val="000000"/>
          <w:sz w:val="20"/>
          <w:szCs w:val="20"/>
        </w:rPr>
        <w:t>within our Investment Management and Research segment,</w:t>
      </w:r>
    </w:p>
    <w:p w:rsidR="00000000" w:rsidRDefault="00C56D69">
      <w:pPr>
        <w:ind w:hanging="180"/>
        <w:divId w:val="701705613"/>
        <w:rPr>
          <w:rFonts w:eastAsia="Times New Roman"/>
        </w:rPr>
      </w:pPr>
      <w:r>
        <w:rPr>
          <w:rFonts w:eastAsia="Times New Roman"/>
          <w:color w:val="000000"/>
          <w:sz w:val="20"/>
          <w:szCs w:val="20"/>
        </w:rPr>
        <w:t>•Earnings attributable to the noncontrolling interest decreased by $24 million mainly due to lower Operating earnings in our Investment Management and Research segment.</w:t>
      </w:r>
    </w:p>
    <w:p w:rsidR="00000000" w:rsidRDefault="00C56D69">
      <w:pPr>
        <w:ind w:hanging="180"/>
        <w:jc w:val="both"/>
        <w:divId w:val="277880496"/>
        <w:rPr>
          <w:rFonts w:eastAsia="Times New Roman"/>
        </w:rPr>
      </w:pPr>
      <w:r>
        <w:rPr>
          <w:rFonts w:eastAsia="Times New Roman"/>
          <w:color w:val="000000"/>
          <w:sz w:val="20"/>
          <w:szCs w:val="20"/>
        </w:rPr>
        <w:t>•Income tax expense decreased by</w:t>
      </w:r>
      <w:r>
        <w:rPr>
          <w:rFonts w:eastAsia="Times New Roman"/>
          <w:color w:val="000000"/>
          <w:sz w:val="20"/>
          <w:szCs w:val="20"/>
        </w:rPr>
        <w:t xml:space="preserve"> $48 million driven by lower pre-tax earnings, </w:t>
      </w:r>
    </w:p>
    <w:p w:rsidR="00000000" w:rsidRDefault="00C56D69">
      <w:pPr>
        <w:ind w:firstLine="360"/>
        <w:jc w:val="both"/>
        <w:divId w:val="1549222686"/>
        <w:rPr>
          <w:rFonts w:eastAsia="Times New Roman"/>
        </w:rPr>
      </w:pPr>
    </w:p>
    <w:p w:rsidR="00000000" w:rsidRDefault="00C56D69">
      <w:pPr>
        <w:divId w:val="1992781701"/>
        <w:rPr>
          <w:rFonts w:eastAsia="Times New Roman"/>
        </w:rPr>
      </w:pPr>
      <w:r>
        <w:rPr>
          <w:rFonts w:eastAsia="Times New Roman"/>
          <w:b/>
          <w:bCs/>
          <w:color w:val="000000"/>
          <w:sz w:val="20"/>
          <w:szCs w:val="20"/>
          <w:shd w:val="clear" w:color="auto" w:fill="FFFFFF"/>
        </w:rPr>
        <w:t>Nine Months Ended September 30, 2022 Compared to the Nine Months Ended September 30, 2021</w:t>
      </w:r>
    </w:p>
    <w:p w:rsidR="00000000" w:rsidRDefault="00C56D69">
      <w:pPr>
        <w:jc w:val="both"/>
        <w:divId w:val="1823306091"/>
        <w:rPr>
          <w:rFonts w:eastAsia="Times New Roman"/>
        </w:rPr>
      </w:pPr>
      <w:r>
        <w:rPr>
          <w:rFonts w:eastAsia="Times New Roman"/>
          <w:b/>
          <w:bCs/>
          <w:i/>
          <w:iCs/>
          <w:color w:val="000000"/>
          <w:sz w:val="20"/>
          <w:szCs w:val="20"/>
          <w:shd w:val="clear" w:color="auto" w:fill="FFFFFF"/>
        </w:rPr>
        <w:t>Net Income Attributable to Holdings</w:t>
      </w:r>
    </w:p>
    <w:p w:rsidR="00000000" w:rsidRDefault="00C56D69">
      <w:pPr>
        <w:ind w:firstLine="360"/>
        <w:divId w:val="1325740972"/>
        <w:rPr>
          <w:rFonts w:eastAsia="Times New Roman"/>
        </w:rPr>
      </w:pPr>
      <w:r>
        <w:rPr>
          <w:rFonts w:eastAsia="Times New Roman"/>
          <w:color w:val="000000"/>
          <w:sz w:val="20"/>
          <w:szCs w:val="20"/>
        </w:rPr>
        <w:t>Net loss attributable to Holdings increased by $3.3 billion to a net income of $</w:t>
      </w:r>
      <w:r>
        <w:rPr>
          <w:rFonts w:eastAsia="Times New Roman"/>
          <w:color w:val="000000"/>
          <w:sz w:val="20"/>
          <w:szCs w:val="20"/>
        </w:rPr>
        <w:t>2.6 billion for the nine months ended September 30, 2022 from a net loss of $693 million for the nine months ended September 30, 2021. The following notable items were the primary drivers for the change in net income (loss):</w:t>
      </w:r>
    </w:p>
    <w:p w:rsidR="00000000" w:rsidRDefault="00C56D69">
      <w:pPr>
        <w:divId w:val="1990789043"/>
        <w:rPr>
          <w:rFonts w:eastAsia="Times New Roman"/>
        </w:rPr>
      </w:pPr>
      <w:r>
        <w:rPr>
          <w:rFonts w:eastAsia="Times New Roman"/>
          <w:color w:val="000000"/>
          <w:sz w:val="20"/>
          <w:szCs w:val="20"/>
        </w:rPr>
        <w:t>Favorable items included:</w:t>
      </w:r>
    </w:p>
    <w:p w:rsidR="00000000" w:rsidRDefault="00C56D69">
      <w:pPr>
        <w:ind w:hanging="360"/>
        <w:divId w:val="1466924769"/>
        <w:rPr>
          <w:rFonts w:eastAsia="Times New Roman"/>
        </w:rPr>
      </w:pPr>
      <w:r>
        <w:rPr>
          <w:rFonts w:eastAsia="Times New Roman"/>
          <w:color w:val="000000"/>
          <w:sz w:val="20"/>
          <w:szCs w:val="20"/>
        </w:rPr>
        <w:t xml:space="preserve">•Net </w:t>
      </w:r>
      <w:r>
        <w:rPr>
          <w:rFonts w:eastAsia="Times New Roman"/>
          <w:color w:val="000000"/>
          <w:sz w:val="20"/>
          <w:szCs w:val="20"/>
        </w:rPr>
        <w:t>derivative gains increased $7.0 billion from a $3.9 billion loss in prior period driven by reduced interest rate derivative positions and equity market depreciation during 2022 as compared to 2021.</w:t>
      </w:r>
    </w:p>
    <w:p w:rsidR="00000000" w:rsidRDefault="00C56D69">
      <w:pPr>
        <w:ind w:hanging="360"/>
        <w:divId w:val="981034370"/>
        <w:rPr>
          <w:rFonts w:eastAsia="Times New Roman"/>
        </w:rPr>
      </w:pPr>
      <w:r>
        <w:rPr>
          <w:rFonts w:eastAsia="Times New Roman"/>
          <w:color w:val="000000"/>
          <w:sz w:val="20"/>
          <w:szCs w:val="20"/>
        </w:rPr>
        <w:t>•Commissions and distribution-related payments decreased b</w:t>
      </w:r>
      <w:r>
        <w:rPr>
          <w:rFonts w:eastAsia="Times New Roman"/>
          <w:color w:val="000000"/>
          <w:sz w:val="20"/>
          <w:szCs w:val="20"/>
        </w:rPr>
        <w:t>y $31 million mainly due to lower AV in our Individual Retirement segment related to equity market depreciation and lower payments to financial intermediaries for the distribution of AB mutual funds within our Investment Management and Research segment, pa</w:t>
      </w:r>
      <w:r>
        <w:rPr>
          <w:rFonts w:eastAsia="Times New Roman"/>
          <w:color w:val="000000"/>
          <w:sz w:val="20"/>
          <w:szCs w:val="20"/>
        </w:rPr>
        <w:t>rtially offset by growth in broker dealer sales and higher sales of Employee Benefits products in our Protection Solutions segment.</w:t>
      </w:r>
    </w:p>
    <w:p w:rsidR="00000000" w:rsidRDefault="00C56D69">
      <w:pPr>
        <w:ind w:hanging="360"/>
        <w:divId w:val="1255820650"/>
        <w:rPr>
          <w:rFonts w:eastAsia="Times New Roman"/>
        </w:rPr>
      </w:pPr>
      <w:r>
        <w:rPr>
          <w:rFonts w:eastAsia="Times New Roman"/>
          <w:color w:val="000000"/>
          <w:sz w:val="20"/>
          <w:szCs w:val="20"/>
        </w:rPr>
        <w:t>•Net income attributable to noncontrolling interest decreased by $116 million mainly due to losses from AB’s consolidated VI</w:t>
      </w:r>
      <w:r>
        <w:rPr>
          <w:rFonts w:eastAsia="Times New Roman"/>
          <w:color w:val="000000"/>
          <w:sz w:val="20"/>
          <w:szCs w:val="20"/>
        </w:rPr>
        <w:t>Es and lower AB pre-tax income.</w:t>
      </w:r>
    </w:p>
    <w:p w:rsidR="00000000" w:rsidRDefault="00C56D69">
      <w:pPr>
        <w:divId w:val="182598623"/>
        <w:rPr>
          <w:rFonts w:eastAsia="Times New Roman"/>
        </w:rPr>
      </w:pPr>
      <w:r>
        <w:rPr>
          <w:rFonts w:eastAsia="Times New Roman"/>
          <w:color w:val="000000"/>
          <w:sz w:val="20"/>
          <w:szCs w:val="20"/>
        </w:rPr>
        <w:t>These were partially offset by the following unfavorable items:</w:t>
      </w:r>
    </w:p>
    <w:p w:rsidR="00000000" w:rsidRDefault="00C56D69">
      <w:pPr>
        <w:ind w:hanging="360"/>
        <w:divId w:val="81728892"/>
        <w:rPr>
          <w:rFonts w:eastAsia="Times New Roman"/>
        </w:rPr>
      </w:pPr>
      <w:r>
        <w:rPr>
          <w:rFonts w:eastAsia="Times New Roman"/>
          <w:color w:val="000000"/>
          <w:sz w:val="20"/>
          <w:szCs w:val="20"/>
        </w:rPr>
        <w:t>•Investment gains decreased by $1.7 billion mainly due to AFS fixed maturities in an unrealized loss position in anticipation of the EQUI-VEST Transaction and p</w:t>
      </w:r>
      <w:r>
        <w:rPr>
          <w:rFonts w:eastAsia="Times New Roman"/>
          <w:color w:val="000000"/>
          <w:sz w:val="20"/>
          <w:szCs w:val="20"/>
        </w:rPr>
        <w:t>rior year rebalancing in the General Account portfolio associated with the Venerable Transaction and the rebalancing program to re</w:t>
      </w:r>
      <w:r>
        <w:rPr>
          <w:rFonts w:eastAsia="Times New Roman"/>
          <w:color w:val="000000"/>
          <w:sz w:val="20"/>
          <w:szCs w:val="20"/>
          <w:shd w:val="clear" w:color="auto" w:fill="FFFFFF"/>
        </w:rPr>
        <w:t>duce duration during 2022.</w:t>
      </w:r>
    </w:p>
    <w:p w:rsidR="00000000" w:rsidRDefault="00C56D69">
      <w:pPr>
        <w:ind w:hanging="360"/>
        <w:divId w:val="1136027461"/>
        <w:rPr>
          <w:rFonts w:eastAsia="Times New Roman"/>
        </w:rPr>
      </w:pPr>
      <w:r>
        <w:rPr>
          <w:rFonts w:eastAsia="Times New Roman"/>
          <w:color w:val="000000"/>
          <w:sz w:val="20"/>
          <w:szCs w:val="20"/>
          <w:shd w:val="clear" w:color="auto" w:fill="FFFFFF"/>
        </w:rPr>
        <w:t>•Net investment income decreased by $557 million mainly due to lower alternative investment income,</w:t>
      </w:r>
      <w:r>
        <w:rPr>
          <w:rFonts w:eastAsia="Times New Roman"/>
          <w:color w:val="000000"/>
          <w:sz w:val="20"/>
          <w:szCs w:val="20"/>
          <w:shd w:val="clear" w:color="auto" w:fill="FFFFFF"/>
        </w:rPr>
        <w:t xml:space="preserve"> lower prepayments, lower assets due to the prior year Venerable Transaction, and lower income from seed capital investments (offset by hedging gains in derivatives), partially offset by higher income from floating rate securities, higher income from TIPS </w:t>
      </w:r>
      <w:r>
        <w:rPr>
          <w:rFonts w:eastAsia="Times New Roman"/>
          <w:color w:val="000000"/>
          <w:sz w:val="20"/>
          <w:szCs w:val="20"/>
          <w:shd w:val="clear" w:color="auto" w:fill="FFFFFF"/>
        </w:rPr>
        <w:t>(offset in inflation related hedging losses) and GA optimization.</w:t>
      </w:r>
    </w:p>
    <w:p w:rsidR="00000000" w:rsidRDefault="00C56D69">
      <w:pPr>
        <w:ind w:hanging="360"/>
        <w:divId w:val="1951281973"/>
        <w:rPr>
          <w:rFonts w:eastAsia="Times New Roman"/>
        </w:rPr>
      </w:pPr>
      <w:r>
        <w:rPr>
          <w:rFonts w:eastAsia="Times New Roman"/>
          <w:color w:val="000000"/>
          <w:sz w:val="20"/>
          <w:szCs w:val="20"/>
        </w:rPr>
        <w:t>•Fee-type revenue decreased by $431 million mainly driven by lower fees in our Individual Retirement segment as a result of lower equity markets and fee-income ceded to Venerable partially o</w:t>
      </w:r>
      <w:r>
        <w:rPr>
          <w:rFonts w:eastAsia="Times New Roman"/>
          <w:color w:val="000000"/>
          <w:sz w:val="20"/>
          <w:szCs w:val="20"/>
        </w:rPr>
        <w:t xml:space="preserve">ffset by higher premiums due to growth in Employee Benefits (offset in Policyholder’s benefits). </w:t>
      </w:r>
    </w:p>
    <w:p w:rsidR="00000000" w:rsidRDefault="00C56D69">
      <w:pPr>
        <w:jc w:val="center"/>
        <w:divId w:val="277764411"/>
        <w:rPr>
          <w:rFonts w:eastAsia="Times New Roman"/>
        </w:rPr>
      </w:pPr>
      <w:r>
        <w:rPr>
          <w:rFonts w:eastAsia="Times New Roman"/>
          <w:color w:val="000000"/>
          <w:sz w:val="20"/>
          <w:szCs w:val="20"/>
        </w:rPr>
        <w:t>84</w:t>
      </w:r>
    </w:p>
    <w:p w:rsidR="00000000" w:rsidRDefault="00C56D69">
      <w:pPr>
        <w:rPr>
          <w:rFonts w:eastAsia="Times New Roman"/>
        </w:rPr>
      </w:pPr>
      <w:r>
        <w:rPr>
          <w:rFonts w:eastAsia="Times New Roman"/>
        </w:rPr>
        <w:pict>
          <v:rect id="_x0000_i1110" style="width:0;height:1.5pt" o:hralign="center" o:hrstd="t" o:hr="t" fillcolor="#a0a0a0" stroked="f"/>
        </w:pict>
      </w:r>
    </w:p>
    <w:p w:rsidR="00000000" w:rsidRDefault="00C56D69">
      <w:pPr>
        <w:ind w:firstLine="360"/>
        <w:divId w:val="586427413"/>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360"/>
        <w:divId w:val="2094430551"/>
        <w:rPr>
          <w:rFonts w:eastAsia="Times New Roman"/>
        </w:rPr>
      </w:pPr>
      <w:r>
        <w:rPr>
          <w:rFonts w:eastAsia="Times New Roman"/>
          <w:color w:val="000000"/>
          <w:sz w:val="20"/>
          <w:szCs w:val="20"/>
        </w:rPr>
        <w:t>•Amortization of DAC increased by $189 mi</w:t>
      </w:r>
      <w:r>
        <w:rPr>
          <w:rFonts w:eastAsia="Times New Roman"/>
          <w:color w:val="000000"/>
          <w:sz w:val="20"/>
          <w:szCs w:val="20"/>
        </w:rPr>
        <w:t xml:space="preserve">llion mainly due to equity market depreciation and less favorable assumption updates during 2022 compared to 2021. </w:t>
      </w:r>
    </w:p>
    <w:p w:rsidR="00000000" w:rsidRDefault="00C56D69">
      <w:pPr>
        <w:ind w:hanging="360"/>
        <w:divId w:val="481964123"/>
        <w:rPr>
          <w:rFonts w:eastAsia="Times New Roman"/>
        </w:rPr>
      </w:pPr>
      <w:r>
        <w:rPr>
          <w:rFonts w:eastAsia="Times New Roman"/>
          <w:color w:val="000000"/>
          <w:sz w:val="20"/>
          <w:szCs w:val="20"/>
        </w:rPr>
        <w:t>•Interest credited to policyholders’ account balances increased by $97 million mainly due to growth of SCS AV and increase in interest rates</w:t>
      </w:r>
      <w:r>
        <w:rPr>
          <w:rFonts w:eastAsia="Times New Roman"/>
          <w:color w:val="000000"/>
          <w:sz w:val="20"/>
          <w:szCs w:val="20"/>
        </w:rPr>
        <w:t xml:space="preserve"> and average outstanding amounts of funding agreements during 2022.</w:t>
      </w:r>
    </w:p>
    <w:p w:rsidR="00000000" w:rsidRDefault="00C56D69">
      <w:pPr>
        <w:ind w:hanging="360"/>
        <w:divId w:val="479423008"/>
        <w:rPr>
          <w:rFonts w:eastAsia="Times New Roman"/>
        </w:rPr>
      </w:pPr>
      <w:r>
        <w:rPr>
          <w:rFonts w:eastAsia="Times New Roman"/>
          <w:color w:val="000000"/>
          <w:sz w:val="20"/>
          <w:szCs w:val="20"/>
        </w:rPr>
        <w:t xml:space="preserve">•Policyholders’ </w:t>
      </w:r>
      <w:r>
        <w:rPr>
          <w:rFonts w:eastAsia="Times New Roman"/>
          <w:color w:val="000000"/>
          <w:sz w:val="20"/>
          <w:szCs w:val="20"/>
        </w:rPr>
        <w:t>benefits increased by $81 million mainly due to the equity market depreciation during 2022 compared to equity market appreciation during 2021 (offset in Net Derivative gains), higher claims in Individual Retirement segment partially offset by more favorabl</w:t>
      </w:r>
      <w:r>
        <w:rPr>
          <w:rFonts w:eastAsia="Times New Roman"/>
          <w:color w:val="000000"/>
          <w:sz w:val="20"/>
          <w:szCs w:val="20"/>
        </w:rPr>
        <w:t>e assumption updates during 2022 and impact of the Venerable Transaction on GMxB reserve accrual.</w:t>
      </w:r>
    </w:p>
    <w:p w:rsidR="00000000" w:rsidRDefault="00C56D69">
      <w:pPr>
        <w:ind w:hanging="360"/>
        <w:divId w:val="2068793840"/>
        <w:rPr>
          <w:rFonts w:eastAsia="Times New Roman"/>
        </w:rPr>
      </w:pPr>
      <w:r>
        <w:rPr>
          <w:rFonts w:eastAsia="Times New Roman"/>
          <w:color w:val="000000"/>
          <w:sz w:val="20"/>
          <w:szCs w:val="20"/>
        </w:rPr>
        <w:t>•Compensation, benefits and other operating expenses increased by $23 million mainly due to higher general and administrative expenses in our Investment Manag</w:t>
      </w:r>
      <w:r>
        <w:rPr>
          <w:rFonts w:eastAsia="Times New Roman"/>
          <w:color w:val="000000"/>
          <w:sz w:val="20"/>
          <w:szCs w:val="20"/>
        </w:rPr>
        <w:t>ement and Research segment, unfavorable COLI impacts related to 2022 equity markets and higher consulting expenses partially offset by lower fund expenses from lower average assets due to the Venerable Transactions and lower separation expenses and legal r</w:t>
      </w:r>
      <w:r>
        <w:rPr>
          <w:rFonts w:eastAsia="Times New Roman"/>
          <w:color w:val="000000"/>
          <w:sz w:val="20"/>
          <w:szCs w:val="20"/>
        </w:rPr>
        <w:t>eserve accruals.</w:t>
      </w:r>
    </w:p>
    <w:p w:rsidR="00000000" w:rsidRDefault="00C56D69">
      <w:pPr>
        <w:ind w:hanging="360"/>
        <w:jc w:val="both"/>
        <w:divId w:val="156382992"/>
        <w:rPr>
          <w:rFonts w:eastAsia="Times New Roman"/>
        </w:rPr>
      </w:pPr>
      <w:r>
        <w:rPr>
          <w:rFonts w:eastAsia="Times New Roman"/>
          <w:color w:val="000000"/>
          <w:sz w:val="20"/>
          <w:szCs w:val="20"/>
        </w:rPr>
        <w:t>•Income tax expense increased by $929 million primarily due to pre-tax income in the nine months ended 2022 compared to a pre-tax loss in the nine months ended 2021, partially offset by higher effective tax rate.</w:t>
      </w:r>
    </w:p>
    <w:p w:rsidR="00000000" w:rsidRDefault="00C56D69">
      <w:pPr>
        <w:ind w:firstLine="360"/>
        <w:divId w:val="84544398"/>
        <w:rPr>
          <w:rFonts w:eastAsia="Times New Roman"/>
        </w:rPr>
      </w:pPr>
      <w:r>
        <w:rPr>
          <w:rFonts w:eastAsia="Times New Roman"/>
          <w:color w:val="000000"/>
          <w:sz w:val="20"/>
          <w:szCs w:val="20"/>
          <w:shd w:val="clear" w:color="auto" w:fill="FFFFFF"/>
        </w:rPr>
        <w:t xml:space="preserve">See “—Significant Factors </w:t>
      </w:r>
      <w:r>
        <w:rPr>
          <w:rFonts w:eastAsia="Times New Roman"/>
          <w:color w:val="000000"/>
          <w:sz w:val="20"/>
          <w:szCs w:val="20"/>
          <w:shd w:val="clear" w:color="auto" w:fill="FFFFFF"/>
        </w:rPr>
        <w:t xml:space="preserve">Impacting Our Results—Effect of Assumption Updates on Operating Results” for more information regarding assumption updates. </w:t>
      </w:r>
    </w:p>
    <w:p w:rsidR="00000000" w:rsidRDefault="00C56D69">
      <w:pPr>
        <w:jc w:val="both"/>
        <w:divId w:val="1680498646"/>
        <w:rPr>
          <w:rFonts w:eastAsia="Times New Roman"/>
        </w:rPr>
      </w:pPr>
      <w:r>
        <w:rPr>
          <w:rFonts w:eastAsia="Times New Roman"/>
          <w:b/>
          <w:bCs/>
          <w:i/>
          <w:iCs/>
          <w:color w:val="000000"/>
          <w:sz w:val="20"/>
          <w:szCs w:val="20"/>
          <w:shd w:val="clear" w:color="auto" w:fill="FFFFFF"/>
        </w:rPr>
        <w:t>Non-GAAP Operating Earnings</w:t>
      </w:r>
    </w:p>
    <w:p w:rsidR="00000000" w:rsidRDefault="00C56D69">
      <w:pPr>
        <w:ind w:firstLine="360"/>
        <w:divId w:val="934022232"/>
        <w:rPr>
          <w:rFonts w:eastAsia="Times New Roman"/>
        </w:rPr>
      </w:pPr>
      <w:r>
        <w:rPr>
          <w:rFonts w:eastAsia="Times New Roman"/>
          <w:color w:val="000000"/>
          <w:sz w:val="20"/>
          <w:szCs w:val="20"/>
        </w:rPr>
        <w:t>Non-GAAP Operating Earnings decreased by $604 million to $1.6 billion for the nine months ended Septemb</w:t>
      </w:r>
      <w:r>
        <w:rPr>
          <w:rFonts w:eastAsia="Times New Roman"/>
          <w:color w:val="000000"/>
          <w:sz w:val="20"/>
          <w:szCs w:val="20"/>
        </w:rPr>
        <w:t>er 30, 2022 from $2.2 billion in the nine months ended September 30, 2021. The following notable items were the primary drivers for the change in Non-GAAP Operating Earnings.</w:t>
      </w:r>
    </w:p>
    <w:p w:rsidR="00000000" w:rsidRDefault="00C56D69">
      <w:pPr>
        <w:divId w:val="576982463"/>
        <w:rPr>
          <w:rFonts w:eastAsia="Times New Roman"/>
        </w:rPr>
      </w:pPr>
      <w:r>
        <w:rPr>
          <w:rFonts w:eastAsia="Times New Roman"/>
          <w:color w:val="000000"/>
          <w:sz w:val="20"/>
          <w:szCs w:val="20"/>
        </w:rPr>
        <w:t>Unfavorable items included:</w:t>
      </w:r>
    </w:p>
    <w:p w:rsidR="00000000" w:rsidRDefault="00C56D69">
      <w:pPr>
        <w:ind w:hanging="180"/>
        <w:divId w:val="1383942257"/>
        <w:rPr>
          <w:rFonts w:eastAsia="Times New Roman"/>
        </w:rPr>
      </w:pPr>
      <w:r>
        <w:rPr>
          <w:rFonts w:eastAsia="Times New Roman"/>
          <w:color w:val="000000"/>
          <w:sz w:val="20"/>
          <w:szCs w:val="20"/>
        </w:rPr>
        <w:t>•Fee-type revenue decreased by $432 million mainly du</w:t>
      </w:r>
      <w:r>
        <w:rPr>
          <w:rFonts w:eastAsia="Times New Roman"/>
          <w:color w:val="000000"/>
          <w:sz w:val="20"/>
          <w:szCs w:val="20"/>
        </w:rPr>
        <w:t>e to lower fees in our Individual Retirement segment as a result of lower equity markets and fee-income ceded to Venerable partially offset by higher premiums due to growth in Employee Benefits (offset in Policyholder’s benefits).</w:t>
      </w:r>
    </w:p>
    <w:p w:rsidR="00000000" w:rsidRDefault="00C56D69">
      <w:pPr>
        <w:ind w:hanging="180"/>
        <w:divId w:val="734090401"/>
        <w:rPr>
          <w:rFonts w:eastAsia="Times New Roman"/>
        </w:rPr>
      </w:pPr>
      <w:r>
        <w:rPr>
          <w:rFonts w:eastAsia="Times New Roman"/>
          <w:color w:val="000000"/>
          <w:sz w:val="20"/>
          <w:szCs w:val="20"/>
          <w:shd w:val="clear" w:color="auto" w:fill="FFFFFF"/>
        </w:rPr>
        <w:t>•Net investment income de</w:t>
      </w:r>
      <w:r>
        <w:rPr>
          <w:rFonts w:eastAsia="Times New Roman"/>
          <w:color w:val="000000"/>
          <w:sz w:val="20"/>
          <w:szCs w:val="20"/>
          <w:shd w:val="clear" w:color="auto" w:fill="FFFFFF"/>
        </w:rPr>
        <w:t>creased by $415 million mainly due to lower alternative investment income, lower prepayments, lower assets due to the prior year Venerable Transaction, and lower income from seed capital investments (offset by hedging gains in derivatives) partially offset</w:t>
      </w:r>
      <w:r>
        <w:rPr>
          <w:rFonts w:eastAsia="Times New Roman"/>
          <w:color w:val="000000"/>
          <w:sz w:val="20"/>
          <w:szCs w:val="20"/>
          <w:shd w:val="clear" w:color="auto" w:fill="FFFFFF"/>
        </w:rPr>
        <w:t xml:space="preserve"> by higher income from floating rate securities and TIPS (offset in inflation related hedging losses) and GA optimization.</w:t>
      </w:r>
    </w:p>
    <w:p w:rsidR="00000000" w:rsidRDefault="00C56D69">
      <w:pPr>
        <w:ind w:hanging="180"/>
        <w:divId w:val="1236356934"/>
        <w:rPr>
          <w:rFonts w:eastAsia="Times New Roman"/>
        </w:rPr>
      </w:pPr>
      <w:r>
        <w:rPr>
          <w:rFonts w:eastAsia="Times New Roman"/>
          <w:color w:val="000000"/>
          <w:sz w:val="20"/>
          <w:szCs w:val="20"/>
        </w:rPr>
        <w:t>•Policyholders’ benefits increased by $318 million mainly due to the equity market depreciation during 2022 compared to equity market</w:t>
      </w:r>
      <w:r>
        <w:rPr>
          <w:rFonts w:eastAsia="Times New Roman"/>
          <w:color w:val="000000"/>
          <w:sz w:val="20"/>
          <w:szCs w:val="20"/>
        </w:rPr>
        <w:t xml:space="preserve"> appreciation during 2021 (offset in Net Derivative gains) and higher claims in Individual Retirement segment partially offset by the impact of the Venerable Transaction on GMxB reserve accrual and lower mortality and lower accrual of PFBL reserves in our </w:t>
      </w:r>
      <w:r>
        <w:rPr>
          <w:rFonts w:eastAsia="Times New Roman"/>
          <w:color w:val="000000"/>
          <w:sz w:val="20"/>
          <w:szCs w:val="20"/>
        </w:rPr>
        <w:t>Protection Solutions segment.</w:t>
      </w:r>
    </w:p>
    <w:p w:rsidR="00000000" w:rsidRDefault="00C56D69">
      <w:pPr>
        <w:ind w:hanging="180"/>
        <w:divId w:val="1047489426"/>
        <w:rPr>
          <w:rFonts w:eastAsia="Times New Roman"/>
        </w:rPr>
      </w:pPr>
      <w:r>
        <w:rPr>
          <w:rFonts w:eastAsia="Times New Roman"/>
          <w:color w:val="000000"/>
          <w:sz w:val="20"/>
          <w:szCs w:val="20"/>
        </w:rPr>
        <w:t>•Compensation, benefits and other operating costs and expenses increased by $127 million mainly due to higher general and administrative expenses in our Investment Management and Research segment, unfavorable COLI impacts rela</w:t>
      </w:r>
      <w:r>
        <w:rPr>
          <w:rFonts w:eastAsia="Times New Roman"/>
          <w:color w:val="000000"/>
          <w:sz w:val="20"/>
          <w:szCs w:val="20"/>
        </w:rPr>
        <w:t>ted to 2022 equity market depreciation and higher consulting expenses partially offset by lower fund expenses from lower average assets due to the Venerable Transaction.</w:t>
      </w:r>
    </w:p>
    <w:p w:rsidR="00000000" w:rsidRDefault="00C56D69">
      <w:pPr>
        <w:ind w:hanging="180"/>
        <w:divId w:val="1611083487"/>
        <w:rPr>
          <w:rFonts w:eastAsia="Times New Roman"/>
        </w:rPr>
      </w:pPr>
      <w:r>
        <w:rPr>
          <w:rFonts w:eastAsia="Times New Roman"/>
          <w:color w:val="000000"/>
          <w:sz w:val="20"/>
          <w:szCs w:val="20"/>
        </w:rPr>
        <w:t xml:space="preserve">•Interest credited to policyholders’ account balances increased by $97 million mainly </w:t>
      </w:r>
      <w:r>
        <w:rPr>
          <w:rFonts w:eastAsia="Times New Roman"/>
          <w:color w:val="000000"/>
          <w:sz w:val="20"/>
          <w:szCs w:val="20"/>
        </w:rPr>
        <w:t>due to an increase in interest rates and average outstanding amounts of funding agreements and the growth of SCS AV during 2022.</w:t>
      </w:r>
    </w:p>
    <w:p w:rsidR="00000000" w:rsidRDefault="00C56D69">
      <w:pPr>
        <w:ind w:hanging="180"/>
        <w:divId w:val="646008620"/>
        <w:rPr>
          <w:rFonts w:eastAsia="Times New Roman"/>
        </w:rPr>
      </w:pPr>
      <w:r>
        <w:rPr>
          <w:rFonts w:eastAsia="Times New Roman"/>
          <w:color w:val="000000"/>
          <w:sz w:val="20"/>
          <w:szCs w:val="20"/>
        </w:rPr>
        <w:t>•Amortization of DAC increased by $99 million mainly due to equity market depreciation and less favorable assumption updates du</w:t>
      </w:r>
      <w:r>
        <w:rPr>
          <w:rFonts w:eastAsia="Times New Roman"/>
          <w:color w:val="000000"/>
          <w:sz w:val="20"/>
          <w:szCs w:val="20"/>
        </w:rPr>
        <w:t xml:space="preserve">ring 2022 compared to 2021. </w:t>
      </w:r>
    </w:p>
    <w:p w:rsidR="00000000" w:rsidRDefault="00C56D69">
      <w:pPr>
        <w:divId w:val="1698659887"/>
        <w:rPr>
          <w:rFonts w:eastAsia="Times New Roman"/>
        </w:rPr>
      </w:pPr>
      <w:r>
        <w:rPr>
          <w:rFonts w:eastAsia="Times New Roman"/>
          <w:color w:val="000000"/>
          <w:sz w:val="20"/>
          <w:szCs w:val="20"/>
        </w:rPr>
        <w:t>These were partially offset by the following favorable items:</w:t>
      </w:r>
    </w:p>
    <w:p w:rsidR="00000000" w:rsidRDefault="00C56D69">
      <w:pPr>
        <w:ind w:hanging="180"/>
        <w:divId w:val="2105764339"/>
        <w:rPr>
          <w:rFonts w:eastAsia="Times New Roman"/>
        </w:rPr>
      </w:pPr>
      <w:r>
        <w:rPr>
          <w:rFonts w:eastAsia="Times New Roman"/>
          <w:color w:val="000000"/>
          <w:sz w:val="20"/>
          <w:szCs w:val="20"/>
        </w:rPr>
        <w:t>•Net derivative gains increased $692 million from a $114 million loss in the prior period mainly due to equity markets depreciation (offset in Policyholders’ benefit</w:t>
      </w:r>
      <w:r>
        <w:rPr>
          <w:rFonts w:eastAsia="Times New Roman"/>
          <w:color w:val="000000"/>
          <w:sz w:val="20"/>
          <w:szCs w:val="20"/>
        </w:rPr>
        <w:t>s) during 2022.</w:t>
      </w:r>
    </w:p>
    <w:p w:rsidR="00000000" w:rsidRDefault="00C56D69">
      <w:pPr>
        <w:ind w:hanging="180"/>
        <w:divId w:val="716203988"/>
        <w:rPr>
          <w:rFonts w:eastAsia="Times New Roman"/>
        </w:rPr>
      </w:pPr>
      <w:r>
        <w:rPr>
          <w:rFonts w:eastAsia="Times New Roman"/>
          <w:color w:val="000000"/>
          <w:sz w:val="20"/>
          <w:szCs w:val="20"/>
        </w:rPr>
        <w:t>•Earnings attributable to the noncontrolling interest decreased by $43 million mainly due to lower Operating earnings in our Investment Management and Research segment.</w:t>
      </w:r>
    </w:p>
    <w:p w:rsidR="00000000" w:rsidRDefault="00C56D69">
      <w:pPr>
        <w:ind w:hanging="180"/>
        <w:jc w:val="both"/>
        <w:divId w:val="1512836605"/>
        <w:rPr>
          <w:rFonts w:eastAsia="Times New Roman"/>
        </w:rPr>
      </w:pPr>
      <w:r>
        <w:rPr>
          <w:rFonts w:eastAsia="Times New Roman"/>
          <w:color w:val="000000"/>
          <w:sz w:val="20"/>
          <w:szCs w:val="20"/>
        </w:rPr>
        <w:t>•Commissions and distribution-related payments decreased by $31 million</w:t>
      </w:r>
      <w:r>
        <w:rPr>
          <w:rFonts w:eastAsia="Times New Roman"/>
          <w:color w:val="000000"/>
          <w:sz w:val="20"/>
          <w:szCs w:val="20"/>
        </w:rPr>
        <w:t xml:space="preserve"> mainly due to lower AV in our Individual Retirement segment related to equity market depreciation and lower payments to financial intermediaries for the </w:t>
      </w:r>
    </w:p>
    <w:p w:rsidR="00000000" w:rsidRDefault="00C56D69">
      <w:pPr>
        <w:jc w:val="center"/>
        <w:divId w:val="779837521"/>
        <w:rPr>
          <w:rFonts w:eastAsia="Times New Roman"/>
        </w:rPr>
      </w:pPr>
      <w:r>
        <w:rPr>
          <w:rFonts w:eastAsia="Times New Roman"/>
          <w:color w:val="000000"/>
          <w:sz w:val="20"/>
          <w:szCs w:val="20"/>
        </w:rPr>
        <w:t>85</w:t>
      </w:r>
    </w:p>
    <w:p w:rsidR="00000000" w:rsidRDefault="00C56D69">
      <w:pPr>
        <w:rPr>
          <w:rFonts w:eastAsia="Times New Roman"/>
        </w:rPr>
      </w:pPr>
      <w:r>
        <w:rPr>
          <w:rFonts w:eastAsia="Times New Roman"/>
        </w:rPr>
        <w:pict>
          <v:rect id="_x0000_i1111" style="width:0;height:1.5pt" o:hralign="center" o:hrstd="t" o:hr="t" fillcolor="#a0a0a0" stroked="f"/>
        </w:pict>
      </w:r>
    </w:p>
    <w:p w:rsidR="00000000" w:rsidRDefault="00C56D69">
      <w:pPr>
        <w:divId w:val="1647782382"/>
        <w:rPr>
          <w:rFonts w:eastAsia="Times New Roman"/>
        </w:rPr>
      </w:pPr>
      <w:hyperlink w:anchor="i91a10deab42d4ca59e2a2b17dc17e22e_10" w:history="1">
        <w:r>
          <w:rPr>
            <w:rStyle w:val="a3"/>
            <w:rFonts w:eastAsia="Times New Roman"/>
            <w:b/>
            <w:bCs/>
            <w:sz w:val="20"/>
            <w:szCs w:val="20"/>
          </w:rPr>
          <w:t>Tab</w:t>
        </w:r>
        <w:r>
          <w:rPr>
            <w:rStyle w:val="a3"/>
            <w:rFonts w:eastAsia="Times New Roman"/>
            <w:b/>
            <w:bCs/>
            <w:sz w:val="20"/>
            <w:szCs w:val="20"/>
          </w:rPr>
          <w:t>le of Contents</w:t>
        </w:r>
      </w:hyperlink>
    </w:p>
    <w:p w:rsidR="00000000" w:rsidRDefault="00C56D69">
      <w:pPr>
        <w:jc w:val="both"/>
        <w:divId w:val="1846506621"/>
        <w:rPr>
          <w:rFonts w:eastAsia="Times New Roman"/>
        </w:rPr>
      </w:pPr>
      <w:r>
        <w:rPr>
          <w:rFonts w:eastAsia="Times New Roman"/>
          <w:color w:val="000000"/>
          <w:sz w:val="20"/>
          <w:szCs w:val="20"/>
        </w:rPr>
        <w:t>distribution of AB mutual funds within our Investment Management and Research segment, partially offset by growth in broker dealer sales and higher sales of Employee Benefits products in our Protection Solutions segment.</w:t>
      </w:r>
    </w:p>
    <w:p w:rsidR="00000000" w:rsidRDefault="00C56D69">
      <w:pPr>
        <w:ind w:hanging="180"/>
        <w:jc w:val="both"/>
        <w:divId w:val="2026325835"/>
        <w:rPr>
          <w:rFonts w:eastAsia="Times New Roman"/>
        </w:rPr>
      </w:pPr>
      <w:r>
        <w:rPr>
          <w:rFonts w:eastAsia="Times New Roman"/>
          <w:color w:val="000000"/>
          <w:sz w:val="20"/>
          <w:szCs w:val="20"/>
        </w:rPr>
        <w:t xml:space="preserve">•Income tax expense </w:t>
      </w:r>
      <w:r>
        <w:rPr>
          <w:rFonts w:eastAsia="Times New Roman"/>
          <w:color w:val="000000"/>
          <w:sz w:val="20"/>
          <w:szCs w:val="20"/>
        </w:rPr>
        <w:t xml:space="preserve">decreased by $103 million mainly driven by lower pre-tax earnings, partially offset by higher effective tax rate. </w:t>
      </w:r>
    </w:p>
    <w:p w:rsidR="00000000" w:rsidRDefault="00C56D69">
      <w:pPr>
        <w:divId w:val="624385804"/>
        <w:rPr>
          <w:rFonts w:eastAsia="Times New Roman"/>
        </w:rPr>
      </w:pPr>
      <w:r>
        <w:rPr>
          <w:rFonts w:eastAsia="Times New Roman"/>
          <w:b/>
          <w:bCs/>
          <w:color w:val="000000"/>
          <w:sz w:val="20"/>
          <w:szCs w:val="20"/>
        </w:rPr>
        <w:t>Results of Operations by Segment</w:t>
      </w:r>
    </w:p>
    <w:p w:rsidR="00000000" w:rsidRDefault="00C56D69">
      <w:pPr>
        <w:ind w:firstLine="360"/>
        <w:divId w:val="90590915"/>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report certain activities and items that are not included in our four segments in Corporat</w:t>
      </w:r>
      <w:r>
        <w:rPr>
          <w:rFonts w:eastAsia="Times New Roman"/>
          <w:color w:val="000000"/>
          <w:sz w:val="20"/>
          <w:szCs w:val="20"/>
        </w:rPr>
        <w:t xml:space="preserve">e and Other. The following section presents our discussion of operating earnings (loss) by segment and AUM, AV and Protection Solutions Reserves by segment, as applicable. Consistent with U.S. GAAP guidance for segment reporting, operating earnings (loss) </w:t>
      </w:r>
      <w:r>
        <w:rPr>
          <w:rFonts w:eastAsia="Times New Roman"/>
          <w:color w:val="000000"/>
          <w:sz w:val="20"/>
          <w:szCs w:val="20"/>
        </w:rPr>
        <w:t>is our U.S. GAAP measure of segment performance. See Note 14 of the Notes to the Consolidated Financial Statements for further information on our segments.</w:t>
      </w:r>
    </w:p>
    <w:p w:rsidR="00000000" w:rsidRDefault="00C56D69">
      <w:pPr>
        <w:ind w:firstLine="360"/>
        <w:divId w:val="578559145"/>
        <w:rPr>
          <w:rFonts w:eastAsia="Times New Roman"/>
        </w:rPr>
      </w:pPr>
      <w:r>
        <w:rPr>
          <w:rFonts w:eastAsia="Times New Roman"/>
          <w:color w:val="000000"/>
          <w:sz w:val="20"/>
          <w:szCs w:val="20"/>
        </w:rPr>
        <w:t>The following table summarizes operating earnings (loss) on our segments and Corporate and Other for the three and nine months ended September 30, 2022 and 2021:</w:t>
      </w:r>
    </w:p>
    <w:tbl>
      <w:tblPr>
        <w:tblW w:w="4824" w:type="pct"/>
        <w:tblCellMar>
          <w:top w:w="15" w:type="dxa"/>
          <w:left w:w="15" w:type="dxa"/>
          <w:bottom w:w="15" w:type="dxa"/>
          <w:right w:w="15" w:type="dxa"/>
        </w:tblCellMar>
        <w:tblLook w:val="04A0" w:firstRow="1" w:lastRow="0" w:firstColumn="1" w:lastColumn="0" w:noHBand="0" w:noVBand="1"/>
      </w:tblPr>
      <w:tblGrid>
        <w:gridCol w:w="39"/>
        <w:gridCol w:w="4481"/>
        <w:gridCol w:w="38"/>
        <w:gridCol w:w="120"/>
        <w:gridCol w:w="589"/>
        <w:gridCol w:w="36"/>
        <w:gridCol w:w="36"/>
        <w:gridCol w:w="36"/>
        <w:gridCol w:w="36"/>
        <w:gridCol w:w="120"/>
        <w:gridCol w:w="589"/>
        <w:gridCol w:w="36"/>
        <w:gridCol w:w="36"/>
        <w:gridCol w:w="36"/>
        <w:gridCol w:w="36"/>
        <w:gridCol w:w="120"/>
        <w:gridCol w:w="589"/>
        <w:gridCol w:w="36"/>
        <w:gridCol w:w="36"/>
        <w:gridCol w:w="36"/>
        <w:gridCol w:w="36"/>
        <w:gridCol w:w="120"/>
        <w:gridCol w:w="525"/>
        <w:gridCol w:w="36"/>
        <w:gridCol w:w="36"/>
        <w:gridCol w:w="36"/>
        <w:gridCol w:w="36"/>
        <w:gridCol w:w="36"/>
        <w:gridCol w:w="36"/>
        <w:gridCol w:w="36"/>
      </w:tblGrid>
      <w:tr w:rsidR="00000000">
        <w:trPr>
          <w:divId w:val="442190151"/>
        </w:trPr>
        <w:tc>
          <w:tcPr>
            <w:tcW w:w="50" w:type="pct"/>
            <w:vAlign w:val="center"/>
            <w:hideMark/>
          </w:tcPr>
          <w:p w:rsidR="00000000" w:rsidRDefault="00C56D69">
            <w:pPr>
              <w:ind w:firstLine="360"/>
              <w:rPr>
                <w:rFonts w:eastAsia="Times New Roman"/>
              </w:rPr>
            </w:pPr>
          </w:p>
        </w:tc>
        <w:tc>
          <w:tcPr>
            <w:tcW w:w="29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Operating earnings (loss) by segment:</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4219015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both"/>
        <w:divId w:val="1293902796"/>
        <w:rPr>
          <w:rFonts w:eastAsia="Times New Roman"/>
        </w:rPr>
      </w:pPr>
      <w:r>
        <w:rPr>
          <w:rFonts w:eastAsia="Times New Roman"/>
          <w:b/>
          <w:bCs/>
          <w:i/>
          <w:iCs/>
          <w:color w:val="000000"/>
          <w:sz w:val="20"/>
          <w:szCs w:val="20"/>
        </w:rPr>
        <w:t xml:space="preserve">Effective Tax Rates by Segment </w:t>
      </w:r>
    </w:p>
    <w:p w:rsidR="00000000" w:rsidRDefault="00C56D69">
      <w:pPr>
        <w:ind w:firstLine="360"/>
        <w:divId w:val="984775975"/>
        <w:rPr>
          <w:rFonts w:eastAsia="Times New Roman"/>
        </w:rPr>
      </w:pPr>
      <w:r>
        <w:rPr>
          <w:rFonts w:eastAsia="Times New Roman"/>
          <w:color w:val="000000"/>
          <w:sz w:val="20"/>
          <w:szCs w:val="20"/>
          <w:shd w:val="clear" w:color="auto" w:fill="FFFFFF"/>
        </w:rPr>
        <w:t xml:space="preserve">Income tax expense is calculated using the </w:t>
      </w:r>
      <w:r>
        <w:rPr>
          <w:rFonts w:eastAsia="Times New Roman"/>
          <w:color w:val="000000"/>
          <w:sz w:val="20"/>
          <w:szCs w:val="20"/>
          <w:shd w:val="clear" w:color="auto" w:fill="FFFFFF"/>
        </w:rPr>
        <w:t>ETR and then allocated to our business segments using an 19% ETR for our retirement and protection businesses (Individual Retirement, Group Retirement, and Protection Solutions) and a 27% ETR for Investment Management and Research.</w:t>
      </w:r>
    </w:p>
    <w:p w:rsidR="00000000" w:rsidRDefault="00C56D69">
      <w:pPr>
        <w:divId w:val="1950310884"/>
        <w:rPr>
          <w:rFonts w:eastAsia="Times New Roman"/>
        </w:rPr>
      </w:pPr>
      <w:r>
        <w:rPr>
          <w:rFonts w:eastAsia="Times New Roman"/>
          <w:b/>
          <w:bCs/>
          <w:color w:val="000000"/>
          <w:sz w:val="20"/>
          <w:szCs w:val="20"/>
        </w:rPr>
        <w:t>Individual Retirement</w:t>
      </w:r>
    </w:p>
    <w:p w:rsidR="00000000" w:rsidRDefault="00C56D69">
      <w:pPr>
        <w:ind w:firstLine="360"/>
        <w:divId w:val="301734695"/>
        <w:rPr>
          <w:rFonts w:eastAsia="Times New Roman"/>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C56D69">
      <w:pPr>
        <w:ind w:firstLine="360"/>
        <w:divId w:val="782193428"/>
        <w:rPr>
          <w:rFonts w:eastAsia="Times New Roman"/>
        </w:rPr>
      </w:pPr>
      <w:r>
        <w:rPr>
          <w:rFonts w:eastAsia="Times New Roman"/>
          <w:color w:val="000000"/>
          <w:sz w:val="20"/>
          <w:szCs w:val="20"/>
        </w:rPr>
        <w:t>The following table summarizes operating earnings of our Individual Retirement segmen</w:t>
      </w:r>
      <w:r>
        <w:rPr>
          <w:rFonts w:eastAsia="Times New Roman"/>
          <w:color w:val="000000"/>
          <w:sz w:val="20"/>
          <w:szCs w:val="20"/>
        </w:rPr>
        <w:t>t for the periods presented:</w:t>
      </w:r>
    </w:p>
    <w:tbl>
      <w:tblPr>
        <w:tblW w:w="4963" w:type="pct"/>
        <w:tblCellMar>
          <w:top w:w="15" w:type="dxa"/>
          <w:left w:w="15" w:type="dxa"/>
          <w:bottom w:w="15" w:type="dxa"/>
          <w:right w:w="15" w:type="dxa"/>
        </w:tblCellMar>
        <w:tblLook w:val="04A0" w:firstRow="1" w:lastRow="0" w:firstColumn="1" w:lastColumn="0" w:noHBand="0" w:noVBand="1"/>
      </w:tblPr>
      <w:tblGrid>
        <w:gridCol w:w="37"/>
        <w:gridCol w:w="4771"/>
        <w:gridCol w:w="36"/>
        <w:gridCol w:w="120"/>
        <w:gridCol w:w="585"/>
        <w:gridCol w:w="36"/>
        <w:gridCol w:w="36"/>
        <w:gridCol w:w="36"/>
        <w:gridCol w:w="36"/>
        <w:gridCol w:w="120"/>
        <w:gridCol w:w="586"/>
        <w:gridCol w:w="36"/>
        <w:gridCol w:w="120"/>
        <w:gridCol w:w="586"/>
        <w:gridCol w:w="36"/>
        <w:gridCol w:w="36"/>
        <w:gridCol w:w="36"/>
        <w:gridCol w:w="36"/>
        <w:gridCol w:w="120"/>
        <w:gridCol w:w="588"/>
        <w:gridCol w:w="36"/>
        <w:gridCol w:w="36"/>
        <w:gridCol w:w="36"/>
        <w:gridCol w:w="36"/>
        <w:gridCol w:w="36"/>
        <w:gridCol w:w="36"/>
        <w:gridCol w:w="36"/>
      </w:tblGrid>
      <w:tr w:rsidR="00000000">
        <w:trPr>
          <w:divId w:val="1054037852"/>
        </w:trPr>
        <w:tc>
          <w:tcPr>
            <w:tcW w:w="50" w:type="pct"/>
            <w:vAlign w:val="center"/>
            <w:hideMark/>
          </w:tcPr>
          <w:p w:rsidR="00000000" w:rsidRDefault="00C56D69">
            <w:pPr>
              <w:ind w:firstLine="360"/>
              <w:rPr>
                <w:rFonts w:eastAsia="Times New Roman"/>
              </w:rPr>
            </w:pPr>
          </w:p>
        </w:tc>
        <w:tc>
          <w:tcPr>
            <w:tcW w:w="303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5403785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54037852"/>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5403785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54037852"/>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222066653"/>
        <w:rPr>
          <w:rFonts w:eastAsia="Times New Roman"/>
        </w:rPr>
      </w:pPr>
    </w:p>
    <w:p w:rsidR="00000000" w:rsidRDefault="00C56D69">
      <w:pPr>
        <w:divId w:val="1933051328"/>
        <w:rPr>
          <w:rFonts w:eastAsia="Times New Roman"/>
        </w:rPr>
      </w:pPr>
    </w:p>
    <w:p w:rsidR="00000000" w:rsidRDefault="00C56D69">
      <w:pPr>
        <w:ind w:firstLine="360"/>
        <w:divId w:val="769471436"/>
        <w:rPr>
          <w:rFonts w:eastAsia="Times New Roman"/>
        </w:rPr>
      </w:pPr>
      <w:r>
        <w:rPr>
          <w:rFonts w:eastAsia="Times New Roman"/>
          <w:color w:val="000000"/>
          <w:sz w:val="20"/>
          <w:szCs w:val="20"/>
        </w:rPr>
        <w:t>Key components of operating earnings are:</w:t>
      </w:r>
    </w:p>
    <w:p w:rsidR="00000000" w:rsidRDefault="00C56D69">
      <w:pPr>
        <w:jc w:val="center"/>
        <w:divId w:val="495848795"/>
        <w:rPr>
          <w:rFonts w:eastAsia="Times New Roman"/>
        </w:rPr>
      </w:pPr>
      <w:r>
        <w:rPr>
          <w:rFonts w:eastAsia="Times New Roman"/>
          <w:color w:val="000000"/>
          <w:sz w:val="20"/>
          <w:szCs w:val="20"/>
        </w:rPr>
        <w:t>86</w:t>
      </w:r>
    </w:p>
    <w:p w:rsidR="00000000" w:rsidRDefault="00C56D69">
      <w:pPr>
        <w:rPr>
          <w:rFonts w:eastAsia="Times New Roman"/>
        </w:rPr>
      </w:pPr>
      <w:r>
        <w:rPr>
          <w:rFonts w:eastAsia="Times New Roman"/>
        </w:rPr>
        <w:pict>
          <v:rect id="_x0000_i1112" style="width:0;height:1.5pt" o:hralign="center" o:hrstd="t" o:hr="t" fillcolor="#a0a0a0" stroked="f"/>
        </w:pict>
      </w:r>
    </w:p>
    <w:p w:rsidR="00000000" w:rsidRDefault="00C56D69">
      <w:pPr>
        <w:divId w:val="1313604360"/>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38"/>
        <w:gridCol w:w="37"/>
        <w:gridCol w:w="120"/>
        <w:gridCol w:w="682"/>
        <w:gridCol w:w="36"/>
        <w:gridCol w:w="36"/>
        <w:gridCol w:w="36"/>
        <w:gridCol w:w="36"/>
        <w:gridCol w:w="120"/>
        <w:gridCol w:w="682"/>
        <w:gridCol w:w="36"/>
        <w:gridCol w:w="36"/>
        <w:gridCol w:w="36"/>
        <w:gridCol w:w="36"/>
        <w:gridCol w:w="120"/>
        <w:gridCol w:w="682"/>
        <w:gridCol w:w="36"/>
        <w:gridCol w:w="36"/>
        <w:gridCol w:w="36"/>
        <w:gridCol w:w="36"/>
        <w:gridCol w:w="120"/>
        <w:gridCol w:w="683"/>
        <w:gridCol w:w="36"/>
        <w:gridCol w:w="36"/>
        <w:gridCol w:w="36"/>
        <w:gridCol w:w="36"/>
        <w:gridCol w:w="36"/>
        <w:gridCol w:w="36"/>
        <w:gridCol w:w="36"/>
      </w:tblGrid>
      <w:tr w:rsidR="00000000">
        <w:trPr>
          <w:divId w:val="677657786"/>
          <w:jc w:val="center"/>
        </w:trPr>
        <w:tc>
          <w:tcPr>
            <w:tcW w:w="50" w:type="pct"/>
            <w:vAlign w:val="center"/>
            <w:hideMark/>
          </w:tcPr>
          <w:p w:rsidR="00000000" w:rsidRDefault="00C56D69">
            <w:pPr>
              <w:rPr>
                <w:rFonts w:eastAsia="Times New Roman"/>
              </w:rPr>
            </w:pPr>
          </w:p>
        </w:tc>
        <w:tc>
          <w:tcPr>
            <w:tcW w:w="275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7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677657786"/>
          <w:jc w:val="center"/>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2,025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1,637 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454208352"/>
        <w:rPr>
          <w:rFonts w:eastAsia="Times New Roman"/>
        </w:rPr>
      </w:pPr>
    </w:p>
    <w:p w:rsidR="00000000" w:rsidRDefault="00C56D69">
      <w:pPr>
        <w:ind w:firstLine="360"/>
        <w:divId w:val="2136557579"/>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1"/>
        <w:gridCol w:w="1037"/>
        <w:gridCol w:w="36"/>
        <w:gridCol w:w="36"/>
        <w:gridCol w:w="36"/>
        <w:gridCol w:w="36"/>
        <w:gridCol w:w="120"/>
        <w:gridCol w:w="999"/>
        <w:gridCol w:w="36"/>
        <w:gridCol w:w="36"/>
        <w:gridCol w:w="36"/>
        <w:gridCol w:w="36"/>
        <w:gridCol w:w="36"/>
        <w:gridCol w:w="36"/>
        <w:gridCol w:w="36"/>
      </w:tblGrid>
      <w:tr w:rsidR="00000000">
        <w:trPr>
          <w:divId w:val="2136286694"/>
          <w:jc w:val="center"/>
        </w:trPr>
        <w:tc>
          <w:tcPr>
            <w:tcW w:w="50" w:type="pct"/>
            <w:vAlign w:val="center"/>
            <w:hideMark/>
          </w:tcPr>
          <w:p w:rsidR="00000000" w:rsidRDefault="00C56D69">
            <w:pPr>
              <w:ind w:firstLine="360"/>
              <w:rPr>
                <w:rFonts w:eastAsia="Times New Roman"/>
              </w:rPr>
            </w:pPr>
          </w:p>
        </w:tc>
        <w:tc>
          <w:tcPr>
            <w:tcW w:w="34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AV (1)</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37,698 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55,013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74,206 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36286694"/>
          <w:jc w:val="center"/>
        </w:trPr>
        <w:tc>
          <w:tcPr>
            <w:tcW w:w="0" w:type="auto"/>
            <w:gridSpan w:val="3"/>
            <w:shd w:val="clear" w:color="auto" w:fill="CCEEFF"/>
            <w:tcMar>
              <w:top w:w="30" w:type="dxa"/>
              <w:left w:w="39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111,904 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2124641572"/>
        <w:rPr>
          <w:rFonts w:eastAsia="Times New Roman"/>
        </w:rPr>
      </w:pPr>
      <w:r>
        <w:rPr>
          <w:rFonts w:eastAsia="Times New Roman"/>
          <w:color w:val="000000"/>
          <w:sz w:val="18"/>
          <w:szCs w:val="18"/>
        </w:rPr>
        <w:t>(1)AV presented are net of reinsurance.</w:t>
      </w:r>
    </w:p>
    <w:p w:rsidR="00000000" w:rsidRDefault="00C56D69">
      <w:pPr>
        <w:ind w:firstLine="360"/>
        <w:divId w:val="231236181"/>
        <w:rPr>
          <w:rFonts w:eastAsia="Times New Roman"/>
        </w:rPr>
      </w:pPr>
      <w:r>
        <w:rPr>
          <w:rFonts w:eastAsia="Times New Roman"/>
          <w:color w:val="000000"/>
          <w:sz w:val="20"/>
          <w:szCs w:val="20"/>
        </w:rPr>
        <w:t>The following table summarizes a roll-forward of AV for our Individual Retirement segment for the periods presented:</w:t>
      </w:r>
    </w:p>
    <w:tbl>
      <w:tblPr>
        <w:tblW w:w="4904" w:type="pct"/>
        <w:jc w:val="center"/>
        <w:tblCellMar>
          <w:top w:w="15" w:type="dxa"/>
          <w:left w:w="15" w:type="dxa"/>
          <w:bottom w:w="15" w:type="dxa"/>
          <w:right w:w="15" w:type="dxa"/>
        </w:tblCellMar>
        <w:tblLook w:val="04A0" w:firstRow="1" w:lastRow="0" w:firstColumn="1" w:lastColumn="0" w:noHBand="0" w:noVBand="1"/>
      </w:tblPr>
      <w:tblGrid>
        <w:gridCol w:w="39"/>
        <w:gridCol w:w="4206"/>
        <w:gridCol w:w="38"/>
        <w:gridCol w:w="120"/>
        <w:gridCol w:w="6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36"/>
        <w:gridCol w:w="36"/>
        <w:gridCol w:w="36"/>
      </w:tblGrid>
      <w:tr w:rsidR="00000000">
        <w:trPr>
          <w:jc w:val="center"/>
        </w:trPr>
        <w:tc>
          <w:tcPr>
            <w:tcW w:w="50" w:type="pct"/>
            <w:vAlign w:val="center"/>
            <w:hideMark/>
          </w:tcPr>
          <w:p w:rsidR="00000000" w:rsidRDefault="00C56D69">
            <w:pPr>
              <w:ind w:firstLine="360"/>
              <w:rPr>
                <w:rFonts w:eastAsia="Times New Roman"/>
              </w:rPr>
            </w:pPr>
          </w:p>
        </w:tc>
        <w:tc>
          <w:tcPr>
            <w:tcW w:w="28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8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8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94,263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108,435 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117,390 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2,848 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(2,835)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(7,614)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(8,819)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1,451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(681)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(4,506)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(22,833)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7,912 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Ceded to Venerable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(3) (4)</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107,713 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107,713 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389570981"/>
        <w:rPr>
          <w:rFonts w:eastAsia="Times New Roman"/>
        </w:rPr>
      </w:pPr>
      <w:r>
        <w:rPr>
          <w:rFonts w:eastAsia="Times New Roman"/>
          <w:color w:val="000000"/>
          <w:sz w:val="18"/>
          <w:szCs w:val="18"/>
        </w:rPr>
        <w:t>______________</w:t>
      </w:r>
    </w:p>
    <w:p w:rsidR="00000000" w:rsidRDefault="00C56D69">
      <w:pPr>
        <w:ind w:hanging="360"/>
        <w:divId w:val="277415239"/>
        <w:rPr>
          <w:rFonts w:eastAsia="Times New Roman"/>
        </w:rPr>
      </w:pPr>
      <w:r>
        <w:rPr>
          <w:rFonts w:eastAsia="Times New Roman"/>
          <w:color w:val="000000"/>
          <w:sz w:val="18"/>
          <w:szCs w:val="18"/>
        </w:rPr>
        <w:t>(1)For</w:t>
      </w:r>
      <w:r>
        <w:rPr>
          <w:rFonts w:eastAsia="Times New Roman"/>
          <w:color w:val="000000"/>
          <w:sz w:val="18"/>
          <w:szCs w:val="18"/>
        </w:rPr>
        <w:t xml:space="preserve"> the </w:t>
      </w:r>
      <w:r>
        <w:rPr>
          <w:rFonts w:eastAsia="Times New Roman"/>
          <w:color w:val="000000"/>
          <w:sz w:val="20"/>
          <w:szCs w:val="20"/>
        </w:rPr>
        <w:t>three and nine months ended September 30, 2022 and 2021</w:t>
      </w:r>
      <w:r>
        <w:rPr>
          <w:rFonts w:eastAsia="Times New Roman"/>
          <w:color w:val="000000"/>
          <w:sz w:val="18"/>
          <w:szCs w:val="18"/>
        </w:rPr>
        <w:t>, net flows of $(258) million, $(322) million, $(840) million and $(442) million and investment performance, interest credited and policy charges of $(721) million, $(273) million, $(4,108) millio</w:t>
      </w:r>
      <w:r>
        <w:rPr>
          <w:rFonts w:eastAsia="Times New Roman"/>
          <w:color w:val="000000"/>
          <w:sz w:val="18"/>
          <w:szCs w:val="18"/>
        </w:rPr>
        <w:t>n and $(125) million, respectively, are excluded as these amounts are related to ceded AV to Venerable.</w:t>
      </w:r>
    </w:p>
    <w:p w:rsidR="00000000" w:rsidRDefault="00C56D69">
      <w:pPr>
        <w:ind w:hanging="360"/>
        <w:divId w:val="2061705373"/>
        <w:rPr>
          <w:rFonts w:eastAsia="Times New Roman"/>
        </w:rPr>
      </w:pPr>
      <w:r>
        <w:rPr>
          <w:rFonts w:eastAsia="Times New Roman"/>
          <w:color w:val="000000"/>
          <w:sz w:val="18"/>
          <w:szCs w:val="18"/>
        </w:rPr>
        <w:t>(2)Effective June 1, 2021, AV excludes activity related to ceded AV to Venerable. In addition, roll-forward reflects the AV ceded to Venerable as of the</w:t>
      </w:r>
      <w:r>
        <w:rPr>
          <w:rFonts w:eastAsia="Times New Roman"/>
          <w:color w:val="000000"/>
          <w:sz w:val="18"/>
          <w:szCs w:val="18"/>
        </w:rPr>
        <w:t xml:space="preserve"> transaction date. For additional information on the Venerable Transaction see Note 1 of the Notes to Consolidated Financial Statements.</w:t>
      </w:r>
    </w:p>
    <w:p w:rsidR="00000000" w:rsidRDefault="00C56D69">
      <w:pPr>
        <w:jc w:val="center"/>
        <w:divId w:val="1162621420"/>
        <w:rPr>
          <w:rFonts w:eastAsia="Times New Roman"/>
        </w:rPr>
      </w:pPr>
      <w:r>
        <w:rPr>
          <w:rFonts w:eastAsia="Times New Roman"/>
          <w:color w:val="000000"/>
          <w:sz w:val="20"/>
          <w:szCs w:val="20"/>
        </w:rPr>
        <w:t>87</w:t>
      </w:r>
    </w:p>
    <w:p w:rsidR="00000000" w:rsidRDefault="00C56D69">
      <w:pPr>
        <w:rPr>
          <w:rFonts w:eastAsia="Times New Roman"/>
        </w:rPr>
      </w:pPr>
      <w:r>
        <w:rPr>
          <w:rFonts w:eastAsia="Times New Roman"/>
        </w:rPr>
        <w:pict>
          <v:rect id="_x0000_i1113" style="width:0;height:1.5pt" o:hralign="center" o:hrstd="t" o:hr="t" fillcolor="#a0a0a0" stroked="f"/>
        </w:pict>
      </w:r>
    </w:p>
    <w:p w:rsidR="00000000" w:rsidRDefault="00C56D69">
      <w:pPr>
        <w:divId w:val="177748330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360"/>
        <w:divId w:val="1315378713"/>
        <w:rPr>
          <w:rFonts w:eastAsia="Times New Roman"/>
        </w:rPr>
      </w:pPr>
      <w:r>
        <w:rPr>
          <w:rFonts w:eastAsia="Times New Roman"/>
          <w:color w:val="000000"/>
          <w:sz w:val="18"/>
          <w:szCs w:val="18"/>
        </w:rPr>
        <w:t>(3)</w:t>
      </w:r>
      <w:r>
        <w:rPr>
          <w:rFonts w:eastAsia="Times New Roman"/>
          <w:color w:val="000000"/>
          <w:sz w:val="18"/>
          <w:szCs w:val="18"/>
        </w:rPr>
        <w:t xml:space="preserve">For the </w:t>
      </w:r>
      <w:r>
        <w:rPr>
          <w:rFonts w:eastAsia="Times New Roman"/>
          <w:color w:val="000000"/>
          <w:sz w:val="20"/>
          <w:szCs w:val="20"/>
        </w:rPr>
        <w:t>three months and nine months ended September 30, 2021</w:t>
      </w:r>
      <w:r>
        <w:rPr>
          <w:rFonts w:eastAsia="Times New Roman"/>
          <w:color w:val="000000"/>
          <w:sz w:val="18"/>
          <w:szCs w:val="18"/>
        </w:rPr>
        <w:t xml:space="preserve"> amounts reflect $(38) million transfer of policyholders account balances to future policyholder benefits and other policyholders liabilities related to structured settlement contracts.</w:t>
      </w:r>
    </w:p>
    <w:p w:rsidR="00000000" w:rsidRDefault="00C56D69">
      <w:pPr>
        <w:ind w:hanging="360"/>
        <w:divId w:val="1204751889"/>
        <w:rPr>
          <w:rFonts w:eastAsia="Times New Roman"/>
        </w:rPr>
      </w:pPr>
      <w:r>
        <w:rPr>
          <w:rFonts w:eastAsia="Times New Roman"/>
          <w:color w:val="000000"/>
          <w:sz w:val="18"/>
          <w:szCs w:val="18"/>
        </w:rPr>
        <w:t>(4)For th</w:t>
      </w:r>
      <w:r>
        <w:rPr>
          <w:rFonts w:eastAsia="Times New Roman"/>
          <w:color w:val="000000"/>
          <w:sz w:val="18"/>
          <w:szCs w:val="18"/>
        </w:rPr>
        <w:t>e nine months ended September 30, 2021, amounts reflect $57 million of AV transfer of a closed block of GMxB business from GR to IR.</w:t>
      </w:r>
    </w:p>
    <w:p w:rsidR="00000000" w:rsidRDefault="00C56D69">
      <w:pPr>
        <w:divId w:val="612707787"/>
        <w:rPr>
          <w:rFonts w:eastAsia="Times New Roman"/>
        </w:rPr>
      </w:pPr>
      <w:r>
        <w:rPr>
          <w:rFonts w:eastAsia="Times New Roman"/>
          <w:b/>
          <w:bCs/>
          <w:color w:val="000000"/>
          <w:sz w:val="20"/>
          <w:szCs w:val="20"/>
        </w:rPr>
        <w:t>Three Months Ended September 30, 2022 Compared to the Three Months Ended September 30, 2021 for the Individual Retirement S</w:t>
      </w:r>
      <w:r>
        <w:rPr>
          <w:rFonts w:eastAsia="Times New Roman"/>
          <w:b/>
          <w:bCs/>
          <w:color w:val="000000"/>
          <w:sz w:val="20"/>
          <w:szCs w:val="20"/>
        </w:rPr>
        <w:t>egment</w:t>
      </w:r>
    </w:p>
    <w:p w:rsidR="00000000" w:rsidRDefault="00C56D69">
      <w:pPr>
        <w:jc w:val="both"/>
        <w:divId w:val="1555194225"/>
        <w:rPr>
          <w:rFonts w:eastAsia="Times New Roman"/>
        </w:rPr>
      </w:pPr>
      <w:r>
        <w:rPr>
          <w:rFonts w:eastAsia="Times New Roman"/>
          <w:b/>
          <w:bCs/>
          <w:i/>
          <w:iCs/>
          <w:color w:val="000000"/>
          <w:sz w:val="20"/>
          <w:szCs w:val="20"/>
        </w:rPr>
        <w:t>Operating earnings</w:t>
      </w:r>
    </w:p>
    <w:p w:rsidR="00000000" w:rsidRDefault="00C56D69">
      <w:pPr>
        <w:ind w:firstLine="360"/>
        <w:divId w:val="1109742512"/>
        <w:rPr>
          <w:rFonts w:eastAsia="Times New Roman"/>
        </w:rPr>
      </w:pPr>
      <w:r>
        <w:rPr>
          <w:rFonts w:eastAsia="Times New Roman"/>
          <w:color w:val="000000"/>
          <w:sz w:val="20"/>
          <w:szCs w:val="20"/>
          <w:shd w:val="clear" w:color="auto" w:fill="FFFFFF"/>
        </w:rPr>
        <w:t>Operating earnings decreased</w:t>
      </w:r>
      <w:r>
        <w:rPr>
          <w:rFonts w:eastAsia="Times New Roman"/>
          <w:color w:val="000000"/>
          <w:sz w:val="20"/>
          <w:szCs w:val="20"/>
        </w:rPr>
        <w:t xml:space="preserve"> </w:t>
      </w:r>
      <w:r>
        <w:rPr>
          <w:rFonts w:eastAsia="Times New Roman"/>
          <w:color w:val="000000"/>
          <w:sz w:val="20"/>
          <w:szCs w:val="20"/>
        </w:rPr>
        <w:t>$46 million to $270 million during the three months ended September 30, 2022 from $316 million in the three months ended September 30, 2021. The following notable items were the primary drivers of the change in operating earnings:</w:t>
      </w:r>
    </w:p>
    <w:p w:rsidR="00000000" w:rsidRDefault="00C56D69">
      <w:pPr>
        <w:ind w:firstLine="360"/>
        <w:divId w:val="713431890"/>
        <w:rPr>
          <w:rFonts w:eastAsia="Times New Roman"/>
        </w:rPr>
      </w:pPr>
      <w:r>
        <w:rPr>
          <w:rFonts w:eastAsia="Times New Roman"/>
          <w:color w:val="000000"/>
          <w:sz w:val="20"/>
          <w:szCs w:val="20"/>
        </w:rPr>
        <w:t>Unfavorable items include</w:t>
      </w:r>
      <w:r>
        <w:rPr>
          <w:rFonts w:eastAsia="Times New Roman"/>
          <w:color w:val="000000"/>
          <w:sz w:val="20"/>
          <w:szCs w:val="20"/>
        </w:rPr>
        <w:t>d:</w:t>
      </w:r>
    </w:p>
    <w:p w:rsidR="00000000" w:rsidRDefault="00C56D69">
      <w:pPr>
        <w:ind w:hanging="360"/>
        <w:divId w:val="751896065"/>
        <w:rPr>
          <w:rFonts w:eastAsia="Times New Roman"/>
        </w:rPr>
      </w:pPr>
      <w:r>
        <w:rPr>
          <w:rFonts w:eastAsia="Times New Roman"/>
          <w:color w:val="000000"/>
          <w:sz w:val="20"/>
          <w:szCs w:val="20"/>
        </w:rPr>
        <w:t xml:space="preserve">•Fee-type revenue decreased by $90 million due to lower average Separate Accounts AV as result of equity market depreciation. </w:t>
      </w:r>
    </w:p>
    <w:p w:rsidR="00000000" w:rsidRDefault="00C56D69">
      <w:pPr>
        <w:ind w:hanging="360"/>
        <w:divId w:val="1722095658"/>
        <w:rPr>
          <w:rFonts w:eastAsia="Times New Roman"/>
        </w:rPr>
      </w:pPr>
      <w:r>
        <w:rPr>
          <w:rFonts w:eastAsia="Times New Roman"/>
          <w:color w:val="000000"/>
          <w:sz w:val="20"/>
          <w:szCs w:val="20"/>
        </w:rPr>
        <w:t>•Interest credited to policyholders’ account balances increased by $31 million mainly due to the growth of SCS AV during third</w:t>
      </w:r>
      <w:r>
        <w:rPr>
          <w:rFonts w:eastAsia="Times New Roman"/>
          <w:color w:val="000000"/>
          <w:sz w:val="20"/>
          <w:szCs w:val="20"/>
        </w:rPr>
        <w:t xml:space="preserve"> quarter 2022.</w:t>
      </w:r>
    </w:p>
    <w:p w:rsidR="00000000" w:rsidRDefault="00C56D69">
      <w:pPr>
        <w:ind w:hanging="360"/>
        <w:divId w:val="479613568"/>
        <w:rPr>
          <w:rFonts w:eastAsia="Times New Roman"/>
        </w:rPr>
      </w:pPr>
      <w:r>
        <w:rPr>
          <w:rFonts w:eastAsia="Times New Roman"/>
          <w:color w:val="000000"/>
          <w:sz w:val="20"/>
          <w:szCs w:val="20"/>
        </w:rPr>
        <w:t>•Amortization of DAC increased by $21 million mainly driven by equity market depreciation during the third quarter 2022.</w:t>
      </w:r>
    </w:p>
    <w:p w:rsidR="00000000" w:rsidRDefault="00C56D69">
      <w:pPr>
        <w:ind w:hanging="360"/>
        <w:divId w:val="739134349"/>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Compensation, benefits and other operating costs and expenses increased by $9 million primarily due to higher performance shares driven by higher equity and restricted stock expense. </w:t>
      </w:r>
    </w:p>
    <w:p w:rsidR="00000000" w:rsidRDefault="00C56D69">
      <w:pPr>
        <w:divId w:val="297691647"/>
        <w:rPr>
          <w:rFonts w:eastAsia="Times New Roman"/>
        </w:rPr>
      </w:pPr>
    </w:p>
    <w:p w:rsidR="00000000" w:rsidRDefault="00C56D69">
      <w:pPr>
        <w:ind w:hanging="360"/>
        <w:jc w:val="both"/>
        <w:divId w:val="1972977346"/>
        <w:rPr>
          <w:rFonts w:eastAsia="Times New Roman"/>
        </w:rPr>
      </w:pPr>
      <w:r>
        <w:rPr>
          <w:rFonts w:eastAsia="Times New Roman"/>
          <w:color w:val="000000"/>
          <w:sz w:val="20"/>
          <w:szCs w:val="20"/>
        </w:rPr>
        <w:t xml:space="preserve">•Income tax expense increased by $4 million mainly driven by a higher </w:t>
      </w:r>
      <w:r>
        <w:rPr>
          <w:rFonts w:eastAsia="Times New Roman"/>
          <w:color w:val="000000"/>
          <w:sz w:val="20"/>
          <w:szCs w:val="20"/>
        </w:rPr>
        <w:t>effective tax rate.</w:t>
      </w:r>
    </w:p>
    <w:p w:rsidR="00000000" w:rsidRDefault="00C56D69">
      <w:pPr>
        <w:jc w:val="both"/>
        <w:rPr>
          <w:rFonts w:eastAsia="Times New Roman"/>
        </w:rPr>
      </w:pPr>
    </w:p>
    <w:p w:rsidR="00000000" w:rsidRDefault="00C56D69">
      <w:pPr>
        <w:ind w:firstLine="360"/>
        <w:divId w:val="639500811"/>
        <w:rPr>
          <w:rFonts w:eastAsia="Times New Roman"/>
        </w:rPr>
      </w:pPr>
      <w:r>
        <w:rPr>
          <w:rFonts w:eastAsia="Times New Roman"/>
          <w:color w:val="000000"/>
          <w:sz w:val="20"/>
          <w:szCs w:val="20"/>
          <w:shd w:val="clear" w:color="auto" w:fill="FFFFFF"/>
        </w:rPr>
        <w:t>These were partially offset by the following favorable items:</w:t>
      </w:r>
    </w:p>
    <w:p w:rsidR="00000000" w:rsidRDefault="00C56D69">
      <w:pPr>
        <w:ind w:hanging="360"/>
        <w:jc w:val="both"/>
        <w:divId w:val="1601526166"/>
        <w:rPr>
          <w:rFonts w:eastAsia="Times New Roman"/>
        </w:rPr>
      </w:pPr>
      <w:r>
        <w:rPr>
          <w:rFonts w:ascii="Arial" w:eastAsia="Times New Roman" w:hAnsi="Arial" w:cs="Arial"/>
          <w:color w:val="000000"/>
          <w:sz w:val="20"/>
          <w:szCs w:val="20"/>
          <w:shd w:val="clear" w:color="auto" w:fill="FFFFFF"/>
        </w:rPr>
        <w:t>•</w:t>
      </w:r>
      <w:r>
        <w:rPr>
          <w:rFonts w:eastAsia="Times New Roman"/>
          <w:color w:val="000000"/>
          <w:sz w:val="20"/>
          <w:szCs w:val="20"/>
          <w:shd w:val="clear" w:color="auto" w:fill="FFFFFF"/>
        </w:rPr>
        <w:t xml:space="preserve">Net investment income increased by $52 million mainly due to </w:t>
      </w:r>
      <w:r>
        <w:rPr>
          <w:rFonts w:eastAsia="Times New Roman"/>
          <w:color w:val="000000"/>
          <w:sz w:val="20"/>
          <w:szCs w:val="20"/>
        </w:rPr>
        <w:t>higher income primarily from floating rate securities, higher SCS asset balances and GA optimization, partiall</w:t>
      </w:r>
      <w:r>
        <w:rPr>
          <w:rFonts w:eastAsia="Times New Roman"/>
          <w:color w:val="000000"/>
          <w:sz w:val="20"/>
          <w:szCs w:val="20"/>
        </w:rPr>
        <w:t>y offset by lower income from alternative investments and lower prepayments.</w:t>
      </w:r>
    </w:p>
    <w:p w:rsidR="00000000" w:rsidRDefault="00C56D69">
      <w:pPr>
        <w:ind w:hanging="360"/>
        <w:divId w:val="1962345529"/>
        <w:rPr>
          <w:rFonts w:eastAsia="Times New Roman"/>
        </w:rPr>
      </w:pPr>
      <w:r>
        <w:rPr>
          <w:rFonts w:eastAsia="Times New Roman"/>
          <w:color w:val="000000"/>
          <w:sz w:val="20"/>
          <w:szCs w:val="20"/>
        </w:rPr>
        <w:t xml:space="preserve">•Non-GMxB related Policyholders’ benefits decreased by $39 million due to the non-repeat of Q3 2021 payout assumption update. </w:t>
      </w:r>
    </w:p>
    <w:p w:rsidR="00000000" w:rsidRDefault="00C56D69">
      <w:pPr>
        <w:ind w:hanging="360"/>
        <w:divId w:val="6181875"/>
        <w:rPr>
          <w:rFonts w:eastAsia="Times New Roman"/>
        </w:rPr>
      </w:pPr>
      <w:r>
        <w:rPr>
          <w:rFonts w:eastAsia="Times New Roman"/>
          <w:color w:val="000000"/>
          <w:sz w:val="20"/>
          <w:szCs w:val="20"/>
        </w:rPr>
        <w:t>•Commissions and distribution-related payments decre</w:t>
      </w:r>
      <w:r>
        <w:rPr>
          <w:rFonts w:eastAsia="Times New Roman"/>
          <w:color w:val="000000"/>
          <w:sz w:val="20"/>
          <w:szCs w:val="20"/>
        </w:rPr>
        <w:t>ased by $28 million mainly due to lower average asset balances as result of equity market performance.</w:t>
      </w:r>
    </w:p>
    <w:p w:rsidR="00000000" w:rsidRDefault="00C56D69">
      <w:pPr>
        <w:jc w:val="both"/>
        <w:divId w:val="916785366"/>
        <w:rPr>
          <w:rFonts w:eastAsia="Times New Roman"/>
        </w:rPr>
      </w:pPr>
      <w:r>
        <w:rPr>
          <w:rFonts w:eastAsia="Times New Roman"/>
          <w:b/>
          <w:bCs/>
          <w:i/>
          <w:iCs/>
          <w:color w:val="000000"/>
          <w:sz w:val="20"/>
          <w:szCs w:val="20"/>
        </w:rPr>
        <w:t>Net Flows and AV</w:t>
      </w:r>
    </w:p>
    <w:p w:rsidR="00000000" w:rsidRDefault="00C56D69">
      <w:pPr>
        <w:ind w:hanging="360"/>
        <w:divId w:val="2066833443"/>
        <w:rPr>
          <w:rFonts w:eastAsia="Times New Roman"/>
        </w:rPr>
      </w:pPr>
      <w:r>
        <w:rPr>
          <w:rFonts w:eastAsia="Times New Roman"/>
          <w:color w:val="000000"/>
          <w:sz w:val="20"/>
          <w:szCs w:val="20"/>
          <w:shd w:val="clear" w:color="auto" w:fill="FFFFFF"/>
        </w:rPr>
        <w:t>• Total AV as of September 30, 2022 was $90.5 billion, down $3.7 billion, compared to June 30, 2022. The decline in AV was primarily due</w:t>
      </w:r>
      <w:r>
        <w:rPr>
          <w:rFonts w:eastAsia="Times New Roman"/>
          <w:color w:val="000000"/>
          <w:sz w:val="20"/>
          <w:szCs w:val="20"/>
          <w:shd w:val="clear" w:color="auto" w:fill="FFFFFF"/>
        </w:rPr>
        <w:t xml:space="preserve"> to a $4.5 billion decrease in equity markets, partially offset by $765 million in net inflows.</w:t>
      </w:r>
    </w:p>
    <w:p w:rsidR="00000000" w:rsidRDefault="00C56D69">
      <w:pPr>
        <w:ind w:hanging="360"/>
        <w:jc w:val="both"/>
        <w:divId w:val="1441409258"/>
        <w:rPr>
          <w:rFonts w:eastAsia="Times New Roman"/>
        </w:rPr>
      </w:pPr>
      <w:r>
        <w:rPr>
          <w:rFonts w:eastAsia="Times New Roman"/>
          <w:color w:val="000000"/>
          <w:sz w:val="20"/>
          <w:szCs w:val="20"/>
          <w:shd w:val="clear" w:color="auto" w:fill="FFFFFF"/>
        </w:rPr>
        <w:t xml:space="preserve">•Net inflows of $765 million were $752 million higher than in the three months ended September 30, 2021, mainly driven by $1.3 billion of inflows on our newer, </w:t>
      </w:r>
      <w:r>
        <w:rPr>
          <w:rFonts w:eastAsia="Times New Roman"/>
          <w:color w:val="000000"/>
          <w:sz w:val="20"/>
          <w:szCs w:val="20"/>
          <w:shd w:val="clear" w:color="auto" w:fill="FFFFFF"/>
        </w:rPr>
        <w:t>less capital-intensive products, partially offset by $498 million of outflows on our older fixed-rate GMxB block.</w:t>
      </w:r>
    </w:p>
    <w:p w:rsidR="00000000" w:rsidRDefault="00C56D69">
      <w:pPr>
        <w:jc w:val="center"/>
        <w:divId w:val="446971816"/>
        <w:rPr>
          <w:rFonts w:eastAsia="Times New Roman"/>
        </w:rPr>
      </w:pPr>
      <w:r>
        <w:rPr>
          <w:rFonts w:eastAsia="Times New Roman"/>
          <w:color w:val="000000"/>
          <w:sz w:val="20"/>
          <w:szCs w:val="20"/>
        </w:rPr>
        <w:t>88</w:t>
      </w:r>
    </w:p>
    <w:p w:rsidR="00000000" w:rsidRDefault="00C56D69">
      <w:pPr>
        <w:rPr>
          <w:rFonts w:eastAsia="Times New Roman"/>
        </w:rPr>
      </w:pPr>
      <w:r>
        <w:rPr>
          <w:rFonts w:eastAsia="Times New Roman"/>
        </w:rPr>
        <w:pict>
          <v:rect id="_x0000_i1114" style="width:0;height:1.5pt" o:hralign="center" o:hrstd="t" o:hr="t" fillcolor="#a0a0a0" stroked="f"/>
        </w:pict>
      </w:r>
    </w:p>
    <w:p w:rsidR="00000000" w:rsidRDefault="00C56D69">
      <w:pPr>
        <w:divId w:val="43990900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825979623"/>
        <w:rPr>
          <w:rFonts w:eastAsia="Times New Roman"/>
        </w:rPr>
      </w:pPr>
      <w:r>
        <w:rPr>
          <w:rFonts w:eastAsia="Times New Roman"/>
          <w:b/>
          <w:bCs/>
          <w:color w:val="000000"/>
          <w:sz w:val="20"/>
          <w:szCs w:val="20"/>
          <w:shd w:val="clear" w:color="auto" w:fill="FFFFFF"/>
        </w:rPr>
        <w:t>Nine Months Ended September 30, 2022 Compared to the Nine Months Ended September 30, 2021 for the Individual Retirement Segment</w:t>
      </w:r>
    </w:p>
    <w:p w:rsidR="00000000" w:rsidRDefault="00C56D69">
      <w:pPr>
        <w:jc w:val="both"/>
        <w:divId w:val="690301571"/>
        <w:rPr>
          <w:rFonts w:eastAsia="Times New Roman"/>
        </w:rPr>
      </w:pPr>
      <w:r>
        <w:rPr>
          <w:rFonts w:eastAsia="Times New Roman"/>
          <w:b/>
          <w:bCs/>
          <w:i/>
          <w:iCs/>
          <w:color w:val="000000"/>
          <w:sz w:val="20"/>
          <w:szCs w:val="20"/>
          <w:shd w:val="clear" w:color="auto" w:fill="FFFFFF"/>
        </w:rPr>
        <w:t>Operating earnings</w:t>
      </w:r>
    </w:p>
    <w:p w:rsidR="00000000" w:rsidRDefault="00C56D69">
      <w:pPr>
        <w:ind w:firstLine="360"/>
        <w:jc w:val="both"/>
        <w:divId w:val="1991861675"/>
        <w:rPr>
          <w:rFonts w:eastAsia="Times New Roman"/>
        </w:rPr>
      </w:pPr>
      <w:r>
        <w:rPr>
          <w:rFonts w:eastAsia="Times New Roman"/>
          <w:color w:val="000000"/>
          <w:sz w:val="20"/>
          <w:szCs w:val="20"/>
          <w:shd w:val="clear" w:color="auto" w:fill="FFFFFF"/>
        </w:rPr>
        <w:t>Operating earnings decreased</w:t>
      </w:r>
      <w:r>
        <w:rPr>
          <w:rFonts w:eastAsia="Times New Roman"/>
          <w:color w:val="000000"/>
          <w:sz w:val="20"/>
          <w:szCs w:val="20"/>
        </w:rPr>
        <w:t xml:space="preserve"> $256 million to $837 million during the nine months ended September 30, 2022 fro</w:t>
      </w:r>
      <w:r>
        <w:rPr>
          <w:rFonts w:eastAsia="Times New Roman"/>
          <w:color w:val="000000"/>
          <w:sz w:val="20"/>
          <w:szCs w:val="20"/>
        </w:rPr>
        <w:t>m $1.1 billion in the nine months ended September 30, 2021. The followi</w:t>
      </w:r>
      <w:r>
        <w:rPr>
          <w:rFonts w:eastAsia="Times New Roman"/>
          <w:color w:val="000000"/>
          <w:sz w:val="20"/>
          <w:szCs w:val="20"/>
          <w:shd w:val="clear" w:color="auto" w:fill="FFFFFF"/>
        </w:rPr>
        <w:t>ng notable items were the primary drivers of the change in operating earnings:</w:t>
      </w:r>
    </w:p>
    <w:p w:rsidR="00000000" w:rsidRDefault="00C56D69">
      <w:pPr>
        <w:jc w:val="both"/>
        <w:rPr>
          <w:rFonts w:eastAsia="Times New Roman"/>
        </w:rPr>
      </w:pPr>
    </w:p>
    <w:p w:rsidR="00000000" w:rsidRDefault="00C56D69">
      <w:pPr>
        <w:jc w:val="both"/>
        <w:rPr>
          <w:rFonts w:eastAsia="Times New Roman"/>
        </w:rPr>
      </w:pPr>
      <w:r>
        <w:rPr>
          <w:rFonts w:eastAsia="Times New Roman"/>
          <w:color w:val="000000"/>
          <w:sz w:val="20"/>
          <w:szCs w:val="20"/>
          <w:shd w:val="clear" w:color="auto" w:fill="FFFFFF"/>
        </w:rPr>
        <w:t>Unfavorable items included:</w:t>
      </w:r>
    </w:p>
    <w:p w:rsidR="00000000" w:rsidRDefault="00C56D69">
      <w:pPr>
        <w:ind w:hanging="360"/>
        <w:divId w:val="1825967999"/>
        <w:rPr>
          <w:rFonts w:eastAsia="Times New Roman"/>
        </w:rPr>
      </w:pPr>
      <w:r>
        <w:rPr>
          <w:rFonts w:eastAsia="Times New Roman"/>
          <w:color w:val="000000"/>
          <w:sz w:val="20"/>
          <w:szCs w:val="20"/>
        </w:rPr>
        <w:t>•Fee-type revenue decreased by $336 million mainly due to lower average Sepa</w:t>
      </w:r>
      <w:r>
        <w:rPr>
          <w:rFonts w:eastAsia="Times New Roman"/>
          <w:color w:val="000000"/>
          <w:sz w:val="20"/>
          <w:szCs w:val="20"/>
        </w:rPr>
        <w:t>rate Accounts AV as result of lower equity markets and the impact of AV ceded to Venerable, partially offset by commission reimbursements in Other Income.</w:t>
      </w:r>
    </w:p>
    <w:p w:rsidR="00000000" w:rsidRDefault="00C56D69">
      <w:pPr>
        <w:ind w:hanging="360"/>
        <w:divId w:val="2006394124"/>
        <w:rPr>
          <w:rFonts w:eastAsia="Times New Roman"/>
        </w:rPr>
      </w:pPr>
      <w:r>
        <w:rPr>
          <w:rFonts w:eastAsia="Times New Roman"/>
          <w:color w:val="000000"/>
          <w:sz w:val="20"/>
          <w:szCs w:val="20"/>
        </w:rPr>
        <w:t>•Amortization of DAC increased by $53 million mainly due to equity market depreciation during 2022 co</w:t>
      </w:r>
      <w:r>
        <w:rPr>
          <w:rFonts w:eastAsia="Times New Roman"/>
          <w:color w:val="000000"/>
          <w:sz w:val="20"/>
          <w:szCs w:val="20"/>
        </w:rPr>
        <w:t xml:space="preserve">mpared to 2021. </w:t>
      </w:r>
    </w:p>
    <w:p w:rsidR="00000000" w:rsidRDefault="00C56D69">
      <w:pPr>
        <w:ind w:hanging="360"/>
        <w:divId w:val="1327703956"/>
        <w:rPr>
          <w:rFonts w:eastAsia="Times New Roman"/>
        </w:rPr>
      </w:pPr>
      <w:r>
        <w:rPr>
          <w:rFonts w:eastAsia="Times New Roman"/>
          <w:color w:val="000000"/>
          <w:sz w:val="20"/>
          <w:szCs w:val="20"/>
        </w:rPr>
        <w:t>•Interest credited to policyholders’ account balances increased by $50 million mainly due to the growth of SCS AV during 2022.</w:t>
      </w:r>
    </w:p>
    <w:p w:rsidR="00000000" w:rsidRDefault="00C56D69">
      <w:pPr>
        <w:ind w:hanging="360"/>
        <w:jc w:val="both"/>
        <w:divId w:val="1891184687"/>
        <w:rPr>
          <w:rFonts w:eastAsia="Times New Roman"/>
        </w:rPr>
      </w:pPr>
      <w:r>
        <w:rPr>
          <w:rFonts w:eastAsia="Times New Roman"/>
          <w:color w:val="000000"/>
          <w:sz w:val="20"/>
          <w:szCs w:val="20"/>
        </w:rPr>
        <w:t>•Net investment income decreased by $39 million mainly due to lower alternative investment income, lower prepaym</w:t>
      </w:r>
      <w:r>
        <w:rPr>
          <w:rFonts w:eastAsia="Times New Roman"/>
          <w:color w:val="000000"/>
          <w:sz w:val="20"/>
          <w:szCs w:val="20"/>
        </w:rPr>
        <w:t>ents and lower assets due to the Venerable transaction partially offset by higher income from floating rate securities, TIPS, higher SCS asset balances and GA optimization.</w:t>
      </w:r>
    </w:p>
    <w:p w:rsidR="00000000" w:rsidRDefault="00C56D69">
      <w:pPr>
        <w:divId w:val="612440064"/>
        <w:rPr>
          <w:rFonts w:eastAsia="Times New Roman"/>
        </w:rPr>
      </w:pPr>
      <w:r>
        <w:rPr>
          <w:rFonts w:eastAsia="Times New Roman"/>
          <w:color w:val="000000"/>
          <w:sz w:val="20"/>
          <w:szCs w:val="20"/>
          <w:shd w:val="clear" w:color="auto" w:fill="FFFFFF"/>
        </w:rPr>
        <w:t>These were partially offset by the following favorable items:</w:t>
      </w:r>
    </w:p>
    <w:p w:rsidR="00000000" w:rsidRDefault="00C56D69">
      <w:pPr>
        <w:ind w:hanging="360"/>
        <w:jc w:val="both"/>
        <w:divId w:val="1277755785"/>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Net GMxB results increased $89 million primarily due to improved GMxB margin from the Venerable Transaction, which mitigated the higher claims in 2022. GMxB results are included in policy charges and fee income, net derivative gains (losses), and policyhol</w:t>
      </w:r>
      <w:r>
        <w:rPr>
          <w:rFonts w:eastAsia="Times New Roman"/>
          <w:color w:val="000000"/>
          <w:sz w:val="20"/>
          <w:szCs w:val="20"/>
          <w:shd w:val="clear" w:color="auto" w:fill="FFFFFF"/>
        </w:rPr>
        <w:t>ders’ benefits.</w:t>
      </w:r>
    </w:p>
    <w:p w:rsidR="00000000" w:rsidRDefault="00C56D69">
      <w:pPr>
        <w:ind w:hanging="360"/>
        <w:jc w:val="both"/>
        <w:divId w:val="2033338628"/>
        <w:rPr>
          <w:rFonts w:eastAsia="Times New Roman"/>
        </w:rPr>
      </w:pPr>
      <w:r>
        <w:rPr>
          <w:rFonts w:eastAsia="Times New Roman"/>
          <w:color w:val="000000"/>
          <w:sz w:val="20"/>
          <w:szCs w:val="20"/>
          <w:shd w:val="clear" w:color="auto" w:fill="FFFFFF"/>
        </w:rPr>
        <w:t xml:space="preserve">•Commissions and distribution-related payments decreased by $37 million mainly due to lower AV due to </w:t>
      </w:r>
      <w:r>
        <w:rPr>
          <w:rFonts w:eastAsia="Times New Roman"/>
          <w:color w:val="000000"/>
          <w:sz w:val="20"/>
          <w:szCs w:val="20"/>
        </w:rPr>
        <w:t>equity market depreciation during 2022</w:t>
      </w:r>
      <w:r>
        <w:rPr>
          <w:rFonts w:eastAsia="Times New Roman"/>
          <w:color w:val="000000"/>
          <w:sz w:val="20"/>
          <w:szCs w:val="20"/>
          <w:shd w:val="clear" w:color="auto" w:fill="FFFFFF"/>
        </w:rPr>
        <w:t>.</w:t>
      </w:r>
    </w:p>
    <w:p w:rsidR="00000000" w:rsidRDefault="00C56D69">
      <w:pPr>
        <w:ind w:hanging="360"/>
        <w:divId w:val="1129057459"/>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Compensation, benefits and other operating costs and expenses decreased by $35 million primarily </w:t>
      </w:r>
      <w:r>
        <w:rPr>
          <w:rFonts w:eastAsia="Times New Roman"/>
          <w:color w:val="000000"/>
          <w:sz w:val="20"/>
          <w:szCs w:val="20"/>
        </w:rPr>
        <w:t xml:space="preserve">due to lower allocated compensation related expenses, primarily associated with lower headcount, and lower subadvisory fees. </w:t>
      </w:r>
    </w:p>
    <w:p w:rsidR="00000000" w:rsidRDefault="00C56D69">
      <w:pPr>
        <w:divId w:val="963734938"/>
        <w:rPr>
          <w:rFonts w:eastAsia="Times New Roman"/>
        </w:rPr>
      </w:pPr>
    </w:p>
    <w:p w:rsidR="00000000" w:rsidRDefault="00C56D69">
      <w:pPr>
        <w:ind w:hanging="360"/>
        <w:jc w:val="both"/>
        <w:divId w:val="1712917016"/>
        <w:rPr>
          <w:rFonts w:eastAsia="Times New Roman"/>
        </w:rPr>
      </w:pPr>
      <w:r>
        <w:rPr>
          <w:rFonts w:eastAsia="Times New Roman"/>
          <w:color w:val="000000"/>
          <w:sz w:val="20"/>
          <w:szCs w:val="20"/>
          <w:shd w:val="clear" w:color="auto" w:fill="FFFFFF"/>
        </w:rPr>
        <w:t xml:space="preserve">•Income tax expense decreased by $28 million mainly driven by lower pre-tax earnings partially offset by a higher effective tax </w:t>
      </w:r>
      <w:r>
        <w:rPr>
          <w:rFonts w:eastAsia="Times New Roman"/>
          <w:color w:val="000000"/>
          <w:sz w:val="20"/>
          <w:szCs w:val="20"/>
          <w:shd w:val="clear" w:color="auto" w:fill="FFFFFF"/>
        </w:rPr>
        <w:t>rate in 2022.</w:t>
      </w:r>
    </w:p>
    <w:p w:rsidR="00000000" w:rsidRDefault="00C56D69">
      <w:pPr>
        <w:jc w:val="both"/>
        <w:divId w:val="1159228780"/>
        <w:rPr>
          <w:rFonts w:eastAsia="Times New Roman"/>
        </w:rPr>
      </w:pPr>
      <w:r>
        <w:rPr>
          <w:rFonts w:eastAsia="Times New Roman"/>
          <w:b/>
          <w:bCs/>
          <w:i/>
          <w:iCs/>
          <w:color w:val="000000"/>
          <w:sz w:val="20"/>
          <w:szCs w:val="20"/>
        </w:rPr>
        <w:t>Net Flows and AV</w:t>
      </w:r>
    </w:p>
    <w:p w:rsidR="00000000" w:rsidRDefault="00C56D69">
      <w:pPr>
        <w:ind w:hanging="360"/>
        <w:divId w:val="1783376742"/>
        <w:rPr>
          <w:rFonts w:eastAsia="Times New Roman"/>
        </w:rPr>
      </w:pPr>
      <w:r>
        <w:rPr>
          <w:rFonts w:eastAsia="Times New Roman"/>
          <w:color w:val="000000"/>
          <w:sz w:val="20"/>
          <w:szCs w:val="20"/>
          <w:shd w:val="clear" w:color="auto" w:fill="FFFFFF"/>
        </w:rPr>
        <w:t>•The decline in AV of $21.4 billion in the nine months ended September 30, 2022 was driven by a decrease in investments performance and interest credited to account balances, net of policy charges of $22.8 billion as a result</w:t>
      </w:r>
      <w:r>
        <w:rPr>
          <w:rFonts w:eastAsia="Times New Roman"/>
          <w:color w:val="000000"/>
          <w:sz w:val="20"/>
          <w:szCs w:val="20"/>
          <w:shd w:val="clear" w:color="auto" w:fill="FFFFFF"/>
        </w:rPr>
        <w:t xml:space="preserve"> of equity market depreciation in 2022, partially offset by net inflows of $1.5 billion.</w:t>
      </w:r>
    </w:p>
    <w:p w:rsidR="00000000" w:rsidRDefault="00C56D69">
      <w:pPr>
        <w:ind w:hanging="360"/>
        <w:jc w:val="both"/>
        <w:divId w:val="1815639551"/>
        <w:rPr>
          <w:rFonts w:eastAsia="Times New Roman"/>
        </w:rPr>
      </w:pPr>
      <w:r>
        <w:rPr>
          <w:rFonts w:eastAsia="Times New Roman"/>
          <w:color w:val="000000"/>
          <w:sz w:val="20"/>
          <w:szCs w:val="20"/>
          <w:shd w:val="clear" w:color="auto" w:fill="FFFFFF"/>
        </w:rPr>
        <w:t>•Net inflows of $1.5 billion were $2.1 billion higher than in the nine months ended September 30, 2021, mainly driven by $3.1 billion of inflows on our newer, less cap</w:t>
      </w:r>
      <w:r>
        <w:rPr>
          <w:rFonts w:eastAsia="Times New Roman"/>
          <w:color w:val="000000"/>
          <w:sz w:val="20"/>
          <w:szCs w:val="20"/>
          <w:shd w:val="clear" w:color="auto" w:fill="FFFFFF"/>
        </w:rPr>
        <w:t>ital-intensive products, partially offset by $1.6 billion of outflows on our older fixed-rate GMxB block.</w:t>
      </w:r>
    </w:p>
    <w:p w:rsidR="00000000" w:rsidRDefault="00C56D69">
      <w:pPr>
        <w:divId w:val="1520973909"/>
        <w:rPr>
          <w:rFonts w:eastAsia="Times New Roman"/>
        </w:rPr>
      </w:pPr>
      <w:r>
        <w:rPr>
          <w:rFonts w:eastAsia="Times New Roman"/>
          <w:b/>
          <w:bCs/>
          <w:color w:val="000000"/>
          <w:sz w:val="20"/>
          <w:szCs w:val="20"/>
        </w:rPr>
        <w:t>Group Retirement</w:t>
      </w:r>
    </w:p>
    <w:p w:rsidR="00000000" w:rsidRDefault="00C56D69">
      <w:pPr>
        <w:ind w:firstLine="360"/>
        <w:divId w:val="824706828"/>
        <w:rPr>
          <w:rFonts w:eastAsia="Times New Roman"/>
        </w:rPr>
      </w:pPr>
      <w:r>
        <w:rPr>
          <w:rFonts w:eastAsia="Times New Roman"/>
          <w:color w:val="000000"/>
          <w:sz w:val="20"/>
          <w:szCs w:val="20"/>
        </w:rPr>
        <w:t>The Group Retirement segment offers tax-deferred investment and retirement services or products to plans sponsored by educational ent</w:t>
      </w:r>
      <w:r>
        <w:rPr>
          <w:rFonts w:eastAsia="Times New Roman"/>
          <w:color w:val="000000"/>
          <w:sz w:val="20"/>
          <w:szCs w:val="20"/>
        </w:rPr>
        <w:t>ities, municipalities and not-for-profit entities, as well as small and medium-sized businesses.</w:t>
      </w:r>
    </w:p>
    <w:p w:rsidR="00000000" w:rsidRDefault="00C56D69">
      <w:pPr>
        <w:ind w:firstLine="360"/>
        <w:divId w:val="1639336196"/>
        <w:rPr>
          <w:rFonts w:eastAsia="Times New Roman"/>
        </w:rPr>
      </w:pPr>
      <w:r>
        <w:rPr>
          <w:rFonts w:eastAsia="Times New Roman"/>
          <w:color w:val="000000"/>
          <w:sz w:val="20"/>
          <w:szCs w:val="20"/>
        </w:rPr>
        <w:t>The following table summarizes operating earnings of our Group Retirement segment for the periods presented:</w:t>
      </w:r>
    </w:p>
    <w:tbl>
      <w:tblPr>
        <w:tblW w:w="4824" w:type="pct"/>
        <w:tblCellMar>
          <w:top w:w="15" w:type="dxa"/>
          <w:left w:w="15" w:type="dxa"/>
          <w:bottom w:w="15" w:type="dxa"/>
          <w:right w:w="15" w:type="dxa"/>
        </w:tblCellMar>
        <w:tblLook w:val="04A0" w:firstRow="1" w:lastRow="0" w:firstColumn="1" w:lastColumn="0" w:noHBand="0" w:noVBand="1"/>
      </w:tblPr>
      <w:tblGrid>
        <w:gridCol w:w="37"/>
        <w:gridCol w:w="4548"/>
        <w:gridCol w:w="36"/>
        <w:gridCol w:w="120"/>
        <w:gridCol w:w="598"/>
        <w:gridCol w:w="36"/>
        <w:gridCol w:w="36"/>
        <w:gridCol w:w="36"/>
        <w:gridCol w:w="36"/>
        <w:gridCol w:w="120"/>
        <w:gridCol w:w="598"/>
        <w:gridCol w:w="36"/>
        <w:gridCol w:w="120"/>
        <w:gridCol w:w="598"/>
        <w:gridCol w:w="36"/>
        <w:gridCol w:w="36"/>
        <w:gridCol w:w="36"/>
        <w:gridCol w:w="36"/>
        <w:gridCol w:w="120"/>
        <w:gridCol w:w="543"/>
        <w:gridCol w:w="36"/>
        <w:gridCol w:w="36"/>
        <w:gridCol w:w="36"/>
        <w:gridCol w:w="36"/>
        <w:gridCol w:w="36"/>
        <w:gridCol w:w="36"/>
        <w:gridCol w:w="36"/>
      </w:tblGrid>
      <w:tr w:rsidR="00000000">
        <w:trPr>
          <w:divId w:val="174655119"/>
        </w:trPr>
        <w:tc>
          <w:tcPr>
            <w:tcW w:w="50" w:type="pct"/>
            <w:vAlign w:val="center"/>
            <w:hideMark/>
          </w:tcPr>
          <w:p w:rsidR="00000000" w:rsidRDefault="00C56D69">
            <w:pPr>
              <w:ind w:firstLine="360"/>
              <w:rPr>
                <w:rFonts w:eastAsia="Times New Roman"/>
              </w:rPr>
            </w:pPr>
          </w:p>
        </w:tc>
        <w:tc>
          <w:tcPr>
            <w:tcW w:w="296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465511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4655119"/>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465511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465511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916475887"/>
        <w:rPr>
          <w:rFonts w:eastAsia="Times New Roman"/>
        </w:rPr>
      </w:pPr>
      <w:r>
        <w:rPr>
          <w:rFonts w:eastAsia="Times New Roman"/>
          <w:color w:val="000000"/>
          <w:sz w:val="20"/>
          <w:szCs w:val="20"/>
        </w:rPr>
        <w:t>Key components of operating earnings are:</w:t>
      </w:r>
    </w:p>
    <w:p w:rsidR="00000000" w:rsidRDefault="00C56D69">
      <w:pPr>
        <w:jc w:val="center"/>
        <w:divId w:val="768696169"/>
        <w:rPr>
          <w:rFonts w:eastAsia="Times New Roman"/>
        </w:rPr>
      </w:pPr>
      <w:r>
        <w:rPr>
          <w:rFonts w:eastAsia="Times New Roman"/>
          <w:color w:val="000000"/>
          <w:sz w:val="20"/>
          <w:szCs w:val="20"/>
        </w:rPr>
        <w:t>89</w:t>
      </w:r>
    </w:p>
    <w:p w:rsidR="00000000" w:rsidRDefault="00C56D69">
      <w:pPr>
        <w:rPr>
          <w:rFonts w:eastAsia="Times New Roman"/>
        </w:rPr>
      </w:pPr>
      <w:r>
        <w:rPr>
          <w:rFonts w:eastAsia="Times New Roman"/>
        </w:rPr>
        <w:pict>
          <v:rect id="_x0000_i1115" style="width:0;height:1.5pt" o:hralign="center" o:hrstd="t" o:hr="t" fillcolor="#a0a0a0" stroked="f"/>
        </w:pict>
      </w:r>
    </w:p>
    <w:p w:rsidR="00000000" w:rsidRDefault="00C56D69">
      <w:pPr>
        <w:divId w:val="842279645"/>
        <w:rPr>
          <w:rFonts w:eastAsia="Times New Roman"/>
        </w:rPr>
      </w:pPr>
      <w:hyperlink w:anchor="i91a10deab42d4ca59e2a2b17dc17e22e_10" w:history="1">
        <w:r>
          <w:rPr>
            <w:rStyle w:val="a3"/>
            <w:rFonts w:eastAsia="Times New Roman"/>
            <w:b/>
            <w:bCs/>
            <w:sz w:val="20"/>
            <w:szCs w:val="20"/>
          </w:rPr>
          <w:t>Table of Contents</w:t>
        </w:r>
      </w:hyperlink>
    </w:p>
    <w:tbl>
      <w:tblPr>
        <w:tblW w:w="4824" w:type="pct"/>
        <w:tblCellMar>
          <w:top w:w="15" w:type="dxa"/>
          <w:left w:w="15" w:type="dxa"/>
          <w:bottom w:w="15" w:type="dxa"/>
          <w:right w:w="15" w:type="dxa"/>
        </w:tblCellMar>
        <w:tblLook w:val="04A0" w:firstRow="1" w:lastRow="0" w:firstColumn="1" w:lastColumn="0" w:noHBand="0" w:noVBand="1"/>
      </w:tblPr>
      <w:tblGrid>
        <w:gridCol w:w="38"/>
        <w:gridCol w:w="4547"/>
        <w:gridCol w:w="37"/>
        <w:gridCol w:w="120"/>
        <w:gridCol w:w="597"/>
        <w:gridCol w:w="36"/>
        <w:gridCol w:w="36"/>
        <w:gridCol w:w="36"/>
        <w:gridCol w:w="36"/>
        <w:gridCol w:w="120"/>
        <w:gridCol w:w="598"/>
        <w:gridCol w:w="36"/>
        <w:gridCol w:w="120"/>
        <w:gridCol w:w="598"/>
        <w:gridCol w:w="36"/>
        <w:gridCol w:w="36"/>
        <w:gridCol w:w="36"/>
        <w:gridCol w:w="36"/>
        <w:gridCol w:w="120"/>
        <w:gridCol w:w="543"/>
        <w:gridCol w:w="36"/>
        <w:gridCol w:w="36"/>
        <w:gridCol w:w="36"/>
        <w:gridCol w:w="36"/>
        <w:gridCol w:w="36"/>
        <w:gridCol w:w="36"/>
        <w:gridCol w:w="36"/>
      </w:tblGrid>
      <w:tr w:rsidR="00000000">
        <w:trPr>
          <w:divId w:val="283998174"/>
        </w:trPr>
        <w:tc>
          <w:tcPr>
            <w:tcW w:w="50" w:type="pct"/>
            <w:vAlign w:val="center"/>
            <w:hideMark/>
          </w:tcPr>
          <w:p w:rsidR="00000000" w:rsidRDefault="00C56D69">
            <w:pPr>
              <w:rPr>
                <w:rFonts w:eastAsia="Times New Roman"/>
              </w:rPr>
            </w:pPr>
          </w:p>
        </w:tc>
        <w:tc>
          <w:tcPr>
            <w:tcW w:w="296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(losses) gains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1,018 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83998174"/>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693114467"/>
        <w:rPr>
          <w:rFonts w:eastAsia="Times New Roman"/>
        </w:rPr>
      </w:pPr>
      <w:r>
        <w:rPr>
          <w:rFonts w:eastAsia="Times New Roman"/>
          <w:color w:val="000000"/>
          <w:sz w:val="20"/>
          <w:szCs w:val="20"/>
        </w:rPr>
        <w:t>The following table summarizes AV and AUA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649"/>
        <w:gridCol w:w="38"/>
        <w:gridCol w:w="121"/>
        <w:gridCol w:w="1014"/>
        <w:gridCol w:w="36"/>
        <w:gridCol w:w="36"/>
        <w:gridCol w:w="36"/>
        <w:gridCol w:w="36"/>
        <w:gridCol w:w="120"/>
        <w:gridCol w:w="929"/>
        <w:gridCol w:w="36"/>
        <w:gridCol w:w="36"/>
        <w:gridCol w:w="36"/>
        <w:gridCol w:w="36"/>
        <w:gridCol w:w="36"/>
        <w:gridCol w:w="36"/>
        <w:gridCol w:w="36"/>
      </w:tblGrid>
      <w:tr w:rsidR="00000000">
        <w:trPr>
          <w:divId w:val="861044314"/>
        </w:trPr>
        <w:tc>
          <w:tcPr>
            <w:tcW w:w="50" w:type="pct"/>
            <w:vAlign w:val="center"/>
            <w:hideMark/>
          </w:tcPr>
          <w:p w:rsidR="00000000" w:rsidRDefault="00C56D69">
            <w:pPr>
              <w:ind w:firstLine="360"/>
              <w:rPr>
                <w:rFonts w:eastAsia="Times New Roman"/>
              </w:rPr>
            </w:pPr>
          </w:p>
        </w:tc>
        <w:tc>
          <w:tcPr>
            <w:tcW w:w="35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5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4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1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20"/>
                <w:szCs w:val="20"/>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AV and AUA</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13,046 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 and Mutual Funds (1)</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26,476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34,763 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86104431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AV and AUA</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39,710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47,809 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861044314"/>
        <w:rPr>
          <w:rFonts w:eastAsia="Times New Roman"/>
        </w:rPr>
      </w:pPr>
      <w:r>
        <w:rPr>
          <w:rFonts w:eastAsia="Times New Roman"/>
          <w:color w:val="000000"/>
          <w:sz w:val="20"/>
          <w:szCs w:val="20"/>
        </w:rPr>
        <w:t>____________</w:t>
      </w:r>
    </w:p>
    <w:p w:rsidR="00000000" w:rsidRDefault="00C56D69">
      <w:pPr>
        <w:ind w:hanging="360"/>
        <w:divId w:val="1813980795"/>
        <w:rPr>
          <w:rFonts w:eastAsia="Times New Roman"/>
        </w:rPr>
      </w:pPr>
      <w:r>
        <w:rPr>
          <w:rFonts w:eastAsia="Times New Roman"/>
          <w:color w:val="000000"/>
          <w:sz w:val="20"/>
          <w:szCs w:val="20"/>
        </w:rPr>
        <w:t xml:space="preserve">(1) </w:t>
      </w:r>
      <w:r>
        <w:rPr>
          <w:rFonts w:eastAsia="Times New Roman"/>
          <w:color w:val="000000"/>
          <w:sz w:val="20"/>
          <w:szCs w:val="20"/>
        </w:rPr>
        <w:t>Prior period amounts related to Separate Account AV and Mutual Funds AUA were revised to include Mutual Fund AUA. The impact of the revision to December 31, 2021 total AV and AUA was $457 million.</w:t>
      </w:r>
    </w:p>
    <w:p w:rsidR="00000000" w:rsidRDefault="00C56D69">
      <w:pPr>
        <w:ind w:firstLine="360"/>
        <w:divId w:val="1345281967"/>
        <w:rPr>
          <w:rFonts w:eastAsia="Times New Roman"/>
        </w:rPr>
      </w:pPr>
    </w:p>
    <w:p w:rsidR="00000000" w:rsidRDefault="00C56D69">
      <w:pPr>
        <w:ind w:firstLine="360"/>
        <w:divId w:val="1368412653"/>
        <w:rPr>
          <w:rFonts w:eastAsia="Times New Roman"/>
        </w:rPr>
      </w:pPr>
      <w:r>
        <w:rPr>
          <w:rFonts w:eastAsia="Times New Roman"/>
          <w:color w:val="000000"/>
          <w:sz w:val="20"/>
          <w:szCs w:val="20"/>
        </w:rPr>
        <w:t>The following table summarizes a roll-forward of AV and A</w:t>
      </w:r>
      <w:r>
        <w:rPr>
          <w:rFonts w:eastAsia="Times New Roman"/>
          <w:color w:val="000000"/>
          <w:sz w:val="20"/>
          <w:szCs w:val="20"/>
        </w:rPr>
        <w:t>UA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663"/>
        <w:gridCol w:w="39"/>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36"/>
        <w:gridCol w:w="36"/>
        <w:gridCol w:w="36"/>
      </w:tblGrid>
      <w:tr w:rsidR="00000000">
        <w:trPr>
          <w:divId w:val="1036468355"/>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 (1)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 (1)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46,299 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42,756 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FFFFFF"/>
            <w:tcMar>
              <w:top w:w="30" w:type="dxa"/>
              <w:left w:w="15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2,761 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(2,886)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(2,831)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flows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(1,400)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(8,709)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 (2)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036468355"/>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39,710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45,917 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39,710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45,917 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984197333"/>
        <w:rPr>
          <w:rFonts w:eastAsia="Times New Roman"/>
        </w:rPr>
      </w:pPr>
      <w:r>
        <w:rPr>
          <w:rFonts w:eastAsia="Times New Roman"/>
          <w:color w:val="000000"/>
          <w:sz w:val="18"/>
          <w:szCs w:val="18"/>
        </w:rPr>
        <w:t>____________</w:t>
      </w:r>
    </w:p>
    <w:p w:rsidR="00000000" w:rsidRDefault="00C56D69">
      <w:pPr>
        <w:ind w:hanging="360"/>
        <w:divId w:val="2143190817"/>
        <w:rPr>
          <w:rFonts w:eastAsia="Times New Roman"/>
        </w:rPr>
      </w:pPr>
      <w:r>
        <w:rPr>
          <w:rFonts w:eastAsia="Times New Roman"/>
          <w:color w:val="000000"/>
          <w:sz w:val="18"/>
          <w:szCs w:val="18"/>
        </w:rPr>
        <w:t>(1)Prior period amounts related to the AV and AUA roll-forward were updated to include Mutual Fund AUA. The impact of the revision to the beginni</w:t>
      </w:r>
      <w:r>
        <w:rPr>
          <w:rFonts w:eastAsia="Times New Roman"/>
          <w:color w:val="000000"/>
          <w:sz w:val="18"/>
          <w:szCs w:val="18"/>
        </w:rPr>
        <w:t>ng balance of the three months and nine months ended September 30, 2021 were $376 million and $297 million, respectively. Net Flows revision impact for the three months and nine months ended September 30, 2021 were $0 million and $48 million. Investment pe</w:t>
      </w:r>
      <w:r>
        <w:rPr>
          <w:rFonts w:eastAsia="Times New Roman"/>
          <w:color w:val="000000"/>
          <w:sz w:val="18"/>
          <w:szCs w:val="18"/>
        </w:rPr>
        <w:t xml:space="preserve">rformance, interest credited and policy charges revision impact for the three months and nine months ended September 30, 2021 were $3 million and $28 million, respectively. </w:t>
      </w:r>
    </w:p>
    <w:p w:rsidR="00000000" w:rsidRDefault="00C56D69">
      <w:pPr>
        <w:jc w:val="center"/>
        <w:divId w:val="1108231394"/>
        <w:rPr>
          <w:rFonts w:eastAsia="Times New Roman"/>
        </w:rPr>
      </w:pPr>
      <w:r>
        <w:rPr>
          <w:rFonts w:eastAsia="Times New Roman"/>
          <w:color w:val="000000"/>
          <w:sz w:val="20"/>
          <w:szCs w:val="20"/>
        </w:rPr>
        <w:t>90</w:t>
      </w:r>
    </w:p>
    <w:p w:rsidR="00000000" w:rsidRDefault="00C56D69">
      <w:pPr>
        <w:rPr>
          <w:rFonts w:eastAsia="Times New Roman"/>
        </w:rPr>
      </w:pPr>
      <w:r>
        <w:rPr>
          <w:rFonts w:eastAsia="Times New Roman"/>
        </w:rPr>
        <w:pict>
          <v:rect id="_x0000_i1116" style="width:0;height:1.5pt" o:hralign="center" o:hrstd="t" o:hr="t" fillcolor="#a0a0a0" stroked="f"/>
        </w:pict>
      </w:r>
    </w:p>
    <w:p w:rsidR="00000000" w:rsidRDefault="00C56D69">
      <w:pPr>
        <w:divId w:val="132477727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360"/>
        <w:divId w:val="26368978"/>
        <w:rPr>
          <w:rFonts w:eastAsia="Times New Roman"/>
        </w:rPr>
      </w:pPr>
      <w:r>
        <w:rPr>
          <w:rFonts w:eastAsia="Times New Roman"/>
          <w:color w:val="000000"/>
          <w:sz w:val="18"/>
          <w:szCs w:val="18"/>
        </w:rPr>
        <w:t xml:space="preserve">(2)For the </w:t>
      </w:r>
      <w:r>
        <w:rPr>
          <w:rFonts w:eastAsia="Times New Roman"/>
          <w:color w:val="000000"/>
          <w:sz w:val="20"/>
          <w:szCs w:val="20"/>
        </w:rPr>
        <w:t>three months and nine months ended September 30, 2021</w:t>
      </w:r>
      <w:r>
        <w:rPr>
          <w:rFonts w:eastAsia="Times New Roman"/>
          <w:color w:val="000000"/>
          <w:sz w:val="18"/>
          <w:szCs w:val="18"/>
        </w:rPr>
        <w:t>, amounts reflect AV transfer of GMxB closed block business from GR to IR.</w:t>
      </w:r>
    </w:p>
    <w:p w:rsidR="00000000" w:rsidRDefault="00C56D69">
      <w:pPr>
        <w:divId w:val="876965011"/>
        <w:rPr>
          <w:rFonts w:eastAsia="Times New Roman"/>
        </w:rPr>
      </w:pPr>
      <w:r>
        <w:rPr>
          <w:rFonts w:eastAsia="Times New Roman"/>
          <w:b/>
          <w:bCs/>
          <w:color w:val="000000"/>
          <w:sz w:val="20"/>
          <w:szCs w:val="20"/>
        </w:rPr>
        <w:t>Three Months Ended September 30, 2022 Compared to the Three Months Ended September 30, 2021 for the Group Retirement Segment</w:t>
      </w:r>
    </w:p>
    <w:p w:rsidR="00000000" w:rsidRDefault="00C56D69">
      <w:pPr>
        <w:jc w:val="both"/>
        <w:divId w:val="1715736332"/>
        <w:rPr>
          <w:rFonts w:eastAsia="Times New Roman"/>
        </w:rPr>
      </w:pPr>
      <w:r>
        <w:rPr>
          <w:rFonts w:eastAsia="Times New Roman"/>
          <w:b/>
          <w:bCs/>
          <w:i/>
          <w:iCs/>
          <w:color w:val="000000"/>
          <w:sz w:val="20"/>
          <w:szCs w:val="20"/>
        </w:rPr>
        <w:t>Operating earnings</w:t>
      </w:r>
    </w:p>
    <w:p w:rsidR="00000000" w:rsidRDefault="00C56D69">
      <w:pPr>
        <w:ind w:firstLine="360"/>
        <w:divId w:val="1017999005"/>
        <w:rPr>
          <w:rFonts w:eastAsia="Times New Roman"/>
        </w:rPr>
      </w:pPr>
      <w:r>
        <w:rPr>
          <w:rFonts w:eastAsia="Times New Roman"/>
          <w:color w:val="000000"/>
          <w:sz w:val="20"/>
          <w:szCs w:val="20"/>
          <w:shd w:val="clear" w:color="auto" w:fill="FFFFFF"/>
        </w:rPr>
        <w:t xml:space="preserve">Operating </w:t>
      </w:r>
      <w:r>
        <w:rPr>
          <w:rFonts w:eastAsia="Times New Roman"/>
          <w:color w:val="000000"/>
          <w:sz w:val="20"/>
          <w:szCs w:val="20"/>
        </w:rPr>
        <w:t>earnings decreased by $58 m</w:t>
      </w:r>
      <w:r>
        <w:rPr>
          <w:rFonts w:eastAsia="Times New Roman"/>
          <w:color w:val="000000"/>
          <w:sz w:val="20"/>
          <w:szCs w:val="20"/>
        </w:rPr>
        <w:t>illion to $134 million during the three months ended September 30, 2022 from $192 million in the three months ended September 30, 2021. The following notable items were the primary drivers of the change in operating earnings:</w:t>
      </w:r>
    </w:p>
    <w:p w:rsidR="00000000" w:rsidRDefault="00C56D69">
      <w:pPr>
        <w:ind w:firstLine="360"/>
        <w:divId w:val="926773022"/>
        <w:rPr>
          <w:rFonts w:eastAsia="Times New Roman"/>
        </w:rPr>
      </w:pPr>
      <w:r>
        <w:rPr>
          <w:rFonts w:eastAsia="Times New Roman"/>
          <w:color w:val="000000"/>
          <w:sz w:val="20"/>
          <w:szCs w:val="20"/>
        </w:rPr>
        <w:t>Unfavorable items included:</w:t>
      </w:r>
    </w:p>
    <w:p w:rsidR="00000000" w:rsidRDefault="00C56D69">
      <w:pPr>
        <w:ind w:hanging="360"/>
        <w:divId w:val="2017609205"/>
        <w:rPr>
          <w:rFonts w:eastAsia="Times New Roman"/>
        </w:rPr>
      </w:pPr>
      <w:r>
        <w:rPr>
          <w:rFonts w:eastAsia="Times New Roman"/>
          <w:color w:val="000000"/>
          <w:sz w:val="20"/>
          <w:szCs w:val="20"/>
        </w:rPr>
        <w:t>•N</w:t>
      </w:r>
      <w:r>
        <w:rPr>
          <w:rFonts w:eastAsia="Times New Roman"/>
          <w:color w:val="000000"/>
          <w:sz w:val="20"/>
          <w:szCs w:val="20"/>
        </w:rPr>
        <w:t>et investment income decreased by $29 million due to lower alternative investment income and lower prepayments, partially offset by higher income primarily from floating rate securities, higher asset balances and General Account optimization.</w:t>
      </w:r>
    </w:p>
    <w:p w:rsidR="00000000" w:rsidRDefault="00C56D69">
      <w:pPr>
        <w:ind w:hanging="360"/>
        <w:jc w:val="both"/>
        <w:divId w:val="1900285223"/>
        <w:rPr>
          <w:rFonts w:eastAsia="Times New Roman"/>
        </w:rPr>
      </w:pPr>
      <w:r>
        <w:rPr>
          <w:rFonts w:eastAsia="Times New Roman"/>
          <w:color w:val="000000"/>
          <w:sz w:val="20"/>
          <w:szCs w:val="20"/>
        </w:rPr>
        <w:t>•Fee-type rev</w:t>
      </w:r>
      <w:r>
        <w:rPr>
          <w:rFonts w:eastAsia="Times New Roman"/>
          <w:color w:val="000000"/>
          <w:sz w:val="20"/>
          <w:szCs w:val="20"/>
        </w:rPr>
        <w:t>enue decreased by $25 million due to lower average Separate Account AV from lower equity market performance.</w:t>
      </w:r>
    </w:p>
    <w:p w:rsidR="00000000" w:rsidRDefault="00C56D69">
      <w:pPr>
        <w:ind w:firstLine="360"/>
        <w:divId w:val="796216639"/>
        <w:rPr>
          <w:rFonts w:eastAsia="Times New Roman"/>
        </w:rPr>
      </w:pPr>
      <w:r>
        <w:rPr>
          <w:rFonts w:eastAsia="Times New Roman"/>
          <w:color w:val="000000"/>
          <w:sz w:val="20"/>
          <w:szCs w:val="20"/>
        </w:rPr>
        <w:t>These were partially offset by the following favorable items:</w:t>
      </w:r>
    </w:p>
    <w:p w:rsidR="00000000" w:rsidRDefault="00C56D69">
      <w:pPr>
        <w:ind w:hanging="360"/>
        <w:divId w:val="238448526"/>
        <w:rPr>
          <w:rFonts w:eastAsia="Times New Roman"/>
        </w:rPr>
      </w:pPr>
      <w:r>
        <w:rPr>
          <w:rFonts w:eastAsia="Times New Roman"/>
          <w:color w:val="000000"/>
          <w:sz w:val="20"/>
          <w:szCs w:val="20"/>
        </w:rPr>
        <w:t xml:space="preserve">•Amortization of DAC increased by $4 million mainly due to more favorable assumption </w:t>
      </w:r>
      <w:r>
        <w:rPr>
          <w:rFonts w:eastAsia="Times New Roman"/>
          <w:color w:val="000000"/>
          <w:sz w:val="20"/>
          <w:szCs w:val="20"/>
        </w:rPr>
        <w:t>updates in 2022 compared to 2021.</w:t>
      </w:r>
    </w:p>
    <w:p w:rsidR="00000000" w:rsidRDefault="00C56D69">
      <w:pPr>
        <w:ind w:hanging="360"/>
        <w:jc w:val="both"/>
        <w:divId w:val="1286233505"/>
        <w:rPr>
          <w:rFonts w:eastAsia="Times New Roman"/>
        </w:rPr>
      </w:pPr>
      <w:r>
        <w:rPr>
          <w:rFonts w:eastAsia="Times New Roman"/>
          <w:color w:val="000000"/>
          <w:sz w:val="20"/>
          <w:szCs w:val="20"/>
        </w:rPr>
        <w:t>•Income tax expense decreased by $5 million mainly driven by lower pre-tax earnings, partially offset by a higher effective tax rate in 2022.</w:t>
      </w:r>
    </w:p>
    <w:p w:rsidR="00000000" w:rsidRDefault="00C56D69">
      <w:pPr>
        <w:divId w:val="2129811100"/>
        <w:rPr>
          <w:rFonts w:eastAsia="Times New Roman"/>
        </w:rPr>
      </w:pPr>
      <w:r>
        <w:rPr>
          <w:rFonts w:eastAsia="Times New Roman"/>
          <w:color w:val="000000"/>
          <w:sz w:val="20"/>
          <w:szCs w:val="20"/>
        </w:rPr>
        <w:t xml:space="preserve">See “—Significant Factors Impacting Our Results—Effect of Assumption Updates on </w:t>
      </w:r>
      <w:r>
        <w:rPr>
          <w:rFonts w:eastAsia="Times New Roman"/>
          <w:color w:val="000000"/>
          <w:sz w:val="20"/>
          <w:szCs w:val="20"/>
        </w:rPr>
        <w:t xml:space="preserve">Operating Results” for more information regarding assumption updates. </w:t>
      </w:r>
    </w:p>
    <w:p w:rsidR="00000000" w:rsidRDefault="00C56D69">
      <w:pPr>
        <w:jc w:val="both"/>
        <w:divId w:val="1051806815"/>
        <w:rPr>
          <w:rFonts w:eastAsia="Times New Roman"/>
        </w:rPr>
      </w:pPr>
      <w:r>
        <w:rPr>
          <w:rFonts w:eastAsia="Times New Roman"/>
          <w:b/>
          <w:bCs/>
          <w:i/>
          <w:iCs/>
          <w:color w:val="000000"/>
          <w:sz w:val="20"/>
          <w:szCs w:val="20"/>
        </w:rPr>
        <w:t>Net Flows and AV</w:t>
      </w:r>
    </w:p>
    <w:p w:rsidR="00000000" w:rsidRDefault="00C56D69">
      <w:pPr>
        <w:ind w:hanging="360"/>
        <w:jc w:val="both"/>
        <w:divId w:val="2087605780"/>
        <w:rPr>
          <w:rFonts w:eastAsia="Times New Roman"/>
        </w:rPr>
      </w:pPr>
      <w:r>
        <w:rPr>
          <w:rFonts w:eastAsia="Times New Roman"/>
          <w:color w:val="000000"/>
          <w:sz w:val="20"/>
          <w:szCs w:val="20"/>
        </w:rPr>
        <w:t>•The decrease in AV of $1.5 billion in the three months ended September 30, 2022 was driven by equity market performance and net outflows of $57 million.</w:t>
      </w:r>
    </w:p>
    <w:p w:rsidR="00000000" w:rsidRDefault="00C56D69">
      <w:pPr>
        <w:ind w:hanging="360"/>
        <w:jc w:val="both"/>
        <w:divId w:val="1356808617"/>
        <w:rPr>
          <w:rFonts w:eastAsia="Times New Roman"/>
        </w:rPr>
      </w:pPr>
      <w:r>
        <w:rPr>
          <w:rFonts w:eastAsia="Times New Roman"/>
          <w:color w:val="000000"/>
          <w:sz w:val="20"/>
          <w:szCs w:val="20"/>
        </w:rPr>
        <w:t xml:space="preserve">•Net outflows </w:t>
      </w:r>
      <w:r>
        <w:rPr>
          <w:rFonts w:eastAsia="Times New Roman"/>
          <w:color w:val="000000"/>
          <w:sz w:val="20"/>
          <w:szCs w:val="20"/>
        </w:rPr>
        <w:t>of $57 million improved by $78 million due to higher gross premiums and lower outflows.</w:t>
      </w:r>
    </w:p>
    <w:p w:rsidR="00000000" w:rsidRDefault="00C56D69">
      <w:pPr>
        <w:jc w:val="center"/>
        <w:divId w:val="448399388"/>
        <w:rPr>
          <w:rFonts w:eastAsia="Times New Roman"/>
        </w:rPr>
      </w:pPr>
      <w:r>
        <w:rPr>
          <w:rFonts w:eastAsia="Times New Roman"/>
          <w:color w:val="000000"/>
          <w:sz w:val="20"/>
          <w:szCs w:val="20"/>
        </w:rPr>
        <w:t>91</w:t>
      </w:r>
    </w:p>
    <w:p w:rsidR="00000000" w:rsidRDefault="00C56D69">
      <w:pPr>
        <w:rPr>
          <w:rFonts w:eastAsia="Times New Roman"/>
        </w:rPr>
      </w:pPr>
      <w:r>
        <w:rPr>
          <w:rFonts w:eastAsia="Times New Roman"/>
        </w:rPr>
        <w:pict>
          <v:rect id="_x0000_i1117" style="width:0;height:1.5pt" o:hralign="center" o:hrstd="t" o:hr="t" fillcolor="#a0a0a0" stroked="f"/>
        </w:pict>
      </w:r>
    </w:p>
    <w:p w:rsidR="00000000" w:rsidRDefault="00C56D69">
      <w:pPr>
        <w:divId w:val="205850821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428240608"/>
        <w:rPr>
          <w:rFonts w:eastAsia="Times New Roman"/>
        </w:rPr>
      </w:pPr>
    </w:p>
    <w:p w:rsidR="00000000" w:rsidRDefault="00C56D69">
      <w:pPr>
        <w:divId w:val="712119192"/>
        <w:rPr>
          <w:rFonts w:eastAsia="Times New Roman"/>
        </w:rPr>
      </w:pPr>
      <w:r>
        <w:rPr>
          <w:rFonts w:eastAsia="Times New Roman"/>
          <w:b/>
          <w:bCs/>
          <w:color w:val="000000"/>
          <w:sz w:val="20"/>
          <w:szCs w:val="20"/>
        </w:rPr>
        <w:t>Nine Months Ended September 30, 2022 Compared to the Nine Months Ended September 30, 2021 for the Group Retirement Segment</w:t>
      </w:r>
    </w:p>
    <w:p w:rsidR="00000000" w:rsidRDefault="00C56D69">
      <w:pPr>
        <w:jc w:val="both"/>
        <w:divId w:val="684985043"/>
        <w:rPr>
          <w:rFonts w:eastAsia="Times New Roman"/>
        </w:rPr>
      </w:pPr>
      <w:r>
        <w:rPr>
          <w:rFonts w:eastAsia="Times New Roman"/>
          <w:b/>
          <w:bCs/>
          <w:i/>
          <w:iCs/>
          <w:color w:val="000000"/>
          <w:sz w:val="20"/>
          <w:szCs w:val="20"/>
        </w:rPr>
        <w:t>Operating earnings</w:t>
      </w:r>
    </w:p>
    <w:p w:rsidR="00000000" w:rsidRDefault="00C56D69">
      <w:pPr>
        <w:ind w:firstLine="360"/>
        <w:divId w:val="1580407076"/>
        <w:rPr>
          <w:rFonts w:eastAsia="Times New Roman"/>
        </w:rPr>
      </w:pPr>
      <w:r>
        <w:rPr>
          <w:rFonts w:eastAsia="Times New Roman"/>
          <w:color w:val="000000"/>
          <w:sz w:val="20"/>
          <w:szCs w:val="20"/>
          <w:shd w:val="clear" w:color="auto" w:fill="FFFFFF"/>
        </w:rPr>
        <w:t>Operat</w:t>
      </w:r>
      <w:r>
        <w:rPr>
          <w:rFonts w:eastAsia="Times New Roman"/>
          <w:color w:val="000000"/>
          <w:sz w:val="20"/>
          <w:szCs w:val="20"/>
        </w:rPr>
        <w:t>ing earnings decreased by $99 million to $415 million during the nine months ended September 30, 2022 from $</w:t>
      </w:r>
      <w:r>
        <w:rPr>
          <w:rFonts w:eastAsia="Times New Roman"/>
          <w:color w:val="000000"/>
          <w:sz w:val="20"/>
          <w:szCs w:val="20"/>
        </w:rPr>
        <w:t>514 million during the nine months ended September 30, 2021. The following notable items were the primary drivers of the change in operating earnings:</w:t>
      </w:r>
    </w:p>
    <w:p w:rsidR="00000000" w:rsidRDefault="00C56D69">
      <w:pPr>
        <w:ind w:firstLine="360"/>
        <w:jc w:val="both"/>
        <w:divId w:val="198127197"/>
        <w:rPr>
          <w:rFonts w:eastAsia="Times New Roman"/>
        </w:rPr>
      </w:pPr>
      <w:r>
        <w:rPr>
          <w:rFonts w:eastAsia="Times New Roman"/>
          <w:color w:val="000000"/>
          <w:sz w:val="20"/>
          <w:szCs w:val="20"/>
        </w:rPr>
        <w:t>Unfavorable items included:</w:t>
      </w:r>
    </w:p>
    <w:p w:rsidR="00000000" w:rsidRDefault="00C56D69">
      <w:pPr>
        <w:ind w:hanging="360"/>
        <w:divId w:val="1269629033"/>
        <w:rPr>
          <w:rFonts w:eastAsia="Times New Roman"/>
        </w:rPr>
      </w:pPr>
      <w:r>
        <w:rPr>
          <w:rFonts w:eastAsia="Times New Roman"/>
          <w:color w:val="000000"/>
          <w:sz w:val="20"/>
          <w:szCs w:val="20"/>
        </w:rPr>
        <w:t>•Net investment income decreased by $61 million primarily due to lower altern</w:t>
      </w:r>
      <w:r>
        <w:rPr>
          <w:rFonts w:eastAsia="Times New Roman"/>
          <w:color w:val="000000"/>
          <w:sz w:val="20"/>
          <w:szCs w:val="20"/>
        </w:rPr>
        <w:t>ative investment income and lower prepayments partially offset by higher income from floating rate securities, TIPS and General Account optimization.</w:t>
      </w:r>
    </w:p>
    <w:p w:rsidR="00000000" w:rsidRDefault="00C56D69">
      <w:pPr>
        <w:ind w:hanging="360"/>
        <w:divId w:val="988826806"/>
        <w:rPr>
          <w:rFonts w:eastAsia="Times New Roman"/>
        </w:rPr>
      </w:pPr>
      <w:r>
        <w:rPr>
          <w:rFonts w:eastAsia="Times New Roman"/>
          <w:color w:val="000000"/>
          <w:sz w:val="20"/>
          <w:szCs w:val="20"/>
        </w:rPr>
        <w:t>•Fee-type revenue decreased by $26 million due to lower average Separate Account AV from lower equity mark</w:t>
      </w:r>
      <w:r>
        <w:rPr>
          <w:rFonts w:eastAsia="Times New Roman"/>
          <w:color w:val="000000"/>
          <w:sz w:val="20"/>
          <w:szCs w:val="20"/>
        </w:rPr>
        <w:t>et performance.</w:t>
      </w:r>
    </w:p>
    <w:p w:rsidR="00000000" w:rsidRDefault="00C56D69">
      <w:pPr>
        <w:ind w:hanging="360"/>
        <w:jc w:val="both"/>
        <w:divId w:val="124323204"/>
        <w:rPr>
          <w:rFonts w:eastAsia="Times New Roman"/>
        </w:rPr>
      </w:pPr>
      <w:r>
        <w:rPr>
          <w:rFonts w:eastAsia="Times New Roman"/>
          <w:color w:val="000000"/>
          <w:sz w:val="20"/>
          <w:szCs w:val="20"/>
        </w:rPr>
        <w:t>•</w:t>
      </w:r>
      <w:r>
        <w:rPr>
          <w:rFonts w:eastAsia="Times New Roman"/>
          <w:color w:val="000000"/>
          <w:sz w:val="20"/>
          <w:szCs w:val="20"/>
        </w:rPr>
        <w:t>Net derivative losses increased by $7 million due to inflation related hedging loss offset on TIPS in the General Account.</w:t>
      </w:r>
    </w:p>
    <w:p w:rsidR="00000000" w:rsidRDefault="00C56D69">
      <w:pPr>
        <w:ind w:hanging="180"/>
        <w:jc w:val="both"/>
        <w:divId w:val="768892202"/>
        <w:rPr>
          <w:rFonts w:eastAsia="Times New Roman"/>
        </w:rPr>
      </w:pPr>
      <w:r>
        <w:rPr>
          <w:rFonts w:eastAsia="Times New Roman"/>
          <w:color w:val="000000"/>
          <w:sz w:val="20"/>
          <w:szCs w:val="20"/>
        </w:rPr>
        <w:t>These were partially offset by the following favorable items:</w:t>
      </w:r>
    </w:p>
    <w:p w:rsidR="00000000" w:rsidRDefault="00C56D69">
      <w:pPr>
        <w:ind w:hanging="360"/>
        <w:jc w:val="both"/>
        <w:divId w:val="737290197"/>
        <w:rPr>
          <w:rFonts w:eastAsia="Times New Roman"/>
        </w:rPr>
      </w:pPr>
      <w:r>
        <w:rPr>
          <w:rFonts w:eastAsia="Times New Roman"/>
          <w:color w:val="000000"/>
          <w:sz w:val="20"/>
          <w:szCs w:val="20"/>
        </w:rPr>
        <w:t>•Income tax expense decreased by $8 million primarily driven by lower p</w:t>
      </w:r>
      <w:r>
        <w:rPr>
          <w:rFonts w:eastAsia="Times New Roman"/>
          <w:color w:val="000000"/>
          <w:sz w:val="20"/>
          <w:szCs w:val="20"/>
        </w:rPr>
        <w:t>re-tax earnings partially offset by a higher effective tax rate in 2022.</w:t>
      </w:r>
    </w:p>
    <w:p w:rsidR="00000000" w:rsidRDefault="00C56D69">
      <w:pPr>
        <w:ind w:firstLine="180"/>
        <w:jc w:val="both"/>
        <w:divId w:val="627321935"/>
        <w:rPr>
          <w:rFonts w:eastAsia="Times New Roman"/>
        </w:rPr>
      </w:pPr>
      <w:r>
        <w:rPr>
          <w:rFonts w:eastAsia="Times New Roman"/>
          <w:b/>
          <w:bCs/>
          <w:i/>
          <w:iCs/>
          <w:color w:val="000000"/>
          <w:sz w:val="20"/>
          <w:szCs w:val="20"/>
          <w:shd w:val="clear" w:color="auto" w:fill="FFFFFF"/>
        </w:rPr>
        <w:t>Net Flows and AV</w:t>
      </w:r>
    </w:p>
    <w:p w:rsidR="00000000" w:rsidRDefault="00C56D69">
      <w:pPr>
        <w:ind w:hanging="360"/>
        <w:divId w:val="1930654044"/>
        <w:rPr>
          <w:rFonts w:eastAsia="Times New Roman"/>
        </w:rPr>
      </w:pPr>
      <w:r>
        <w:rPr>
          <w:rFonts w:eastAsia="Times New Roman"/>
          <w:color w:val="000000"/>
          <w:sz w:val="20"/>
          <w:szCs w:val="20"/>
        </w:rPr>
        <w:t>•The decrease in AV of 6.2 billion in the nine months ended September 30, 2022 was primarily due to market depreciation, partially offset by net inflows of $610 milli</w:t>
      </w:r>
      <w:r>
        <w:rPr>
          <w:rFonts w:eastAsia="Times New Roman"/>
          <w:color w:val="000000"/>
          <w:sz w:val="20"/>
          <w:szCs w:val="20"/>
        </w:rPr>
        <w:t>on.</w:t>
      </w:r>
    </w:p>
    <w:p w:rsidR="00000000" w:rsidRDefault="00C56D69">
      <w:pPr>
        <w:ind w:hanging="360"/>
        <w:jc w:val="both"/>
        <w:divId w:val="1909148385"/>
        <w:rPr>
          <w:rFonts w:eastAsia="Times New Roman"/>
        </w:rPr>
      </w:pPr>
      <w:r>
        <w:rPr>
          <w:rFonts w:eastAsia="Times New Roman"/>
          <w:color w:val="000000"/>
          <w:sz w:val="20"/>
          <w:szCs w:val="20"/>
        </w:rPr>
        <w:t>•Net inflows of $610 million increased by $680 million compared to 2021, driven by strong gross premiums reflecting strong sales and client engagement, partially offset by higher outflows.</w:t>
      </w:r>
    </w:p>
    <w:p w:rsidR="00000000" w:rsidRDefault="00C56D69">
      <w:pPr>
        <w:divId w:val="630401045"/>
        <w:rPr>
          <w:rFonts w:eastAsia="Times New Roman"/>
        </w:rPr>
      </w:pPr>
      <w:r>
        <w:rPr>
          <w:rFonts w:eastAsia="Times New Roman"/>
          <w:b/>
          <w:bCs/>
          <w:color w:val="000000"/>
          <w:sz w:val="20"/>
          <w:szCs w:val="20"/>
        </w:rPr>
        <w:t>Investment Management and Research</w:t>
      </w:r>
    </w:p>
    <w:p w:rsidR="00000000" w:rsidRDefault="00C56D69">
      <w:pPr>
        <w:ind w:firstLine="360"/>
        <w:divId w:val="856700675"/>
        <w:rPr>
          <w:rFonts w:eastAsia="Times New Roman"/>
        </w:rPr>
      </w:pPr>
      <w:r>
        <w:rPr>
          <w:rFonts w:eastAsia="Times New Roman"/>
          <w:color w:val="000000"/>
          <w:sz w:val="20"/>
          <w:szCs w:val="20"/>
        </w:rPr>
        <w:t>The Investment Management an</w:t>
      </w:r>
      <w:r>
        <w:rPr>
          <w:rFonts w:eastAsia="Times New Roman"/>
          <w:color w:val="000000"/>
          <w:sz w:val="20"/>
          <w:szCs w:val="20"/>
        </w:rPr>
        <w:t>d Research segment provides diversified investment management, research and related services to a broad range of clients around the world. Operating earnings (loss), net of tax, presented here represents our economic interest in AB of approximately 64% and</w:t>
      </w:r>
      <w:r>
        <w:rPr>
          <w:rFonts w:eastAsia="Times New Roman"/>
          <w:color w:val="000000"/>
          <w:sz w:val="20"/>
          <w:szCs w:val="20"/>
        </w:rPr>
        <w:t xml:space="preserve"> 65% during the three months ended September 30, 2022 and 2021, and approximately 65% during the nine months ended September 30, 2022 and 2021. </w:t>
      </w:r>
    </w:p>
    <w:tbl>
      <w:tblPr>
        <w:tblW w:w="5000" w:type="pct"/>
        <w:tblCellMar>
          <w:top w:w="15" w:type="dxa"/>
          <w:left w:w="15" w:type="dxa"/>
          <w:bottom w:w="15" w:type="dxa"/>
          <w:right w:w="15" w:type="dxa"/>
        </w:tblCellMar>
        <w:tblLook w:val="04A0" w:firstRow="1" w:lastRow="0" w:firstColumn="1" w:lastColumn="0" w:noHBand="0" w:noVBand="1"/>
      </w:tblPr>
      <w:tblGrid>
        <w:gridCol w:w="37"/>
        <w:gridCol w:w="4777"/>
        <w:gridCol w:w="36"/>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8"/>
        <w:gridCol w:w="36"/>
        <w:gridCol w:w="36"/>
        <w:gridCol w:w="36"/>
        <w:gridCol w:w="36"/>
        <w:gridCol w:w="36"/>
        <w:gridCol w:w="36"/>
        <w:gridCol w:w="36"/>
      </w:tblGrid>
      <w:tr w:rsidR="00000000">
        <w:trPr>
          <w:divId w:val="464083958"/>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08395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6408395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08395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64083958"/>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127751061"/>
        <w:rPr>
          <w:rFonts w:eastAsia="Times New Roman"/>
        </w:rPr>
      </w:pPr>
    </w:p>
    <w:p w:rsidR="00000000" w:rsidRDefault="00C56D69">
      <w:pPr>
        <w:ind w:firstLine="360"/>
        <w:divId w:val="746072010"/>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7"/>
        <w:gridCol w:w="4777"/>
        <w:gridCol w:w="36"/>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8"/>
        <w:gridCol w:w="36"/>
        <w:gridCol w:w="36"/>
        <w:gridCol w:w="36"/>
        <w:gridCol w:w="36"/>
        <w:gridCol w:w="36"/>
        <w:gridCol w:w="36"/>
        <w:gridCol w:w="36"/>
      </w:tblGrid>
      <w:tr w:rsidR="00000000">
        <w:trPr>
          <w:divId w:val="961767733"/>
        </w:trPr>
        <w:tc>
          <w:tcPr>
            <w:tcW w:w="50" w:type="pct"/>
            <w:vAlign w:val="center"/>
            <w:hideMark/>
          </w:tcPr>
          <w:p w:rsidR="00000000" w:rsidRDefault="00C56D69">
            <w:pPr>
              <w:ind w:firstLine="360"/>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996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1,093 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961767733"/>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jc w:val="center"/>
        <w:divId w:val="759713126"/>
        <w:rPr>
          <w:rFonts w:eastAsia="Times New Roman"/>
        </w:rPr>
      </w:pPr>
      <w:r>
        <w:rPr>
          <w:rFonts w:eastAsia="Times New Roman"/>
          <w:color w:val="000000"/>
          <w:sz w:val="20"/>
          <w:szCs w:val="20"/>
        </w:rPr>
        <w:t>92</w:t>
      </w:r>
    </w:p>
    <w:p w:rsidR="00000000" w:rsidRDefault="00C56D69">
      <w:pPr>
        <w:rPr>
          <w:rFonts w:eastAsia="Times New Roman"/>
        </w:rPr>
      </w:pPr>
      <w:r>
        <w:rPr>
          <w:rFonts w:eastAsia="Times New Roman"/>
        </w:rPr>
        <w:pict>
          <v:rect id="_x0000_i1118" style="width:0;height:1.5pt" o:hralign="center" o:hrstd="t" o:hr="t" fillcolor="#a0a0a0" stroked="f"/>
        </w:pict>
      </w:r>
    </w:p>
    <w:p w:rsidR="00000000" w:rsidRDefault="00C56D69">
      <w:pPr>
        <w:divId w:val="584218633"/>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4777"/>
        <w:gridCol w:w="36"/>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8"/>
        <w:gridCol w:w="36"/>
        <w:gridCol w:w="36"/>
        <w:gridCol w:w="36"/>
        <w:gridCol w:w="36"/>
        <w:gridCol w:w="36"/>
        <w:gridCol w:w="36"/>
        <w:gridCol w:w="36"/>
      </w:tblGrid>
      <w:tr w:rsidR="00000000">
        <w:trPr>
          <w:divId w:val="1857845561"/>
        </w:trPr>
        <w:tc>
          <w:tcPr>
            <w:tcW w:w="50" w:type="pct"/>
            <w:vAlign w:val="center"/>
            <w:hideMark/>
          </w:tcPr>
          <w:p w:rsidR="00000000" w:rsidRDefault="00C56D69">
            <w:pPr>
              <w:rPr>
                <w:rFonts w:eastAsia="Times New Roman"/>
              </w:rPr>
            </w:pPr>
          </w:p>
        </w:tc>
        <w:tc>
          <w:tcPr>
            <w:tcW w:w="300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Commissions and distribution related payments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1,831 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5784556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809 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812211597"/>
        <w:rPr>
          <w:rFonts w:eastAsia="Times New Roman"/>
        </w:rPr>
      </w:pPr>
    </w:p>
    <w:p w:rsidR="00000000" w:rsidRDefault="00C56D69">
      <w:pPr>
        <w:divId w:val="33971530"/>
        <w:rPr>
          <w:rFonts w:eastAsia="Times New Roman"/>
        </w:rPr>
      </w:pPr>
    </w:p>
    <w:p w:rsidR="00000000" w:rsidRDefault="00C56D69">
      <w:pPr>
        <w:ind w:firstLine="360"/>
        <w:divId w:val="1890998498"/>
        <w:rPr>
          <w:rFonts w:eastAsia="Times New Roman"/>
        </w:rPr>
      </w:pPr>
      <w:r>
        <w:rPr>
          <w:rFonts w:eastAsia="Times New Roman"/>
          <w:color w:val="000000"/>
          <w:sz w:val="20"/>
          <w:szCs w:val="20"/>
        </w:rPr>
        <w:t xml:space="preserve">Changes in AUM in the Investment Management and Research segment for the periods presented were </w:t>
      </w:r>
      <w:r>
        <w:rPr>
          <w:rFonts w:eastAsia="Times New Roman"/>
          <w:color w:val="000000"/>
          <w:sz w:val="20"/>
          <w:szCs w:val="20"/>
        </w:rPr>
        <w:t>as follows:</w:t>
      </w:r>
    </w:p>
    <w:tbl>
      <w:tblPr>
        <w:tblW w:w="4853" w:type="pct"/>
        <w:jc w:val="center"/>
        <w:tblCellMar>
          <w:top w:w="15" w:type="dxa"/>
          <w:left w:w="15" w:type="dxa"/>
          <w:bottom w:w="15" w:type="dxa"/>
          <w:right w:w="15" w:type="dxa"/>
        </w:tblCellMar>
        <w:tblLook w:val="04A0" w:firstRow="1" w:lastRow="0" w:firstColumn="1" w:lastColumn="0" w:noHBand="0" w:noVBand="1"/>
      </w:tblPr>
      <w:tblGrid>
        <w:gridCol w:w="42"/>
        <w:gridCol w:w="4528"/>
        <w:gridCol w:w="38"/>
        <w:gridCol w:w="120"/>
        <w:gridCol w:w="588"/>
        <w:gridCol w:w="36"/>
        <w:gridCol w:w="36"/>
        <w:gridCol w:w="36"/>
        <w:gridCol w:w="36"/>
        <w:gridCol w:w="120"/>
        <w:gridCol w:w="588"/>
        <w:gridCol w:w="36"/>
        <w:gridCol w:w="36"/>
        <w:gridCol w:w="36"/>
        <w:gridCol w:w="36"/>
        <w:gridCol w:w="120"/>
        <w:gridCol w:w="588"/>
        <w:gridCol w:w="36"/>
        <w:gridCol w:w="36"/>
        <w:gridCol w:w="36"/>
        <w:gridCol w:w="36"/>
        <w:gridCol w:w="120"/>
        <w:gridCol w:w="526"/>
        <w:gridCol w:w="36"/>
        <w:gridCol w:w="36"/>
        <w:gridCol w:w="36"/>
        <w:gridCol w:w="36"/>
        <w:gridCol w:w="36"/>
        <w:gridCol w:w="36"/>
        <w:gridCol w:w="36"/>
      </w:tblGrid>
      <w:tr w:rsidR="00000000">
        <w:trPr>
          <w:divId w:val="437608412"/>
          <w:jc w:val="center"/>
        </w:trPr>
        <w:tc>
          <w:tcPr>
            <w:tcW w:w="50" w:type="pct"/>
            <w:vAlign w:val="center"/>
            <w:hideMark/>
          </w:tcPr>
          <w:p w:rsidR="00000000" w:rsidRDefault="00C56D69">
            <w:pPr>
              <w:ind w:firstLine="360"/>
              <w:rPr>
                <w:rFonts w:eastAsia="Times New Roman"/>
              </w:rPr>
            </w:pPr>
          </w:p>
        </w:tc>
        <w:tc>
          <w:tcPr>
            <w:tcW w:w="294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tcMar>
              <w:top w:w="30" w:type="dxa"/>
              <w:left w:w="20" w:type="dxa"/>
              <w:bottom w:w="30" w:type="dxa"/>
              <w:right w:w="20" w:type="dxa"/>
            </w:tcMar>
            <w:vAlign w:val="bottom"/>
            <w:hideMark/>
          </w:tcPr>
          <w:p w:rsidR="00000000" w:rsidRDefault="00C56D69">
            <w:pPr>
              <w:spacing w:after="100"/>
              <w:divId w:val="1757363867"/>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738.4 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(24.9)</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long-term inflows (outflows) (2)</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Adjustments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Acquisition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(175.9)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change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(165.9)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56.3 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37608412"/>
          <w:jc w:val="center"/>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612.7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612.7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618414608"/>
        <w:rPr>
          <w:rFonts w:eastAsia="Times New Roman"/>
        </w:rPr>
      </w:pPr>
      <w:r>
        <w:rPr>
          <w:rFonts w:eastAsia="Times New Roman"/>
          <w:color w:val="000000"/>
          <w:sz w:val="18"/>
          <w:szCs w:val="18"/>
        </w:rPr>
        <w:t>__________</w:t>
      </w:r>
    </w:p>
    <w:p w:rsidR="00000000" w:rsidRDefault="00C56D69">
      <w:pPr>
        <w:ind w:hanging="360"/>
        <w:divId w:val="155729856"/>
        <w:rPr>
          <w:rFonts w:eastAsia="Times New Roman"/>
        </w:rPr>
      </w:pPr>
      <w:r>
        <w:rPr>
          <w:rFonts w:eastAsia="Times New Roman"/>
          <w:color w:val="000000"/>
          <w:sz w:val="18"/>
          <w:szCs w:val="18"/>
        </w:rPr>
        <w:t>(1)Approximately $0.4 billion of Institutional AUM was removed from AB total assets under management during the second quarter 2022 due to a change in the fee structure.</w:t>
      </w:r>
    </w:p>
    <w:p w:rsidR="00000000" w:rsidRDefault="00C56D69">
      <w:pPr>
        <w:ind w:hanging="360"/>
        <w:divId w:val="1455978706"/>
        <w:rPr>
          <w:rFonts w:eastAsia="Times New Roman"/>
        </w:rPr>
      </w:pPr>
      <w:r>
        <w:rPr>
          <w:rFonts w:eastAsia="Times New Roman"/>
          <w:color w:val="000000"/>
          <w:sz w:val="18"/>
          <w:szCs w:val="18"/>
        </w:rPr>
        <w:t xml:space="preserve">(2)Institutional net </w:t>
      </w:r>
      <w:r>
        <w:rPr>
          <w:rFonts w:eastAsia="Times New Roman"/>
          <w:color w:val="000000"/>
          <w:sz w:val="18"/>
          <w:szCs w:val="18"/>
        </w:rPr>
        <w:t>flows include $3.9 billion and $4.5 billion of AXA's redemptions of certain low-fee fixed income mandates for the three and nine months ended September 30, 2022, respectively.</w:t>
      </w:r>
    </w:p>
    <w:p w:rsidR="00000000" w:rsidRDefault="00C56D69">
      <w:pPr>
        <w:ind w:hanging="360"/>
        <w:divId w:val="1043602385"/>
        <w:rPr>
          <w:rFonts w:eastAsia="Times New Roman"/>
        </w:rPr>
      </w:pPr>
      <w:r>
        <w:rPr>
          <w:rFonts w:eastAsia="Times New Roman"/>
          <w:color w:val="000000"/>
          <w:sz w:val="18"/>
          <w:szCs w:val="18"/>
        </w:rPr>
        <w:t>(3)The CarVal acquisition added approximately $12.2 billion of Institutional AUM</w:t>
      </w:r>
      <w:r>
        <w:rPr>
          <w:rFonts w:eastAsia="Times New Roman"/>
          <w:color w:val="000000"/>
          <w:sz w:val="18"/>
          <w:szCs w:val="18"/>
        </w:rPr>
        <w:t xml:space="preserve"> in the third quarter 2022.</w:t>
      </w:r>
    </w:p>
    <w:p w:rsidR="00000000" w:rsidRDefault="00C56D69">
      <w:pPr>
        <w:jc w:val="center"/>
        <w:divId w:val="766733253"/>
        <w:rPr>
          <w:rFonts w:eastAsia="Times New Roman"/>
        </w:rPr>
      </w:pPr>
      <w:r>
        <w:rPr>
          <w:rFonts w:eastAsia="Times New Roman"/>
          <w:color w:val="000000"/>
          <w:sz w:val="20"/>
          <w:szCs w:val="20"/>
        </w:rPr>
        <w:t>93</w:t>
      </w:r>
    </w:p>
    <w:p w:rsidR="00000000" w:rsidRDefault="00C56D69">
      <w:pPr>
        <w:rPr>
          <w:rFonts w:eastAsia="Times New Roman"/>
        </w:rPr>
      </w:pPr>
      <w:r>
        <w:rPr>
          <w:rFonts w:eastAsia="Times New Roman"/>
        </w:rPr>
        <w:pict>
          <v:rect id="_x0000_i1119" style="width:0;height:1.5pt" o:hralign="center" o:hrstd="t" o:hr="t" fillcolor="#a0a0a0" stroked="f"/>
        </w:pict>
      </w:r>
    </w:p>
    <w:p w:rsidR="00000000" w:rsidRDefault="00C56D69">
      <w:pPr>
        <w:divId w:val="28936220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464783617"/>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120"/>
        <w:gridCol w:w="576"/>
        <w:gridCol w:w="36"/>
        <w:gridCol w:w="36"/>
        <w:gridCol w:w="36"/>
        <w:gridCol w:w="36"/>
        <w:gridCol w:w="120"/>
        <w:gridCol w:w="576"/>
        <w:gridCol w:w="36"/>
        <w:gridCol w:w="36"/>
        <w:gridCol w:w="36"/>
        <w:gridCol w:w="36"/>
        <w:gridCol w:w="120"/>
        <w:gridCol w:w="576"/>
        <w:gridCol w:w="36"/>
        <w:gridCol w:w="36"/>
        <w:gridCol w:w="36"/>
        <w:gridCol w:w="36"/>
        <w:gridCol w:w="120"/>
        <w:gridCol w:w="576"/>
        <w:gridCol w:w="36"/>
        <w:gridCol w:w="36"/>
        <w:gridCol w:w="36"/>
        <w:gridCol w:w="36"/>
        <w:gridCol w:w="36"/>
        <w:gridCol w:w="36"/>
        <w:gridCol w:w="36"/>
      </w:tblGrid>
      <w:tr w:rsidR="00000000">
        <w:trPr>
          <w:divId w:val="464783617"/>
        </w:trPr>
        <w:tc>
          <w:tcPr>
            <w:tcW w:w="50" w:type="pct"/>
            <w:vAlign w:val="center"/>
            <w:hideMark/>
          </w:tcPr>
          <w:p w:rsidR="00000000" w:rsidRDefault="00C56D69">
            <w:pPr>
              <w:ind w:firstLine="360"/>
              <w:rPr>
                <w:rFonts w:eastAsia="Times New Roman"/>
              </w:rPr>
            </w:pPr>
          </w:p>
        </w:tc>
        <w:tc>
          <w:tcPr>
            <w:tcW w:w="301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tcMar>
              <w:top w:w="30" w:type="dxa"/>
              <w:left w:w="20" w:type="dxa"/>
              <w:bottom w:w="30" w:type="dxa"/>
              <w:right w:w="20" w:type="dxa"/>
            </w:tcMar>
            <w:vAlign w:val="bottom"/>
            <w:hideMark/>
          </w:tcPr>
          <w:p w:rsidR="00000000" w:rsidRDefault="00C56D69">
            <w:pPr>
              <w:spacing w:after="100"/>
              <w:divId w:val="1681808342"/>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tcMar>
              <w:top w:w="30" w:type="dxa"/>
              <w:left w:w="20" w:type="dxa"/>
              <w:bottom w:w="30" w:type="dxa"/>
              <w:right w:w="20" w:type="dxa"/>
            </w:tcMar>
            <w:vAlign w:val="bottom"/>
            <w:hideMark/>
          </w:tcPr>
          <w:p w:rsidR="00000000" w:rsidRDefault="00C56D69">
            <w:pPr>
              <w:spacing w:after="100"/>
              <w:divId w:val="1283195409"/>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297.0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312.8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323.3 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299.5 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Private Wealth</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112.4 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653.9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747.4 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699.3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719.8 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Height w:val="24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222.8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61.8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198.9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216.4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97.4 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108.6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91.2 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46478361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747.4 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699.3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719.8 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1986859818"/>
        <w:rPr>
          <w:rFonts w:eastAsia="Times New Roman"/>
        </w:rPr>
      </w:pPr>
      <w:r>
        <w:rPr>
          <w:rFonts w:eastAsia="Times New Roman"/>
          <w:color w:val="000000"/>
          <w:sz w:val="18"/>
          <w:szCs w:val="18"/>
        </w:rPr>
        <w:t>____________</w:t>
      </w:r>
    </w:p>
    <w:p w:rsidR="00000000" w:rsidRDefault="00C56D69">
      <w:pPr>
        <w:ind w:hanging="360"/>
        <w:divId w:val="1154838673"/>
        <w:rPr>
          <w:rFonts w:eastAsia="Times New Roman"/>
        </w:rPr>
      </w:pPr>
      <w:r>
        <w:rPr>
          <w:rFonts w:eastAsia="Times New Roman"/>
          <w:color w:val="000000"/>
          <w:sz w:val="18"/>
          <w:szCs w:val="18"/>
        </w:rPr>
        <w:t>(1)Includes index and enhanced index services.</w:t>
      </w:r>
    </w:p>
    <w:p w:rsidR="00000000" w:rsidRDefault="00C56D69">
      <w:pPr>
        <w:ind w:hanging="360"/>
        <w:divId w:val="152071408"/>
        <w:rPr>
          <w:rFonts w:eastAsia="Times New Roman"/>
        </w:rPr>
      </w:pPr>
      <w:r>
        <w:rPr>
          <w:rFonts w:eastAsia="Times New Roman"/>
          <w:color w:val="000000"/>
          <w:sz w:val="18"/>
          <w:szCs w:val="18"/>
        </w:rPr>
        <w:t>(2)</w:t>
      </w:r>
      <w:r>
        <w:rPr>
          <w:rFonts w:eastAsia="Times New Roman"/>
          <w:color w:val="000000"/>
          <w:sz w:val="18"/>
          <w:szCs w:val="18"/>
        </w:rPr>
        <w:t>Includes certain multi-asset solutions and services not included in equity of fixed income services.</w:t>
      </w:r>
    </w:p>
    <w:p w:rsidR="00000000" w:rsidRDefault="00C56D69">
      <w:pPr>
        <w:divId w:val="1380279400"/>
        <w:rPr>
          <w:rFonts w:eastAsia="Times New Roman"/>
        </w:rPr>
      </w:pPr>
      <w:r>
        <w:rPr>
          <w:rFonts w:eastAsia="Times New Roman"/>
          <w:b/>
          <w:bCs/>
          <w:color w:val="000000"/>
          <w:sz w:val="20"/>
          <w:szCs w:val="20"/>
        </w:rPr>
        <w:t>Three Months Ended September 30, 2022 Compared to the Three Months Ended September 30, 2021 for the Investment Management and Research Segment</w:t>
      </w:r>
    </w:p>
    <w:p w:rsidR="00000000" w:rsidRDefault="00C56D69">
      <w:pPr>
        <w:jc w:val="both"/>
        <w:divId w:val="47650857"/>
        <w:rPr>
          <w:rFonts w:eastAsia="Times New Roman"/>
        </w:rPr>
      </w:pPr>
      <w:r>
        <w:rPr>
          <w:rFonts w:eastAsia="Times New Roman"/>
          <w:b/>
          <w:bCs/>
          <w:i/>
          <w:iCs/>
          <w:color w:val="000000"/>
          <w:sz w:val="20"/>
          <w:szCs w:val="20"/>
        </w:rPr>
        <w:t>Operating ea</w:t>
      </w:r>
      <w:r>
        <w:rPr>
          <w:rFonts w:eastAsia="Times New Roman"/>
          <w:b/>
          <w:bCs/>
          <w:i/>
          <w:iCs/>
          <w:color w:val="000000"/>
          <w:sz w:val="20"/>
          <w:szCs w:val="20"/>
        </w:rPr>
        <w:t>rnings</w:t>
      </w:r>
    </w:p>
    <w:p w:rsidR="00000000" w:rsidRDefault="00C56D69">
      <w:pPr>
        <w:ind w:firstLine="360"/>
        <w:divId w:val="1690795668"/>
        <w:rPr>
          <w:rFonts w:eastAsia="Times New Roman"/>
        </w:rPr>
      </w:pPr>
      <w:r>
        <w:rPr>
          <w:rFonts w:eastAsia="Times New Roman"/>
          <w:color w:val="000000"/>
          <w:sz w:val="20"/>
          <w:szCs w:val="20"/>
        </w:rPr>
        <w:t>Operating earnings decreased $40 million to $94 million during the three months ended September 30, 2022 from $134 million during the three months ended September 30, 2021. The following notable items were the primary drivers of the change in operat</w:t>
      </w:r>
      <w:r>
        <w:rPr>
          <w:rFonts w:eastAsia="Times New Roman"/>
          <w:color w:val="000000"/>
          <w:sz w:val="20"/>
          <w:szCs w:val="20"/>
        </w:rPr>
        <w:t>ing earnings:</w:t>
      </w:r>
    </w:p>
    <w:p w:rsidR="00000000" w:rsidRDefault="00C56D69">
      <w:pPr>
        <w:divId w:val="429861903"/>
        <w:rPr>
          <w:rFonts w:eastAsia="Times New Roman"/>
        </w:rPr>
      </w:pPr>
      <w:r>
        <w:rPr>
          <w:rFonts w:eastAsia="Times New Roman"/>
          <w:color w:val="000000"/>
          <w:sz w:val="20"/>
          <w:szCs w:val="20"/>
        </w:rPr>
        <w:t>Unfavorable items included:</w:t>
      </w:r>
    </w:p>
    <w:p w:rsidR="00000000" w:rsidRDefault="00C56D69">
      <w:pPr>
        <w:ind w:hanging="180"/>
        <w:divId w:val="1096901420"/>
        <w:rPr>
          <w:rFonts w:eastAsia="Times New Roman"/>
        </w:rPr>
      </w:pPr>
      <w:r>
        <w:rPr>
          <w:rFonts w:eastAsia="Times New Roman"/>
          <w:color w:val="000000"/>
          <w:sz w:val="20"/>
          <w:szCs w:val="20"/>
        </w:rPr>
        <w:t>•Fee-type revenue decreased by $103 million primarily due to lower investment advisory base fees, distribution revenues, and Bernstein Research Services revenues. Lower investment advisory base fees and distributio</w:t>
      </w:r>
      <w:r>
        <w:rPr>
          <w:rFonts w:eastAsia="Times New Roman"/>
          <w:color w:val="000000"/>
          <w:sz w:val="20"/>
          <w:szCs w:val="20"/>
        </w:rPr>
        <w:t xml:space="preserve">n revenues were driven by lower average AUM. Lower Bernstein Research Services revenues were primarily driven by significantly lower customer trading activity in Europe and Asia due to the prevailing macro-economic environment. </w:t>
      </w:r>
    </w:p>
    <w:p w:rsidR="00000000" w:rsidRDefault="00C56D69">
      <w:pPr>
        <w:ind w:hanging="180"/>
        <w:jc w:val="both"/>
        <w:divId w:val="975599115"/>
        <w:rPr>
          <w:rFonts w:eastAsia="Times New Roman"/>
        </w:rPr>
      </w:pPr>
      <w:r>
        <w:rPr>
          <w:rFonts w:eastAsia="Times New Roman"/>
          <w:color w:val="000000"/>
          <w:sz w:val="20"/>
          <w:szCs w:val="20"/>
        </w:rPr>
        <w:t>•Compensation, benefits, in</w:t>
      </w:r>
      <w:r>
        <w:rPr>
          <w:rFonts w:eastAsia="Times New Roman"/>
          <w:color w:val="000000"/>
          <w:sz w:val="20"/>
          <w:szCs w:val="20"/>
        </w:rPr>
        <w:t>terest expense and other operating costs increased by $19 million mainly due to higher general and administrative costs.</w:t>
      </w:r>
    </w:p>
    <w:p w:rsidR="00000000" w:rsidRDefault="00C56D69">
      <w:pPr>
        <w:divId w:val="819424151"/>
        <w:rPr>
          <w:rFonts w:eastAsia="Times New Roman"/>
        </w:rPr>
      </w:pPr>
      <w:r>
        <w:rPr>
          <w:rFonts w:eastAsia="Times New Roman"/>
          <w:color w:val="000000"/>
          <w:sz w:val="20"/>
          <w:szCs w:val="20"/>
        </w:rPr>
        <w:t>These were partially offset by the following favorable items:</w:t>
      </w:r>
    </w:p>
    <w:p w:rsidR="00000000" w:rsidRDefault="00C56D69">
      <w:pPr>
        <w:ind w:hanging="180"/>
        <w:divId w:val="618727629"/>
        <w:rPr>
          <w:rFonts w:eastAsia="Times New Roman"/>
        </w:rPr>
      </w:pPr>
      <w:r>
        <w:rPr>
          <w:rFonts w:eastAsia="Times New Roman"/>
          <w:color w:val="000000"/>
          <w:sz w:val="20"/>
          <w:szCs w:val="20"/>
        </w:rPr>
        <w:t>•Commissions and distribution-related payments decreased by $35 million m</w:t>
      </w:r>
      <w:r>
        <w:rPr>
          <w:rFonts w:eastAsia="Times New Roman"/>
          <w:color w:val="000000"/>
          <w:sz w:val="20"/>
          <w:szCs w:val="20"/>
        </w:rPr>
        <w:t xml:space="preserve">ainly due to lower payments to financial intermediaries for the distribution of AB mutual funds. </w:t>
      </w:r>
    </w:p>
    <w:p w:rsidR="00000000" w:rsidRDefault="00C56D69">
      <w:pPr>
        <w:ind w:hanging="180"/>
        <w:divId w:val="832720442"/>
        <w:rPr>
          <w:rFonts w:eastAsia="Times New Roman"/>
        </w:rPr>
      </w:pPr>
      <w:r>
        <w:rPr>
          <w:rFonts w:eastAsia="Times New Roman"/>
          <w:color w:val="000000"/>
          <w:sz w:val="20"/>
          <w:szCs w:val="20"/>
        </w:rPr>
        <w:t>•Net derivative gains, net of net investment income, was favorable by $6 million. Net derivative gains increased $13 million mainly due to gains from economic</w:t>
      </w:r>
      <w:r>
        <w:rPr>
          <w:rFonts w:eastAsia="Times New Roman"/>
          <w:color w:val="000000"/>
          <w:sz w:val="20"/>
          <w:szCs w:val="20"/>
        </w:rPr>
        <w:t xml:space="preserve">ally hedging seed capital investments, partially offset by a decrease in Net investment income of $7 million mainly due to losses on the seed capital investments subject to market risk. </w:t>
      </w:r>
    </w:p>
    <w:p w:rsidR="00000000" w:rsidRDefault="00C56D69">
      <w:pPr>
        <w:ind w:hanging="180"/>
        <w:divId w:val="603803648"/>
        <w:rPr>
          <w:rFonts w:eastAsia="Times New Roman"/>
        </w:rPr>
      </w:pPr>
      <w:r>
        <w:rPr>
          <w:rFonts w:eastAsia="Times New Roman"/>
          <w:color w:val="000000"/>
          <w:sz w:val="20"/>
          <w:szCs w:val="20"/>
        </w:rPr>
        <w:t>•Earnings attributable to noncontrolling interest decreased by $26 mi</w:t>
      </w:r>
      <w:r>
        <w:rPr>
          <w:rFonts w:eastAsia="Times New Roman"/>
          <w:color w:val="000000"/>
          <w:sz w:val="20"/>
          <w:szCs w:val="20"/>
        </w:rPr>
        <w:t>llion due to lower pre-tax earnings.</w:t>
      </w:r>
    </w:p>
    <w:p w:rsidR="00000000" w:rsidRDefault="00C56D69">
      <w:pPr>
        <w:ind w:hanging="180"/>
        <w:jc w:val="both"/>
        <w:divId w:val="761219479"/>
        <w:rPr>
          <w:rFonts w:eastAsia="Times New Roman"/>
        </w:rPr>
      </w:pPr>
      <w:r>
        <w:rPr>
          <w:rFonts w:eastAsia="Times New Roman"/>
          <w:color w:val="000000"/>
          <w:sz w:val="20"/>
          <w:szCs w:val="20"/>
        </w:rPr>
        <w:t>•Income tax expense decreased by $14 million primarily due to lower pre-tax earnings.</w:t>
      </w:r>
    </w:p>
    <w:p w:rsidR="00000000" w:rsidRDefault="00C56D69">
      <w:pPr>
        <w:ind w:firstLine="720"/>
        <w:jc w:val="both"/>
        <w:divId w:val="1327436007"/>
        <w:rPr>
          <w:rFonts w:eastAsia="Times New Roman"/>
        </w:rPr>
      </w:pPr>
      <w:r>
        <w:rPr>
          <w:rFonts w:eastAsia="Times New Roman"/>
          <w:b/>
          <w:bCs/>
          <w:i/>
          <w:iCs/>
          <w:color w:val="000000"/>
          <w:sz w:val="20"/>
          <w:szCs w:val="20"/>
        </w:rPr>
        <w:t>Long-Term Net Flows and AUM</w:t>
      </w:r>
    </w:p>
    <w:p w:rsidR="00000000" w:rsidRDefault="00C56D69">
      <w:pPr>
        <w:jc w:val="center"/>
        <w:divId w:val="1821461081"/>
        <w:rPr>
          <w:rFonts w:eastAsia="Times New Roman"/>
        </w:rPr>
      </w:pPr>
      <w:r>
        <w:rPr>
          <w:rFonts w:eastAsia="Times New Roman"/>
          <w:color w:val="000000"/>
          <w:sz w:val="20"/>
          <w:szCs w:val="20"/>
        </w:rPr>
        <w:t>94</w:t>
      </w:r>
    </w:p>
    <w:p w:rsidR="00000000" w:rsidRDefault="00C56D69">
      <w:pPr>
        <w:rPr>
          <w:rFonts w:eastAsia="Times New Roman"/>
        </w:rPr>
      </w:pPr>
      <w:r>
        <w:rPr>
          <w:rFonts w:eastAsia="Times New Roman"/>
        </w:rPr>
        <w:pict>
          <v:rect id="_x0000_i1120" style="width:0;height:1.5pt" o:hralign="center" o:hrstd="t" o:hr="t" fillcolor="#a0a0a0" stroked="f"/>
        </w:pict>
      </w:r>
    </w:p>
    <w:p w:rsidR="00000000" w:rsidRDefault="00C56D69">
      <w:pPr>
        <w:divId w:val="1530683601"/>
        <w:rPr>
          <w:rFonts w:eastAsia="Times New Roman"/>
        </w:rPr>
      </w:pPr>
      <w:hyperlink w:anchor="i91a10deab42d4ca59e2a2b17dc17e22e_10" w:history="1">
        <w:r>
          <w:rPr>
            <w:rStyle w:val="a3"/>
            <w:rFonts w:eastAsia="Times New Roman"/>
            <w:b/>
            <w:bCs/>
            <w:sz w:val="20"/>
            <w:szCs w:val="20"/>
          </w:rPr>
          <w:t>Table o</w:t>
        </w:r>
        <w:r>
          <w:rPr>
            <w:rStyle w:val="a3"/>
            <w:rFonts w:eastAsia="Times New Roman"/>
            <w:b/>
            <w:bCs/>
            <w:sz w:val="20"/>
            <w:szCs w:val="20"/>
          </w:rPr>
          <w:t>f Contents</w:t>
        </w:r>
      </w:hyperlink>
    </w:p>
    <w:p w:rsidR="00000000" w:rsidRDefault="00C56D69">
      <w:pPr>
        <w:ind w:hanging="180"/>
        <w:divId w:val="116871757"/>
        <w:rPr>
          <w:rFonts w:eastAsia="Times New Roman"/>
        </w:rPr>
      </w:pPr>
      <w:r>
        <w:rPr>
          <w:rFonts w:eastAsia="Times New Roman"/>
          <w:color w:val="000000"/>
          <w:sz w:val="20"/>
          <w:szCs w:val="20"/>
          <w:shd w:val="clear" w:color="auto" w:fill="FFFFFF"/>
        </w:rPr>
        <w:t xml:space="preserve">•Total AUM as of September 30, 2022 was $612.7 billion, down $34.1 billion, or 5.3%, compared to June 30, 2022. During the third quarter 2022, AUM decreased primarily as a result of market depreciation of $35.8 billion and net outflows of $10.5 </w:t>
      </w:r>
      <w:r>
        <w:rPr>
          <w:rFonts w:eastAsia="Times New Roman"/>
          <w:color w:val="000000"/>
          <w:sz w:val="20"/>
          <w:szCs w:val="20"/>
          <w:shd w:val="clear" w:color="auto" w:fill="FFFFFF"/>
        </w:rPr>
        <w:t>billion, partially offset by the addition o</w:t>
      </w:r>
      <w:r>
        <w:rPr>
          <w:rFonts w:eastAsia="Times New Roman"/>
          <w:color w:val="000000"/>
          <w:sz w:val="20"/>
          <w:szCs w:val="20"/>
        </w:rPr>
        <w:t>f $12.2 bil</w:t>
      </w:r>
      <w:r>
        <w:rPr>
          <w:rFonts w:eastAsia="Times New Roman"/>
          <w:color w:val="000000"/>
          <w:sz w:val="20"/>
          <w:szCs w:val="20"/>
          <w:shd w:val="clear" w:color="auto" w:fill="FFFFFF"/>
        </w:rPr>
        <w:t>lion due to the acquisition of</w:t>
      </w:r>
      <w:r>
        <w:rPr>
          <w:rFonts w:eastAsia="Times New Roman"/>
          <w:color w:val="000000"/>
          <w:sz w:val="20"/>
          <w:szCs w:val="20"/>
        </w:rPr>
        <w:t xml:space="preserve"> CarVal. </w:t>
      </w:r>
      <w:r>
        <w:rPr>
          <w:rFonts w:eastAsia="Times New Roman"/>
          <w:color w:val="000000"/>
          <w:sz w:val="20"/>
          <w:szCs w:val="20"/>
          <w:shd w:val="clear" w:color="auto" w:fill="FFFFFF"/>
        </w:rPr>
        <w:t>Net outflows were due to Institution net outflows of $6.3 billion and Retail net outflows of $5.0 billion partially offset by Private Wealth net inflows of $0.8 bi</w:t>
      </w:r>
      <w:r>
        <w:rPr>
          <w:rFonts w:eastAsia="Times New Roman"/>
          <w:color w:val="000000"/>
          <w:sz w:val="20"/>
          <w:szCs w:val="20"/>
          <w:shd w:val="clear" w:color="auto" w:fill="FFFFFF"/>
        </w:rPr>
        <w:t>llion. Excluding AXA redemptions of low-fee fixed income mandates of $3.9 billion, AB generated net outflows of $6.6 billion in the third quarter 2022.</w:t>
      </w:r>
    </w:p>
    <w:p w:rsidR="00000000" w:rsidRDefault="00C56D69">
      <w:pPr>
        <w:divId w:val="1722707310"/>
        <w:rPr>
          <w:rFonts w:eastAsia="Times New Roman"/>
        </w:rPr>
      </w:pPr>
      <w:r>
        <w:rPr>
          <w:rFonts w:eastAsia="Times New Roman"/>
          <w:b/>
          <w:bCs/>
          <w:color w:val="000000"/>
          <w:sz w:val="20"/>
          <w:szCs w:val="20"/>
        </w:rPr>
        <w:t>Nine Months Ended September 30, 2022 Compared to the Nine Months Ended September 30, 2021 for the Invest</w:t>
      </w:r>
      <w:r>
        <w:rPr>
          <w:rFonts w:eastAsia="Times New Roman"/>
          <w:b/>
          <w:bCs/>
          <w:color w:val="000000"/>
          <w:sz w:val="20"/>
          <w:szCs w:val="20"/>
        </w:rPr>
        <w:t>ment Management and Research Segment</w:t>
      </w:r>
    </w:p>
    <w:p w:rsidR="00000000" w:rsidRDefault="00C56D69">
      <w:pPr>
        <w:jc w:val="both"/>
        <w:divId w:val="1047948314"/>
        <w:rPr>
          <w:rFonts w:eastAsia="Times New Roman"/>
        </w:rPr>
      </w:pPr>
      <w:r>
        <w:rPr>
          <w:rFonts w:eastAsia="Times New Roman"/>
          <w:b/>
          <w:bCs/>
          <w:i/>
          <w:iCs/>
          <w:color w:val="000000"/>
          <w:sz w:val="20"/>
          <w:szCs w:val="20"/>
          <w:shd w:val="clear" w:color="auto" w:fill="FFFFFF"/>
        </w:rPr>
        <w:t>Operating earnings</w:t>
      </w:r>
    </w:p>
    <w:p w:rsidR="00000000" w:rsidRDefault="00C56D69">
      <w:pPr>
        <w:ind w:firstLine="360"/>
        <w:divId w:val="943153395"/>
        <w:rPr>
          <w:rFonts w:eastAsia="Times New Roman"/>
        </w:rPr>
      </w:pPr>
      <w:r>
        <w:rPr>
          <w:rFonts w:eastAsia="Times New Roman"/>
          <w:color w:val="000000"/>
          <w:sz w:val="20"/>
          <w:szCs w:val="20"/>
        </w:rPr>
        <w:t>Operating earnings decreased $51 million to $330 million during the nine months ended September 30, 2022 from $381 million in the nine months ended September 30, 2021. The following notable items were the primary drivers of the change in operating earnings</w:t>
      </w:r>
      <w:r>
        <w:rPr>
          <w:rFonts w:eastAsia="Times New Roman"/>
          <w:color w:val="000000"/>
          <w:sz w:val="20"/>
          <w:szCs w:val="20"/>
        </w:rPr>
        <w:t>:</w:t>
      </w:r>
    </w:p>
    <w:p w:rsidR="00000000" w:rsidRDefault="00C56D69">
      <w:pPr>
        <w:divId w:val="1875922342"/>
        <w:rPr>
          <w:rFonts w:eastAsia="Times New Roman"/>
        </w:rPr>
      </w:pPr>
      <w:r>
        <w:rPr>
          <w:rFonts w:eastAsia="Times New Roman"/>
          <w:color w:val="000000"/>
          <w:sz w:val="20"/>
          <w:szCs w:val="20"/>
        </w:rPr>
        <w:t>Unfavorable items included:</w:t>
      </w:r>
    </w:p>
    <w:p w:rsidR="00000000" w:rsidRDefault="00C56D69">
      <w:pPr>
        <w:ind w:hanging="180"/>
        <w:divId w:val="13968849"/>
        <w:rPr>
          <w:rFonts w:eastAsia="Times New Roman"/>
        </w:rPr>
      </w:pPr>
      <w:r>
        <w:rPr>
          <w:rFonts w:eastAsia="Times New Roman"/>
          <w:color w:val="000000"/>
          <w:sz w:val="20"/>
          <w:szCs w:val="20"/>
        </w:rPr>
        <w:t xml:space="preserve">•Compensation, benefits, interest expense and other operating costs increased by $107 million mainly due to higher general and administrative costs, primarily relating to higher portfolio servicing fees, professional fees and </w:t>
      </w:r>
      <w:r>
        <w:rPr>
          <w:rFonts w:eastAsia="Times New Roman"/>
          <w:color w:val="000000"/>
          <w:sz w:val="20"/>
          <w:szCs w:val="20"/>
        </w:rPr>
        <w:t>technology fees.</w:t>
      </w:r>
    </w:p>
    <w:p w:rsidR="00000000" w:rsidRDefault="00C56D69">
      <w:pPr>
        <w:ind w:hanging="180"/>
        <w:divId w:val="1333215425"/>
        <w:rPr>
          <w:rFonts w:eastAsia="Times New Roman"/>
        </w:rPr>
      </w:pPr>
      <w:r>
        <w:rPr>
          <w:rFonts w:eastAsia="Times New Roman"/>
          <w:color w:val="000000"/>
          <w:sz w:val="20"/>
          <w:szCs w:val="20"/>
        </w:rPr>
        <w:t>•Net investment income, net of derivative gains, was unfavorable by $4 million. Net investment income decreased by $68 million mainly due to higher losses on the seed capital investments subject to market risk, offset by an increase in Net</w:t>
      </w:r>
      <w:r>
        <w:rPr>
          <w:rFonts w:eastAsia="Times New Roman"/>
          <w:color w:val="000000"/>
          <w:sz w:val="20"/>
          <w:szCs w:val="20"/>
        </w:rPr>
        <w:t xml:space="preserve"> derivative gains of $64 million mainly due to higher gains from economically hedging the seed capital investments.</w:t>
      </w:r>
    </w:p>
    <w:p w:rsidR="00000000" w:rsidRDefault="00C56D69">
      <w:pPr>
        <w:ind w:hanging="180"/>
        <w:jc w:val="both"/>
        <w:divId w:val="1454132800"/>
        <w:rPr>
          <w:rFonts w:eastAsia="Times New Roman"/>
        </w:rPr>
      </w:pPr>
      <w:r>
        <w:rPr>
          <w:rFonts w:eastAsia="Times New Roman"/>
          <w:color w:val="000000"/>
          <w:sz w:val="20"/>
          <w:szCs w:val="20"/>
        </w:rPr>
        <w:t>•Fee-type revenue decreased by $31 million primarily due to lower investment advisory base fees and Bernstein Research Services revenues, of</w:t>
      </w:r>
      <w:r>
        <w:rPr>
          <w:rFonts w:eastAsia="Times New Roman"/>
          <w:color w:val="000000"/>
          <w:sz w:val="20"/>
          <w:szCs w:val="20"/>
        </w:rPr>
        <w:t>fset by higher performance based fees. The decrease in investment advisory base fees was primarily driven by lower average AUM. The decrease in Bernstein Research Services revenues were primarily driven by significantly lower customer trading activity in E</w:t>
      </w:r>
      <w:r>
        <w:rPr>
          <w:rFonts w:eastAsia="Times New Roman"/>
          <w:color w:val="000000"/>
          <w:sz w:val="20"/>
          <w:szCs w:val="20"/>
        </w:rPr>
        <w:t>urope and Asia due to the prevailing macro-economic environment. The increase in performance based fees was primarily due to higher performance fees earned on AB’s U.S. Real Estate Funds, partially offset by lower performance fees earned on AB’s U.S. Selec</w:t>
      </w:r>
      <w:r>
        <w:rPr>
          <w:rFonts w:eastAsia="Times New Roman"/>
          <w:color w:val="000000"/>
          <w:sz w:val="20"/>
          <w:szCs w:val="20"/>
        </w:rPr>
        <w:t xml:space="preserve">t Equity Long/Short and Private Credit Fund. </w:t>
      </w:r>
    </w:p>
    <w:p w:rsidR="00000000" w:rsidRDefault="00C56D69">
      <w:pPr>
        <w:divId w:val="2083793582"/>
        <w:rPr>
          <w:rFonts w:eastAsia="Times New Roman"/>
        </w:rPr>
      </w:pPr>
      <w:r>
        <w:rPr>
          <w:rFonts w:eastAsia="Times New Roman"/>
          <w:color w:val="000000"/>
          <w:sz w:val="20"/>
          <w:szCs w:val="20"/>
        </w:rPr>
        <w:t>These were partially offset by the following favorable items:</w:t>
      </w:r>
    </w:p>
    <w:p w:rsidR="00000000" w:rsidRDefault="00C56D69">
      <w:pPr>
        <w:ind w:hanging="180"/>
        <w:divId w:val="1621261014"/>
        <w:rPr>
          <w:rFonts w:eastAsia="Times New Roman"/>
        </w:rPr>
      </w:pPr>
      <w:r>
        <w:rPr>
          <w:rFonts w:eastAsia="Times New Roman"/>
          <w:color w:val="000000"/>
          <w:sz w:val="20"/>
          <w:szCs w:val="20"/>
        </w:rPr>
        <w:t>•</w:t>
      </w:r>
      <w:r>
        <w:rPr>
          <w:rFonts w:eastAsia="Times New Roman"/>
          <w:color w:val="000000"/>
          <w:sz w:val="20"/>
          <w:szCs w:val="20"/>
        </w:rPr>
        <w:t xml:space="preserve">Commissions and distribution-related payments decreased by $30 million mainly due to lower payments to financial intermediaries for the distribution of AB mutual funds. </w:t>
      </w:r>
    </w:p>
    <w:p w:rsidR="00000000" w:rsidRDefault="00C56D69">
      <w:pPr>
        <w:ind w:hanging="180"/>
        <w:divId w:val="307055351"/>
        <w:rPr>
          <w:rFonts w:eastAsia="Times New Roman"/>
        </w:rPr>
      </w:pPr>
      <w:r>
        <w:rPr>
          <w:rFonts w:eastAsia="Times New Roman"/>
          <w:color w:val="000000"/>
          <w:sz w:val="20"/>
          <w:szCs w:val="20"/>
        </w:rPr>
        <w:t>•Earnings attributable to noncontrolling interest decreased by $40 million due to lowe</w:t>
      </w:r>
      <w:r>
        <w:rPr>
          <w:rFonts w:eastAsia="Times New Roman"/>
          <w:color w:val="000000"/>
          <w:sz w:val="20"/>
          <w:szCs w:val="20"/>
        </w:rPr>
        <w:t>r pre-tax earnings.</w:t>
      </w:r>
    </w:p>
    <w:p w:rsidR="00000000" w:rsidRDefault="00C56D69">
      <w:pPr>
        <w:ind w:hanging="180"/>
        <w:jc w:val="both"/>
        <w:divId w:val="164630997"/>
        <w:rPr>
          <w:rFonts w:eastAsia="Times New Roman"/>
        </w:rPr>
      </w:pPr>
      <w:r>
        <w:rPr>
          <w:rFonts w:eastAsia="Times New Roman"/>
          <w:color w:val="000000"/>
          <w:sz w:val="20"/>
          <w:szCs w:val="20"/>
        </w:rPr>
        <w:t>•Income tax expense decreased by $21 million due to lower pre-tax earnings.</w:t>
      </w:r>
    </w:p>
    <w:p w:rsidR="00000000" w:rsidRDefault="00C56D69">
      <w:pPr>
        <w:jc w:val="both"/>
        <w:divId w:val="513344105"/>
        <w:rPr>
          <w:rFonts w:eastAsia="Times New Roman"/>
        </w:rPr>
      </w:pPr>
      <w:r>
        <w:rPr>
          <w:rFonts w:eastAsia="Times New Roman"/>
          <w:b/>
          <w:bCs/>
          <w:i/>
          <w:iCs/>
          <w:color w:val="000000"/>
          <w:sz w:val="20"/>
          <w:szCs w:val="20"/>
        </w:rPr>
        <w:t>Long-Term Net Flows and AUM</w:t>
      </w:r>
    </w:p>
    <w:p w:rsidR="00000000" w:rsidRDefault="00C56D69">
      <w:pPr>
        <w:ind w:hanging="180"/>
        <w:divId w:val="179782657"/>
        <w:rPr>
          <w:rFonts w:eastAsia="Times New Roman"/>
        </w:rPr>
      </w:pPr>
      <w:r>
        <w:rPr>
          <w:rFonts w:eastAsia="Times New Roman"/>
          <w:color w:val="000000"/>
          <w:sz w:val="20"/>
          <w:szCs w:val="20"/>
        </w:rPr>
        <w:t>•Total AUM as of September 30, 2022 was $612.7 billion, down $165.9 billion, or 21.3%, compared to December 31, 2021, and down $129.</w:t>
      </w:r>
      <w:r>
        <w:rPr>
          <w:rFonts w:eastAsia="Times New Roman"/>
          <w:color w:val="000000"/>
          <w:sz w:val="20"/>
          <w:szCs w:val="20"/>
        </w:rPr>
        <w:t>5 billion, or 17.5%, compared to September 30, 2021. During the nine months ended September 30, 2022, AUM decreased primarily as a result of market depreciation of $175.9 billion partially offset by the addition of $12.2 billion due to the acquisition of C</w:t>
      </w:r>
      <w:r>
        <w:rPr>
          <w:rFonts w:eastAsia="Times New Roman"/>
          <w:color w:val="000000"/>
          <w:sz w:val="20"/>
          <w:szCs w:val="20"/>
        </w:rPr>
        <w:t>arVal. During the twelve months ended September 30, 2022, AUM decreased primarily as a result of market depreciation of $147.0 billion partially offset by net inflows of $5.7 billion and the addition of $12.2 billion due to the acquisition of CarVal. Exclu</w:t>
      </w:r>
      <w:r>
        <w:rPr>
          <w:rFonts w:eastAsia="Times New Roman"/>
          <w:color w:val="000000"/>
          <w:sz w:val="20"/>
          <w:szCs w:val="20"/>
        </w:rPr>
        <w:t xml:space="preserve">ding AXA redemptions of low-fee fixed income mandates of $4.5 billion, AB generated net inflows of $2.7 billion and $10.2 billion during the nine and twelve month periods ended September 30, 2022. </w:t>
      </w:r>
    </w:p>
    <w:p w:rsidR="00000000" w:rsidRDefault="00C56D69">
      <w:pPr>
        <w:ind w:hanging="180"/>
        <w:divId w:val="1952541676"/>
        <w:rPr>
          <w:rFonts w:eastAsia="Times New Roman"/>
        </w:rPr>
      </w:pPr>
      <w:r>
        <w:rPr>
          <w:rFonts w:eastAsia="Times New Roman"/>
          <w:color w:val="000000"/>
          <w:sz w:val="20"/>
          <w:szCs w:val="20"/>
        </w:rPr>
        <w:t>•During the nine months ended September 30, 2022, Retail n</w:t>
      </w:r>
      <w:r>
        <w:rPr>
          <w:rFonts w:eastAsia="Times New Roman"/>
          <w:color w:val="000000"/>
          <w:sz w:val="20"/>
          <w:szCs w:val="20"/>
        </w:rPr>
        <w:t>et outflows of $8.2 billion were offset by Institutional and Private Wealth net inflows of $4.6 billion and $1.8 billion, respectively. During the twelve months ended September 30, 2022, Institutional and Private Wealth net inflows were $5.0 billion and $2</w:t>
      </w:r>
      <w:r>
        <w:rPr>
          <w:rFonts w:eastAsia="Times New Roman"/>
          <w:color w:val="000000"/>
          <w:sz w:val="20"/>
          <w:szCs w:val="20"/>
        </w:rPr>
        <w:t xml:space="preserve">.6 billion, respectively, offset by Retail net outflows of $1.9 billion. </w:t>
      </w:r>
    </w:p>
    <w:p w:rsidR="00000000" w:rsidRDefault="00C56D69">
      <w:pPr>
        <w:ind w:hanging="180"/>
        <w:jc w:val="both"/>
        <w:divId w:val="1819573616"/>
        <w:rPr>
          <w:rFonts w:eastAsia="Times New Roman"/>
        </w:rPr>
      </w:pPr>
    </w:p>
    <w:p w:rsidR="00000000" w:rsidRDefault="00C56D69">
      <w:pPr>
        <w:jc w:val="center"/>
        <w:divId w:val="1803187908"/>
        <w:rPr>
          <w:rFonts w:eastAsia="Times New Roman"/>
        </w:rPr>
      </w:pPr>
      <w:r>
        <w:rPr>
          <w:rFonts w:eastAsia="Times New Roman"/>
          <w:color w:val="000000"/>
          <w:sz w:val="20"/>
          <w:szCs w:val="20"/>
        </w:rPr>
        <w:t>95</w:t>
      </w:r>
    </w:p>
    <w:p w:rsidR="00000000" w:rsidRDefault="00C56D69">
      <w:pPr>
        <w:rPr>
          <w:rFonts w:eastAsia="Times New Roman"/>
        </w:rPr>
      </w:pPr>
      <w:r>
        <w:rPr>
          <w:rFonts w:eastAsia="Times New Roman"/>
        </w:rPr>
        <w:pict>
          <v:rect id="_x0000_i1121" style="width:0;height:1.5pt" o:hralign="center" o:hrstd="t" o:hr="t" fillcolor="#a0a0a0" stroked="f"/>
        </w:pict>
      </w:r>
    </w:p>
    <w:p w:rsidR="00000000" w:rsidRDefault="00C56D69">
      <w:pPr>
        <w:divId w:val="190822542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803695440"/>
        <w:rPr>
          <w:rFonts w:eastAsia="Times New Roman"/>
        </w:rPr>
      </w:pPr>
      <w:r>
        <w:rPr>
          <w:rFonts w:eastAsia="Times New Roman"/>
          <w:b/>
          <w:bCs/>
          <w:color w:val="000000"/>
          <w:sz w:val="20"/>
          <w:szCs w:val="20"/>
        </w:rPr>
        <w:t>Protection Solutions</w:t>
      </w:r>
    </w:p>
    <w:p w:rsidR="00000000" w:rsidRDefault="00C56D69">
      <w:pPr>
        <w:ind w:firstLine="360"/>
        <w:divId w:val="1122840471"/>
        <w:rPr>
          <w:rFonts w:eastAsia="Times New Roman"/>
        </w:rPr>
      </w:pPr>
      <w:r>
        <w:rPr>
          <w:rFonts w:eastAsia="Times New Roman"/>
          <w:color w:val="000000"/>
          <w:sz w:val="20"/>
          <w:szCs w:val="20"/>
        </w:rPr>
        <w:t xml:space="preserve">The Protection Solutions segment includes </w:t>
      </w:r>
      <w:r>
        <w:rPr>
          <w:rFonts w:eastAsia="Times New Roman"/>
          <w:color w:val="000000"/>
          <w:sz w:val="20"/>
          <w:szCs w:val="20"/>
        </w:rPr>
        <w:t>our life insurance and employee benefits businesses. We provide a targeted range of products aimed at serving the financial needs of our clients throughout their lives, including VUL, IUL and term life products. In 2015, we entered the employee benefits ma</w:t>
      </w:r>
      <w:r>
        <w:rPr>
          <w:rFonts w:eastAsia="Times New Roman"/>
          <w:color w:val="000000"/>
          <w:sz w:val="20"/>
          <w:szCs w:val="20"/>
        </w:rPr>
        <w:t>rket and currently offer a suite of dental, vision, life, as well as short- and long-term disability insurance products to small and medium-size businesses.</w:t>
      </w:r>
    </w:p>
    <w:p w:rsidR="00000000" w:rsidRDefault="00C56D69">
      <w:pPr>
        <w:ind w:firstLine="360"/>
        <w:divId w:val="1328052239"/>
        <w:rPr>
          <w:rFonts w:eastAsia="Times New Roman"/>
        </w:rPr>
      </w:pPr>
      <w:r>
        <w:rPr>
          <w:rFonts w:eastAsia="Times New Roman"/>
          <w:color w:val="000000"/>
          <w:sz w:val="20"/>
          <w:szCs w:val="20"/>
        </w:rPr>
        <w:t>In recent years, we have refocused our product offering and distribution towards less capital inten</w:t>
      </w:r>
      <w:r>
        <w:rPr>
          <w:rFonts w:eastAsia="Times New Roman"/>
          <w:color w:val="000000"/>
          <w:sz w:val="20"/>
          <w:szCs w:val="20"/>
        </w:rPr>
        <w:t>sive, higher return accumulation and protection products. For example, in January 2021, we discontinued offering our most interest sensitive IUL product. We plan to improve our operating earnings over time through earnings generated from sales of our repos</w:t>
      </w:r>
      <w:r>
        <w:rPr>
          <w:rFonts w:eastAsia="Times New Roman"/>
          <w:color w:val="000000"/>
          <w:sz w:val="20"/>
          <w:szCs w:val="20"/>
        </w:rPr>
        <w:t>itioned product portfolio and by proactively managing and optimizing our in-force book.</w:t>
      </w:r>
    </w:p>
    <w:p w:rsidR="00000000" w:rsidRDefault="00C56D69">
      <w:pPr>
        <w:ind w:firstLine="360"/>
        <w:divId w:val="219555904"/>
        <w:rPr>
          <w:rFonts w:eastAsia="Times New Roman"/>
        </w:rPr>
      </w:pPr>
      <w:r>
        <w:rPr>
          <w:rFonts w:eastAsia="Times New Roman"/>
          <w:color w:val="000000"/>
          <w:sz w:val="20"/>
          <w:szCs w:val="20"/>
        </w:rPr>
        <w:t>The following table summarizes operating earnings (loss) of our Protection Solutions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42"/>
        <w:gridCol w:w="36"/>
        <w:gridCol w:w="120"/>
        <w:gridCol w:w="597"/>
        <w:gridCol w:w="36"/>
        <w:gridCol w:w="36"/>
        <w:gridCol w:w="36"/>
        <w:gridCol w:w="36"/>
        <w:gridCol w:w="120"/>
        <w:gridCol w:w="597"/>
        <w:gridCol w:w="36"/>
        <w:gridCol w:w="120"/>
        <w:gridCol w:w="597"/>
        <w:gridCol w:w="36"/>
        <w:gridCol w:w="36"/>
        <w:gridCol w:w="36"/>
        <w:gridCol w:w="36"/>
        <w:gridCol w:w="120"/>
        <w:gridCol w:w="544"/>
        <w:gridCol w:w="36"/>
        <w:gridCol w:w="36"/>
        <w:gridCol w:w="36"/>
        <w:gridCol w:w="36"/>
        <w:gridCol w:w="36"/>
        <w:gridCol w:w="36"/>
        <w:gridCol w:w="36"/>
      </w:tblGrid>
      <w:tr w:rsidR="00000000">
        <w:trPr>
          <w:divId w:val="2013296147"/>
        </w:trPr>
        <w:tc>
          <w:tcPr>
            <w:tcW w:w="50" w:type="pct"/>
            <w:vAlign w:val="center"/>
            <w:hideMark/>
          </w:tcPr>
          <w:p w:rsidR="00000000" w:rsidRDefault="00C56D69">
            <w:pPr>
              <w:ind w:firstLine="360"/>
              <w:rPr>
                <w:rFonts w:eastAsia="Times New Roman"/>
              </w:rPr>
            </w:pPr>
          </w:p>
        </w:tc>
        <w:tc>
          <w:tcPr>
            <w:tcW w:w="30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1329614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13296147"/>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1329614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1329614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1356421016"/>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840"/>
        <w:gridCol w:w="37"/>
        <w:gridCol w:w="120"/>
        <w:gridCol w:w="597"/>
        <w:gridCol w:w="36"/>
        <w:gridCol w:w="36"/>
        <w:gridCol w:w="36"/>
        <w:gridCol w:w="36"/>
        <w:gridCol w:w="120"/>
        <w:gridCol w:w="597"/>
        <w:gridCol w:w="36"/>
        <w:gridCol w:w="120"/>
        <w:gridCol w:w="597"/>
        <w:gridCol w:w="36"/>
        <w:gridCol w:w="36"/>
        <w:gridCol w:w="36"/>
        <w:gridCol w:w="36"/>
        <w:gridCol w:w="120"/>
        <w:gridCol w:w="544"/>
        <w:gridCol w:w="36"/>
        <w:gridCol w:w="36"/>
        <w:gridCol w:w="36"/>
        <w:gridCol w:w="36"/>
        <w:gridCol w:w="36"/>
        <w:gridCol w:w="36"/>
        <w:gridCol w:w="36"/>
      </w:tblGrid>
      <w:tr w:rsidR="00000000">
        <w:trPr>
          <w:divId w:val="511914021"/>
        </w:trPr>
        <w:tc>
          <w:tcPr>
            <w:tcW w:w="50" w:type="pct"/>
            <w:vAlign w:val="center"/>
            <w:hideMark/>
          </w:tcPr>
          <w:p w:rsidR="00000000" w:rsidRDefault="00C56D69">
            <w:pPr>
              <w:ind w:firstLine="360"/>
              <w:rPr>
                <w:rFonts w:eastAsia="Times New Roman"/>
              </w:rPr>
            </w:pPr>
          </w:p>
        </w:tc>
        <w:tc>
          <w:tcPr>
            <w:tcW w:w="30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1,493 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derivative (losses) gains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2,478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Height w:val="24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1,370 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511914021"/>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2,220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firstLine="360"/>
        <w:divId w:val="224223463"/>
        <w:rPr>
          <w:rFonts w:eastAsia="Times New Roman"/>
        </w:rPr>
      </w:pPr>
      <w:r>
        <w:rPr>
          <w:rFonts w:eastAsia="Times New Roman"/>
          <w:color w:val="000000"/>
          <w:sz w:val="20"/>
          <w:szCs w:val="20"/>
        </w:rPr>
        <w:t>The following table summarizes Protection Solutions Reserves for our Protection Solutions segment as of the dates presen</w:t>
      </w:r>
      <w:r>
        <w:rPr>
          <w:rFonts w:eastAsia="Times New Roman"/>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558"/>
        <w:gridCol w:w="36"/>
        <w:gridCol w:w="121"/>
        <w:gridCol w:w="1037"/>
        <w:gridCol w:w="36"/>
        <w:gridCol w:w="36"/>
        <w:gridCol w:w="36"/>
        <w:gridCol w:w="36"/>
        <w:gridCol w:w="120"/>
        <w:gridCol w:w="1001"/>
        <w:gridCol w:w="36"/>
        <w:gridCol w:w="36"/>
        <w:gridCol w:w="36"/>
        <w:gridCol w:w="36"/>
        <w:gridCol w:w="36"/>
        <w:gridCol w:w="36"/>
        <w:gridCol w:w="36"/>
      </w:tblGrid>
      <w:tr w:rsidR="00000000">
        <w:trPr>
          <w:divId w:val="293633284"/>
        </w:trPr>
        <w:tc>
          <w:tcPr>
            <w:tcW w:w="50" w:type="pct"/>
            <w:vAlign w:val="center"/>
            <w:hideMark/>
          </w:tcPr>
          <w:p w:rsidR="00000000" w:rsidRDefault="00C56D69">
            <w:pPr>
              <w:ind w:firstLine="360"/>
              <w:rPr>
                <w:rFonts w:eastAsia="Times New Roman"/>
              </w:rPr>
            </w:pPr>
          </w:p>
        </w:tc>
        <w:tc>
          <w:tcPr>
            <w:tcW w:w="34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18,625 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12,783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17,012 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9363328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31,026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35,637 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509104080"/>
        <w:rPr>
          <w:rFonts w:eastAsia="Times New Roman"/>
        </w:rPr>
      </w:pPr>
      <w:r>
        <w:rPr>
          <w:rFonts w:eastAsia="Times New Roman"/>
          <w:color w:val="000000"/>
          <w:sz w:val="18"/>
          <w:szCs w:val="18"/>
        </w:rPr>
        <w:t>_______________</w:t>
      </w:r>
    </w:p>
    <w:p w:rsidR="00000000" w:rsidRDefault="00C56D69">
      <w:pPr>
        <w:ind w:hanging="360"/>
        <w:divId w:val="223294116"/>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C56D69">
      <w:pPr>
        <w:jc w:val="center"/>
        <w:divId w:val="1431856527"/>
        <w:rPr>
          <w:rFonts w:eastAsia="Times New Roman"/>
        </w:rPr>
      </w:pPr>
      <w:r>
        <w:rPr>
          <w:rFonts w:eastAsia="Times New Roman"/>
          <w:color w:val="000000"/>
          <w:sz w:val="20"/>
          <w:szCs w:val="20"/>
        </w:rPr>
        <w:t>96</w:t>
      </w:r>
    </w:p>
    <w:p w:rsidR="00000000" w:rsidRDefault="00C56D69">
      <w:pPr>
        <w:rPr>
          <w:rFonts w:eastAsia="Times New Roman"/>
        </w:rPr>
      </w:pPr>
      <w:r>
        <w:rPr>
          <w:rFonts w:eastAsia="Times New Roman"/>
        </w:rPr>
        <w:pict>
          <v:rect id="_x0000_i1122" style="width:0;height:1.5pt" o:hralign="center" o:hrstd="t" o:hr="t" fillcolor="#a0a0a0" stroked="f"/>
        </w:pict>
      </w:r>
    </w:p>
    <w:p w:rsidR="00000000" w:rsidRDefault="00C56D69">
      <w:pPr>
        <w:divId w:val="23771333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987369271"/>
        <w:rPr>
          <w:rFonts w:eastAsia="Times New Roman"/>
        </w:rPr>
      </w:pPr>
      <w:r>
        <w:rPr>
          <w:rFonts w:eastAsia="Times New Roman"/>
          <w:color w:val="000000"/>
          <w:sz w:val="20"/>
          <w:szCs w:val="20"/>
        </w:rPr>
        <w:t>The following table presents our in-force face amounts for the periods indicated, respectively, for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463"/>
        <w:gridCol w:w="36"/>
        <w:gridCol w:w="121"/>
        <w:gridCol w:w="1037"/>
        <w:gridCol w:w="36"/>
        <w:gridCol w:w="36"/>
        <w:gridCol w:w="36"/>
        <w:gridCol w:w="36"/>
        <w:gridCol w:w="121"/>
        <w:gridCol w:w="1095"/>
        <w:gridCol w:w="36"/>
        <w:gridCol w:w="36"/>
        <w:gridCol w:w="36"/>
        <w:gridCol w:w="36"/>
        <w:gridCol w:w="36"/>
        <w:gridCol w:w="36"/>
        <w:gridCol w:w="36"/>
      </w:tblGrid>
      <w:tr w:rsidR="00000000">
        <w:trPr>
          <w:divId w:val="1717774776"/>
        </w:trPr>
        <w:tc>
          <w:tcPr>
            <w:tcW w:w="50" w:type="pct"/>
            <w:vAlign w:val="center"/>
            <w:hideMark/>
          </w:tcPr>
          <w:p w:rsidR="00000000" w:rsidRDefault="00C56D69">
            <w:pPr>
              <w:ind w:firstLine="360"/>
              <w:rPr>
                <w:rFonts w:eastAsia="Times New Roman"/>
              </w:rPr>
            </w:pPr>
          </w:p>
        </w:tc>
        <w:tc>
          <w:tcPr>
            <w:tcW w:w="340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7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CCEEFF"/>
            <w:tcMar>
              <w:top w:w="30" w:type="dxa"/>
              <w:left w:w="20" w:type="dxa"/>
              <w:bottom w:w="30" w:type="dxa"/>
              <w:right w:w="20" w:type="dxa"/>
            </w:tcMar>
            <w:hideMark/>
          </w:tcPr>
          <w:p w:rsidR="00000000" w:rsidRDefault="00C56D69">
            <w:pPr>
              <w:spacing w:after="100"/>
              <w:divId w:val="1163006215"/>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FFFFFF"/>
            <w:tcMar>
              <w:top w:w="30" w:type="dxa"/>
              <w:left w:w="20" w:type="dxa"/>
              <w:bottom w:w="30" w:type="dxa"/>
              <w:right w:w="20" w:type="dxa"/>
            </w:tcMar>
            <w:hideMark/>
          </w:tcPr>
          <w:p w:rsidR="00000000" w:rsidRDefault="00C56D69">
            <w:pPr>
              <w:spacing w:after="100"/>
              <w:divId w:val="952439547"/>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CCEEFF"/>
            <w:tcMar>
              <w:top w:w="30" w:type="dxa"/>
              <w:left w:w="20" w:type="dxa"/>
              <w:bottom w:w="30" w:type="dxa"/>
              <w:right w:w="20" w:type="dxa"/>
            </w:tcMar>
            <w:hideMark/>
          </w:tcPr>
          <w:p w:rsidR="00000000" w:rsidRDefault="00C56D69">
            <w:pPr>
              <w:spacing w:after="100"/>
              <w:divId w:val="1153913222"/>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FFFFFF"/>
            <w:tcMar>
              <w:top w:w="30" w:type="dxa"/>
              <w:left w:w="20" w:type="dxa"/>
              <w:bottom w:w="30" w:type="dxa"/>
              <w:right w:w="20" w:type="dxa"/>
            </w:tcMar>
            <w:hideMark/>
          </w:tcPr>
          <w:p w:rsidR="00000000" w:rsidRDefault="00C56D69">
            <w:pPr>
              <w:spacing w:after="100"/>
              <w:divId w:val="448086284"/>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CCEEFF"/>
            <w:tcMar>
              <w:top w:w="30" w:type="dxa"/>
              <w:left w:w="20" w:type="dxa"/>
              <w:bottom w:w="30" w:type="dxa"/>
              <w:right w:w="20" w:type="dxa"/>
            </w:tcMar>
            <w:hideMark/>
          </w:tcPr>
          <w:p w:rsidR="00000000" w:rsidRDefault="00C56D69">
            <w:pPr>
              <w:spacing w:after="100"/>
              <w:divId w:val="1991515513"/>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717774776"/>
        </w:trPr>
        <w:tc>
          <w:tcPr>
            <w:tcW w:w="0" w:type="auto"/>
            <w:gridSpan w:val="3"/>
            <w:shd w:val="clear" w:color="auto" w:fill="FFFFFF"/>
            <w:tcMar>
              <w:top w:w="30" w:type="dxa"/>
              <w:left w:w="14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418.3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ind w:hanging="360"/>
        <w:divId w:val="2093618128"/>
        <w:rPr>
          <w:rFonts w:eastAsia="Times New Roman"/>
        </w:rPr>
      </w:pPr>
      <w:r>
        <w:rPr>
          <w:rFonts w:eastAsia="Times New Roman"/>
          <w:color w:val="000000"/>
          <w:sz w:val="18"/>
          <w:szCs w:val="18"/>
        </w:rPr>
        <w:t>_______________</w:t>
      </w:r>
    </w:p>
    <w:p w:rsidR="00000000" w:rsidRDefault="00C56D69">
      <w:pPr>
        <w:ind w:hanging="360"/>
        <w:divId w:val="683942350"/>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C56D69">
      <w:pPr>
        <w:ind w:hanging="360"/>
        <w:divId w:val="1610703059"/>
        <w:rPr>
          <w:rFonts w:eastAsia="Times New Roman"/>
        </w:rPr>
      </w:pPr>
      <w:r>
        <w:rPr>
          <w:rFonts w:eastAsia="Times New Roman"/>
          <w:color w:val="000000"/>
          <w:sz w:val="18"/>
          <w:szCs w:val="18"/>
        </w:rPr>
        <w:t>(2)UL includes GUL.</w:t>
      </w:r>
    </w:p>
    <w:p w:rsidR="00000000" w:rsidRDefault="00C56D69">
      <w:pPr>
        <w:ind w:hanging="360"/>
        <w:divId w:val="843400299"/>
        <w:rPr>
          <w:rFonts w:eastAsia="Times New Roman"/>
        </w:rPr>
      </w:pPr>
      <w:r>
        <w:rPr>
          <w:rFonts w:eastAsia="Times New Roman"/>
          <w:color w:val="000000"/>
          <w:sz w:val="18"/>
          <w:szCs w:val="18"/>
        </w:rPr>
        <w:t>(3)VUL includes VL and COLI.</w:t>
      </w:r>
    </w:p>
    <w:p w:rsidR="00000000" w:rsidRDefault="00C56D69">
      <w:pPr>
        <w:jc w:val="center"/>
        <w:divId w:val="1323896204"/>
        <w:rPr>
          <w:rFonts w:eastAsia="Times New Roman"/>
        </w:rPr>
      </w:pPr>
      <w:r>
        <w:rPr>
          <w:rFonts w:eastAsia="Times New Roman"/>
          <w:color w:val="000000"/>
          <w:sz w:val="20"/>
          <w:szCs w:val="20"/>
        </w:rPr>
        <w:t>97</w:t>
      </w:r>
    </w:p>
    <w:p w:rsidR="00000000" w:rsidRDefault="00C56D69">
      <w:pPr>
        <w:rPr>
          <w:rFonts w:eastAsia="Times New Roman"/>
        </w:rPr>
      </w:pPr>
      <w:r>
        <w:rPr>
          <w:rFonts w:eastAsia="Times New Roman"/>
        </w:rPr>
        <w:pict>
          <v:rect id="_x0000_i1123" style="width:0;height:1.5pt" o:hralign="center" o:hrstd="t" o:hr="t" fillcolor="#a0a0a0" stroked="f"/>
        </w:pict>
      </w:r>
    </w:p>
    <w:p w:rsidR="00000000" w:rsidRDefault="00C56D69">
      <w:pPr>
        <w:divId w:val="4976557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2056539526"/>
        <w:rPr>
          <w:rFonts w:eastAsia="Times New Roman"/>
        </w:rPr>
      </w:pPr>
      <w:r>
        <w:rPr>
          <w:rFonts w:eastAsia="Times New Roman"/>
          <w:b/>
          <w:bCs/>
          <w:color w:val="000000"/>
          <w:sz w:val="20"/>
          <w:szCs w:val="20"/>
        </w:rPr>
        <w:t>Three Months Ended September 30, 2022 Compared to the Three Months Ended September 30, 2021 for the Protection Solutions Segment</w:t>
      </w:r>
    </w:p>
    <w:p w:rsidR="00000000" w:rsidRDefault="00C56D69">
      <w:pPr>
        <w:jc w:val="both"/>
        <w:divId w:val="1066762193"/>
        <w:rPr>
          <w:rFonts w:eastAsia="Times New Roman"/>
        </w:rPr>
      </w:pPr>
      <w:r>
        <w:rPr>
          <w:rFonts w:eastAsia="Times New Roman"/>
          <w:b/>
          <w:bCs/>
          <w:i/>
          <w:iCs/>
          <w:color w:val="000000"/>
          <w:sz w:val="20"/>
          <w:szCs w:val="20"/>
        </w:rPr>
        <w:t>Operating earnings (loss)</w:t>
      </w:r>
    </w:p>
    <w:p w:rsidR="00000000" w:rsidRDefault="00C56D69">
      <w:pPr>
        <w:ind w:firstLine="360"/>
        <w:divId w:val="742332357"/>
        <w:rPr>
          <w:rFonts w:eastAsia="Times New Roman"/>
        </w:rPr>
      </w:pPr>
      <w:r>
        <w:rPr>
          <w:rFonts w:eastAsia="Times New Roman"/>
          <w:color w:val="000000"/>
          <w:sz w:val="20"/>
          <w:szCs w:val="20"/>
          <w:shd w:val="clear" w:color="auto" w:fill="FFFFFF"/>
        </w:rPr>
        <w:t>Operating ea</w:t>
      </w:r>
      <w:r>
        <w:rPr>
          <w:rFonts w:eastAsia="Times New Roman"/>
          <w:color w:val="000000"/>
          <w:sz w:val="20"/>
          <w:szCs w:val="20"/>
        </w:rPr>
        <w:t>rnings decreased by $88 mill</w:t>
      </w:r>
      <w:r>
        <w:rPr>
          <w:rFonts w:eastAsia="Times New Roman"/>
          <w:color w:val="000000"/>
          <w:sz w:val="20"/>
          <w:szCs w:val="20"/>
        </w:rPr>
        <w:t>ion to $72 million during the three months ended September 30, 2022 from $160 million in the three months ended September 30, 2021. The following notable items were the primary drivers of the change in operating earnings:</w:t>
      </w:r>
    </w:p>
    <w:p w:rsidR="00000000" w:rsidRDefault="00C56D69">
      <w:pPr>
        <w:ind w:firstLine="360"/>
        <w:divId w:val="1991984859"/>
        <w:rPr>
          <w:rFonts w:eastAsia="Times New Roman"/>
        </w:rPr>
      </w:pPr>
      <w:r>
        <w:rPr>
          <w:rFonts w:eastAsia="Times New Roman"/>
          <w:color w:val="000000"/>
          <w:sz w:val="20"/>
          <w:szCs w:val="20"/>
          <w:shd w:val="clear" w:color="auto" w:fill="FFFFFF"/>
        </w:rPr>
        <w:t>Unfavorable items included:</w:t>
      </w:r>
    </w:p>
    <w:p w:rsidR="00000000" w:rsidRDefault="00C56D69">
      <w:pPr>
        <w:ind w:hanging="360"/>
        <w:divId w:val="1342850941"/>
        <w:rPr>
          <w:rFonts w:eastAsia="Times New Roman"/>
        </w:rPr>
      </w:pPr>
      <w:r>
        <w:rPr>
          <w:rFonts w:ascii="Arial" w:eastAsia="Times New Roman" w:hAnsi="Arial" w:cs="Arial"/>
          <w:color w:val="000000"/>
          <w:sz w:val="22"/>
          <w:szCs w:val="22"/>
        </w:rPr>
        <w:t>•</w:t>
      </w:r>
      <w:r>
        <w:rPr>
          <w:rFonts w:eastAsia="Times New Roman"/>
          <w:color w:val="000000"/>
          <w:sz w:val="20"/>
          <w:szCs w:val="20"/>
        </w:rPr>
        <w:t>Net i</w:t>
      </w:r>
      <w:r>
        <w:rPr>
          <w:rFonts w:eastAsia="Times New Roman"/>
          <w:color w:val="000000"/>
          <w:sz w:val="20"/>
          <w:szCs w:val="20"/>
        </w:rPr>
        <w:t>nvestment income decreased by $58 million mainly due to lower alternative investment income and lower prepayments partially offset by higher income from floating rate securities, higher asset balances and GA optimization.</w:t>
      </w:r>
    </w:p>
    <w:p w:rsidR="00000000" w:rsidRDefault="00C56D69">
      <w:pPr>
        <w:ind w:hanging="360"/>
        <w:divId w:val="310594867"/>
        <w:rPr>
          <w:rFonts w:eastAsia="Times New Roman"/>
        </w:rPr>
      </w:pPr>
      <w:r>
        <w:rPr>
          <w:rFonts w:eastAsia="Times New Roman"/>
          <w:color w:val="000000"/>
          <w:sz w:val="20"/>
          <w:szCs w:val="20"/>
        </w:rPr>
        <w:t>•Policyholders’ benefits increased</w:t>
      </w:r>
      <w:r>
        <w:rPr>
          <w:rFonts w:eastAsia="Times New Roman"/>
          <w:color w:val="000000"/>
          <w:sz w:val="20"/>
          <w:szCs w:val="20"/>
        </w:rPr>
        <w:t xml:space="preserve"> by $22 million mainly due to less favorable assumption updates in 2022 compared to 2021 and higher benefits due to strong growth in Employee Benefits, partially offset by lower Term mortality in 2022 compared to 2021 and lower accrual for PFBL reserves.</w:t>
      </w:r>
    </w:p>
    <w:p w:rsidR="00000000" w:rsidRDefault="00C56D69">
      <w:pPr>
        <w:ind w:hanging="360"/>
        <w:divId w:val="1079064025"/>
        <w:rPr>
          <w:rFonts w:eastAsia="Times New Roman"/>
        </w:rPr>
      </w:pPr>
      <w:r>
        <w:rPr>
          <w:rFonts w:eastAsia="Times New Roman"/>
          <w:color w:val="000000"/>
          <w:sz w:val="20"/>
          <w:szCs w:val="20"/>
        </w:rPr>
        <w:t>•</w:t>
      </w:r>
      <w:r>
        <w:rPr>
          <w:rFonts w:eastAsia="Times New Roman"/>
          <w:color w:val="000000"/>
          <w:sz w:val="20"/>
          <w:szCs w:val="20"/>
        </w:rPr>
        <w:t>Compensation, benefits and other operating costs and expenses increased by $18 million mainly due to higher performance share expense due to equity returns, and restricted stock expense.</w:t>
      </w:r>
    </w:p>
    <w:p w:rsidR="00000000" w:rsidRDefault="00C56D69">
      <w:pPr>
        <w:ind w:hanging="360"/>
        <w:divId w:val="1737970952"/>
        <w:rPr>
          <w:rFonts w:eastAsia="Times New Roman"/>
        </w:rPr>
      </w:pPr>
      <w:r>
        <w:rPr>
          <w:rFonts w:eastAsia="Times New Roman"/>
          <w:color w:val="000000"/>
          <w:sz w:val="20"/>
          <w:szCs w:val="20"/>
        </w:rPr>
        <w:t>•Amortization of DAC increased by $10 million mainly due to less favo</w:t>
      </w:r>
      <w:r>
        <w:rPr>
          <w:rFonts w:eastAsia="Times New Roman"/>
          <w:color w:val="000000"/>
          <w:sz w:val="20"/>
          <w:szCs w:val="20"/>
        </w:rPr>
        <w:t>rable assumption update in 2022 compared to 2021.</w:t>
      </w:r>
    </w:p>
    <w:p w:rsidR="00000000" w:rsidRDefault="00C56D69">
      <w:pPr>
        <w:ind w:firstLine="360"/>
        <w:divId w:val="790169388"/>
        <w:rPr>
          <w:rFonts w:eastAsia="Times New Roman"/>
        </w:rPr>
      </w:pPr>
      <w:r>
        <w:rPr>
          <w:rFonts w:eastAsia="Times New Roman"/>
          <w:color w:val="000000"/>
          <w:sz w:val="20"/>
          <w:szCs w:val="20"/>
          <w:shd w:val="clear" w:color="auto" w:fill="FFFFFF"/>
        </w:rPr>
        <w:t>These were partially offset by the following favorable items:</w:t>
      </w:r>
    </w:p>
    <w:p w:rsidR="00000000" w:rsidRDefault="00C56D69">
      <w:pPr>
        <w:ind w:hanging="360"/>
        <w:divId w:val="1076442607"/>
        <w:rPr>
          <w:rFonts w:eastAsia="Times New Roman"/>
        </w:rPr>
      </w:pPr>
      <w:r>
        <w:rPr>
          <w:rFonts w:eastAsia="Times New Roman"/>
          <w:color w:val="000000"/>
          <w:sz w:val="20"/>
          <w:szCs w:val="20"/>
        </w:rPr>
        <w:t>•Fee-type revenue increased by $17 million mainly driven by higher premiums due to growth in Employee Benefits (offset in Policyholder’s benefit</w:t>
      </w:r>
      <w:r>
        <w:rPr>
          <w:rFonts w:eastAsia="Times New Roman"/>
          <w:color w:val="000000"/>
          <w:sz w:val="20"/>
          <w:szCs w:val="20"/>
        </w:rPr>
        <w:t>s).</w:t>
      </w:r>
    </w:p>
    <w:p w:rsidR="00000000" w:rsidRDefault="00C56D69">
      <w:pPr>
        <w:ind w:hanging="360"/>
        <w:jc w:val="both"/>
        <w:divId w:val="587084647"/>
        <w:rPr>
          <w:rFonts w:eastAsia="Times New Roman"/>
        </w:rPr>
      </w:pPr>
      <w:r>
        <w:rPr>
          <w:rFonts w:eastAsia="Times New Roman"/>
          <w:color w:val="000000"/>
          <w:sz w:val="20"/>
          <w:szCs w:val="20"/>
        </w:rPr>
        <w:t>•Income tax expense decreased by $15 million primarily due to lower pre-tax earnings, partially offset by a higher effective tax rate in 2022.</w:t>
      </w:r>
    </w:p>
    <w:p w:rsidR="00000000" w:rsidRDefault="00C56D69">
      <w:pPr>
        <w:divId w:val="8604766"/>
        <w:rPr>
          <w:rFonts w:eastAsia="Times New Roman"/>
        </w:rPr>
      </w:pPr>
      <w:r>
        <w:rPr>
          <w:rFonts w:eastAsia="Times New Roman"/>
          <w:b/>
          <w:bCs/>
          <w:color w:val="000000"/>
          <w:sz w:val="20"/>
          <w:szCs w:val="20"/>
        </w:rPr>
        <w:t xml:space="preserve">Nine Months Ended September 30, 2022 Compared to the Nine Months Ended September 30, 2021 for the Protection </w:t>
      </w:r>
      <w:r>
        <w:rPr>
          <w:rFonts w:eastAsia="Times New Roman"/>
          <w:b/>
          <w:bCs/>
          <w:color w:val="000000"/>
          <w:sz w:val="20"/>
          <w:szCs w:val="20"/>
        </w:rPr>
        <w:t>Solutions Segment</w:t>
      </w:r>
    </w:p>
    <w:p w:rsidR="00000000" w:rsidRDefault="00C56D69">
      <w:pPr>
        <w:jc w:val="both"/>
        <w:divId w:val="1585340492"/>
        <w:rPr>
          <w:rFonts w:eastAsia="Times New Roman"/>
        </w:rPr>
      </w:pPr>
      <w:r>
        <w:rPr>
          <w:rFonts w:eastAsia="Times New Roman"/>
          <w:b/>
          <w:bCs/>
          <w:i/>
          <w:iCs/>
          <w:color w:val="000000"/>
          <w:sz w:val="20"/>
          <w:szCs w:val="20"/>
          <w:shd w:val="clear" w:color="auto" w:fill="FFFFFF"/>
        </w:rPr>
        <w:t>Operating earnings</w:t>
      </w:r>
    </w:p>
    <w:p w:rsidR="00000000" w:rsidRDefault="00C56D69">
      <w:pPr>
        <w:ind w:firstLine="360"/>
        <w:divId w:val="2013220666"/>
        <w:rPr>
          <w:rFonts w:eastAsia="Times New Roman"/>
        </w:rPr>
      </w:pPr>
      <w:r>
        <w:rPr>
          <w:rFonts w:eastAsia="Times New Roman"/>
          <w:color w:val="000000"/>
          <w:sz w:val="20"/>
          <w:szCs w:val="20"/>
          <w:shd w:val="clear" w:color="auto" w:fill="FFFFFF"/>
        </w:rPr>
        <w:t>Operating ear</w:t>
      </w:r>
      <w:r>
        <w:rPr>
          <w:rFonts w:eastAsia="Times New Roman"/>
          <w:color w:val="000000"/>
          <w:sz w:val="20"/>
          <w:szCs w:val="20"/>
        </w:rPr>
        <w:t>nings decreased $56 million to $208 million during the nine months ended September 30, 2022 from $264 million in the nine months ended September 30, 2021. The following notable items were the primary drivers of the change in operating earnings:</w:t>
      </w:r>
    </w:p>
    <w:p w:rsidR="00000000" w:rsidRDefault="00C56D69">
      <w:pPr>
        <w:divId w:val="1932277083"/>
        <w:rPr>
          <w:rFonts w:eastAsia="Times New Roman"/>
        </w:rPr>
      </w:pPr>
      <w:r>
        <w:rPr>
          <w:rFonts w:eastAsia="Times New Roman"/>
          <w:color w:val="000000"/>
          <w:sz w:val="20"/>
          <w:szCs w:val="20"/>
        </w:rPr>
        <w:t>Unfavorable</w:t>
      </w:r>
      <w:r>
        <w:rPr>
          <w:rFonts w:eastAsia="Times New Roman"/>
          <w:color w:val="000000"/>
          <w:sz w:val="20"/>
          <w:szCs w:val="20"/>
        </w:rPr>
        <w:t xml:space="preserve"> items included:</w:t>
      </w:r>
    </w:p>
    <w:p w:rsidR="00000000" w:rsidRDefault="00C56D69">
      <w:pPr>
        <w:ind w:hanging="270"/>
        <w:divId w:val="154760954"/>
        <w:rPr>
          <w:rFonts w:eastAsia="Times New Roman"/>
        </w:rPr>
      </w:pPr>
      <w:r>
        <w:rPr>
          <w:rFonts w:eastAsia="Times New Roman"/>
          <w:color w:val="000000"/>
          <w:sz w:val="20"/>
          <w:szCs w:val="20"/>
        </w:rPr>
        <w:t xml:space="preserve">•Net investment income decreased by $67 million mainly due to lower alternative investment income and lower prepayments partially offset by higher income from floating rate securities, TIPS and GA optimization </w:t>
      </w:r>
    </w:p>
    <w:p w:rsidR="00000000" w:rsidRDefault="00C56D69">
      <w:pPr>
        <w:ind w:hanging="270"/>
        <w:divId w:val="26222756"/>
        <w:rPr>
          <w:rFonts w:eastAsia="Times New Roman"/>
        </w:rPr>
      </w:pPr>
      <w:r>
        <w:rPr>
          <w:rFonts w:eastAsia="Times New Roman"/>
          <w:color w:val="000000"/>
          <w:sz w:val="20"/>
          <w:szCs w:val="20"/>
        </w:rPr>
        <w:t xml:space="preserve">•Compensation, benefits and </w:t>
      </w:r>
      <w:r>
        <w:rPr>
          <w:rFonts w:eastAsia="Times New Roman"/>
          <w:color w:val="000000"/>
          <w:sz w:val="20"/>
          <w:szCs w:val="20"/>
        </w:rPr>
        <w:t>other operating costs and expenses increased by $25 million mainly due to higher performance share expense due to equity returns, and an increase in subadvisory fees and consulting expenses.</w:t>
      </w:r>
    </w:p>
    <w:p w:rsidR="00000000" w:rsidRDefault="00C56D69">
      <w:pPr>
        <w:ind w:hanging="270"/>
        <w:divId w:val="944656997"/>
        <w:rPr>
          <w:rFonts w:eastAsia="Times New Roman"/>
        </w:rPr>
      </w:pPr>
      <w:r>
        <w:rPr>
          <w:rFonts w:eastAsia="Times New Roman"/>
          <w:color w:val="000000"/>
          <w:sz w:val="20"/>
          <w:szCs w:val="20"/>
        </w:rPr>
        <w:t xml:space="preserve">•Amortization of DAC increased by $15 million mainly due to less </w:t>
      </w:r>
      <w:r>
        <w:rPr>
          <w:rFonts w:eastAsia="Times New Roman"/>
          <w:color w:val="000000"/>
          <w:sz w:val="20"/>
          <w:szCs w:val="20"/>
        </w:rPr>
        <w:t>favorable assumption updates in 2022 compared to 2021.</w:t>
      </w:r>
    </w:p>
    <w:p w:rsidR="00000000" w:rsidRDefault="00C56D69">
      <w:pPr>
        <w:ind w:hanging="270"/>
        <w:jc w:val="both"/>
        <w:divId w:val="439491880"/>
        <w:rPr>
          <w:rFonts w:eastAsia="Times New Roman"/>
        </w:rPr>
      </w:pPr>
      <w:r>
        <w:rPr>
          <w:rFonts w:eastAsia="Times New Roman"/>
          <w:color w:val="000000"/>
          <w:sz w:val="20"/>
          <w:szCs w:val="20"/>
        </w:rPr>
        <w:t>•Commissions and distribution-related payments increased by $12 million mainly due to higher sales of Employee Benefits products.</w:t>
      </w:r>
    </w:p>
    <w:p w:rsidR="00000000" w:rsidRDefault="00C56D69">
      <w:pPr>
        <w:ind w:firstLine="90"/>
        <w:divId w:val="148252908"/>
        <w:rPr>
          <w:rFonts w:eastAsia="Times New Roman"/>
        </w:rPr>
      </w:pPr>
      <w:r>
        <w:rPr>
          <w:rFonts w:eastAsia="Times New Roman"/>
          <w:color w:val="000000"/>
          <w:sz w:val="20"/>
          <w:szCs w:val="20"/>
          <w:shd w:val="clear" w:color="auto" w:fill="FFFFFF"/>
        </w:rPr>
        <w:t>These were partially offset by the following favorable items:</w:t>
      </w:r>
    </w:p>
    <w:p w:rsidR="00000000" w:rsidRDefault="00C56D69">
      <w:pPr>
        <w:ind w:hanging="270"/>
        <w:divId w:val="1914388386"/>
        <w:rPr>
          <w:rFonts w:eastAsia="Times New Roman"/>
        </w:rPr>
      </w:pPr>
      <w:r>
        <w:rPr>
          <w:rFonts w:eastAsia="Times New Roman"/>
          <w:color w:val="000000"/>
          <w:sz w:val="20"/>
          <w:szCs w:val="20"/>
        </w:rPr>
        <w:t>•Fee-type revenue increased by $49 million mainly driven by higher premiums due to growth in Employee Benefits (offset in Policyholder’s benefits).</w:t>
      </w:r>
    </w:p>
    <w:p w:rsidR="00000000" w:rsidRDefault="00C56D69">
      <w:pPr>
        <w:ind w:hanging="270"/>
        <w:divId w:val="1428698770"/>
        <w:rPr>
          <w:rFonts w:eastAsia="Times New Roman"/>
        </w:rPr>
      </w:pPr>
      <w:r>
        <w:rPr>
          <w:rFonts w:eastAsia="Times New Roman"/>
          <w:color w:val="000000"/>
          <w:sz w:val="20"/>
          <w:szCs w:val="20"/>
        </w:rPr>
        <w:t>•Policyholders’ benefits decreased by $6 milli</w:t>
      </w:r>
      <w:r>
        <w:rPr>
          <w:rFonts w:eastAsia="Times New Roman"/>
          <w:color w:val="000000"/>
          <w:sz w:val="20"/>
          <w:szCs w:val="20"/>
        </w:rPr>
        <w:t>on mainly due to lower mortality in 2022 compared to 2021 and lower PFBL reserves, partially offset by a higher increase in EB reserves.</w:t>
      </w:r>
    </w:p>
    <w:p w:rsidR="00000000" w:rsidRDefault="00C56D69">
      <w:pPr>
        <w:ind w:hanging="270"/>
        <w:jc w:val="both"/>
        <w:divId w:val="629093722"/>
        <w:rPr>
          <w:rFonts w:eastAsia="Times New Roman"/>
        </w:rPr>
      </w:pPr>
      <w:r>
        <w:rPr>
          <w:rFonts w:eastAsia="Times New Roman"/>
          <w:color w:val="000000"/>
          <w:sz w:val="20"/>
          <w:szCs w:val="20"/>
        </w:rPr>
        <w:t>•Income tax expense decreased by $5 million primarily due to lower pre-tax earnings, partially offset by a higher effec</w:t>
      </w:r>
      <w:r>
        <w:rPr>
          <w:rFonts w:eastAsia="Times New Roman"/>
          <w:color w:val="000000"/>
          <w:sz w:val="20"/>
          <w:szCs w:val="20"/>
        </w:rPr>
        <w:t>tive tax rate in 2022.</w:t>
      </w:r>
    </w:p>
    <w:p w:rsidR="00000000" w:rsidRDefault="00C56D69">
      <w:pPr>
        <w:jc w:val="center"/>
        <w:divId w:val="1626886639"/>
        <w:rPr>
          <w:rFonts w:eastAsia="Times New Roman"/>
        </w:rPr>
      </w:pPr>
      <w:r>
        <w:rPr>
          <w:rFonts w:eastAsia="Times New Roman"/>
          <w:color w:val="000000"/>
          <w:sz w:val="20"/>
          <w:szCs w:val="20"/>
        </w:rPr>
        <w:t>98</w:t>
      </w:r>
    </w:p>
    <w:p w:rsidR="00000000" w:rsidRDefault="00C56D69">
      <w:pPr>
        <w:rPr>
          <w:rFonts w:eastAsia="Times New Roman"/>
        </w:rPr>
      </w:pPr>
      <w:r>
        <w:rPr>
          <w:rFonts w:eastAsia="Times New Roman"/>
        </w:rPr>
        <w:pict>
          <v:rect id="_x0000_i1124" style="width:0;height:1.5pt" o:hralign="center" o:hrstd="t" o:hr="t" fillcolor="#a0a0a0" stroked="f"/>
        </w:pict>
      </w:r>
    </w:p>
    <w:p w:rsidR="00000000" w:rsidRDefault="00C56D69">
      <w:pPr>
        <w:divId w:val="43393752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2099209791"/>
        <w:rPr>
          <w:rFonts w:eastAsia="Times New Roman"/>
        </w:rPr>
      </w:pPr>
      <w:r>
        <w:rPr>
          <w:rFonts w:eastAsia="Times New Roman"/>
          <w:b/>
          <w:bCs/>
          <w:color w:val="000000"/>
          <w:sz w:val="20"/>
          <w:szCs w:val="20"/>
        </w:rPr>
        <w:t>Corporate and Other</w:t>
      </w:r>
    </w:p>
    <w:p w:rsidR="00000000" w:rsidRDefault="00C56D69">
      <w:pPr>
        <w:ind w:firstLine="360"/>
        <w:divId w:val="609356515"/>
        <w:rPr>
          <w:rFonts w:eastAsia="Times New Roman"/>
        </w:rPr>
      </w:pPr>
      <w:r>
        <w:rPr>
          <w:rFonts w:eastAsia="Times New Roman"/>
          <w:color w:val="000000"/>
          <w:sz w:val="20"/>
          <w:szCs w:val="20"/>
        </w:rPr>
        <w:t>Corporate and Other includes some of our financing and investment expenses. It also includes: Equ</w:t>
      </w:r>
      <w:r>
        <w:rPr>
          <w:rFonts w:eastAsia="Times New Roman"/>
          <w:color w:val="000000"/>
          <w:sz w:val="20"/>
          <w:szCs w:val="20"/>
        </w:rPr>
        <w:t xml:space="preserve">itable Advisors broker-dealer business, the Closed Block, run-off variable annuity reinsurance business, run-off group pension business, run-off health business, benefit plans for our employees, certain strategic investments and certain unallocated items, </w:t>
      </w:r>
      <w:r>
        <w:rPr>
          <w:rFonts w:eastAsia="Times New Roman"/>
          <w:color w:val="000000"/>
          <w:sz w:val="20"/>
          <w:szCs w:val="20"/>
        </w:rPr>
        <w:t>including capital and related investments, interest expense and financing fees and corporate expense. AB’s results of operations are reflected in the Investment Management and Research segment. Accordingly, Corporate and Other does not include any items ap</w:t>
      </w:r>
      <w:r>
        <w:rPr>
          <w:rFonts w:eastAsia="Times New Roman"/>
          <w:color w:val="000000"/>
          <w:sz w:val="20"/>
          <w:szCs w:val="20"/>
        </w:rPr>
        <w:t>plicable to AB.</w:t>
      </w:r>
    </w:p>
    <w:p w:rsidR="00000000" w:rsidRDefault="00C56D69">
      <w:pPr>
        <w:ind w:firstLine="360"/>
        <w:divId w:val="523443403"/>
        <w:rPr>
          <w:rFonts w:eastAsia="Times New Roman"/>
        </w:rPr>
      </w:pPr>
      <w:r>
        <w:rPr>
          <w:rFonts w:eastAsia="Times New Roman"/>
          <w:color w:val="000000"/>
          <w:sz w:val="20"/>
          <w:szCs w:val="20"/>
        </w:rPr>
        <w:t>The following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42"/>
        <w:gridCol w:w="36"/>
        <w:gridCol w:w="120"/>
        <w:gridCol w:w="597"/>
        <w:gridCol w:w="36"/>
        <w:gridCol w:w="36"/>
        <w:gridCol w:w="36"/>
        <w:gridCol w:w="36"/>
        <w:gridCol w:w="120"/>
        <w:gridCol w:w="597"/>
        <w:gridCol w:w="36"/>
        <w:gridCol w:w="120"/>
        <w:gridCol w:w="597"/>
        <w:gridCol w:w="36"/>
        <w:gridCol w:w="36"/>
        <w:gridCol w:w="36"/>
        <w:gridCol w:w="36"/>
        <w:gridCol w:w="120"/>
        <w:gridCol w:w="544"/>
        <w:gridCol w:w="36"/>
        <w:gridCol w:w="36"/>
        <w:gridCol w:w="36"/>
        <w:gridCol w:w="36"/>
        <w:gridCol w:w="36"/>
        <w:gridCol w:w="36"/>
        <w:gridCol w:w="36"/>
      </w:tblGrid>
      <w:tr w:rsidR="00000000">
        <w:trPr>
          <w:divId w:val="207030093"/>
        </w:trPr>
        <w:tc>
          <w:tcPr>
            <w:tcW w:w="50" w:type="pct"/>
            <w:vAlign w:val="center"/>
            <w:hideMark/>
          </w:tcPr>
          <w:p w:rsidR="00000000" w:rsidRDefault="00C56D69">
            <w:pPr>
              <w:ind w:firstLine="360"/>
              <w:rPr>
                <w:rFonts w:eastAsia="Times New Roman"/>
              </w:rPr>
            </w:pPr>
          </w:p>
        </w:tc>
        <w:tc>
          <w:tcPr>
            <w:tcW w:w="30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0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703009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7030093"/>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C56D69">
            <w:pPr>
              <w:spacing w:after="100"/>
              <w:jc w:val="center"/>
              <w:rPr>
                <w:rFonts w:eastAsia="Times New Roman"/>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07030093"/>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0703009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(218)</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bl>
    <w:p w:rsidR="00000000" w:rsidRDefault="00C56D69">
      <w:pPr>
        <w:divId w:val="485897425"/>
        <w:rPr>
          <w:rFonts w:eastAsia="Times New Roman"/>
        </w:rPr>
      </w:pPr>
      <w:r>
        <w:rPr>
          <w:rFonts w:eastAsia="Times New Roman"/>
          <w:b/>
          <w:bCs/>
          <w:color w:val="000000"/>
          <w:sz w:val="20"/>
          <w:szCs w:val="20"/>
        </w:rPr>
        <w:t>General Account Investment Portfolio</w:t>
      </w:r>
    </w:p>
    <w:p w:rsidR="00000000" w:rsidRDefault="00C56D69">
      <w:pPr>
        <w:ind w:firstLine="360"/>
        <w:divId w:val="1186211767"/>
        <w:rPr>
          <w:rFonts w:eastAsia="Times New Roman"/>
        </w:rPr>
      </w:pPr>
      <w:r>
        <w:rPr>
          <w:rFonts w:eastAsia="Times New Roman"/>
          <w:color w:val="000000"/>
          <w:sz w:val="20"/>
          <w:szCs w:val="20"/>
        </w:rPr>
        <w:t>The General Account investment portfolio is used to support the insurance and annuity liabilities of ou</w:t>
      </w:r>
      <w:r>
        <w:rPr>
          <w:rFonts w:eastAsia="Times New Roman"/>
          <w:color w:val="000000"/>
          <w:sz w:val="20"/>
          <w:szCs w:val="20"/>
        </w:rPr>
        <w:t xml:space="preserve">r Individual Retirement, Group Retirement and Protection Solutions businesses segments. In the first quarter 2022, the Company changed its methodology for allocating its General Account investment portfolio, which resulted in a change in the asset and net </w:t>
      </w:r>
      <w:r>
        <w:rPr>
          <w:rFonts w:eastAsia="Times New Roman"/>
          <w:color w:val="000000"/>
          <w:sz w:val="20"/>
          <w:szCs w:val="20"/>
        </w:rPr>
        <w:t>investment income allocation amongst the Company’s business segments. Following this change, the segmentation of the general account investments is now more closely aligned with the liability characteristics of the product groups. Management determined tha</w:t>
      </w:r>
      <w:r>
        <w:rPr>
          <w:rFonts w:eastAsia="Times New Roman"/>
          <w:color w:val="000000"/>
          <w:sz w:val="20"/>
          <w:szCs w:val="20"/>
        </w:rPr>
        <w:t>t the change in the allocation methodology allows for improved flexibility and infuses an active asset liability management practice into the segmentation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w:t>
      </w:r>
      <w:r>
        <w:rPr>
          <w:rFonts w:eastAsia="Times New Roman"/>
          <w:color w:val="000000"/>
          <w:sz w:val="20"/>
          <w:szCs w:val="20"/>
        </w:rPr>
        <w:t>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 xml:space="preserve">programs includes the investment income on the assets less interest credited on the funding agreements. The net spread as reflected in net investment </w:t>
      </w:r>
      <w:r>
        <w:rPr>
          <w:rFonts w:eastAsia="Times New Roman"/>
          <w:color w:val="000000"/>
          <w:sz w:val="20"/>
          <w:szCs w:val="20"/>
        </w:rPr>
        <w:t xml:space="preserve">income is allocated to the segments based on the percentage of the individual segment insurance liabilities over the combined segments insurance liabilities. </w:t>
      </w:r>
    </w:p>
    <w:p w:rsidR="00000000" w:rsidRDefault="00C56D69">
      <w:pPr>
        <w:ind w:firstLine="360"/>
        <w:divId w:val="882248380"/>
        <w:rPr>
          <w:rFonts w:eastAsia="Times New Roman"/>
        </w:rPr>
      </w:pPr>
      <w:r>
        <w:rPr>
          <w:rFonts w:eastAsia="Times New Roman"/>
          <w:color w:val="000000"/>
          <w:sz w:val="20"/>
          <w:szCs w:val="20"/>
        </w:rPr>
        <w:t>Our General Account investment portfolio investment strategy seeks to achieve sustainable risk-ad</w:t>
      </w:r>
      <w:r>
        <w:rPr>
          <w:rFonts w:eastAsia="Times New Roman"/>
          <w:color w:val="000000"/>
          <w:sz w:val="20"/>
          <w:szCs w:val="20"/>
        </w:rPr>
        <w:t>justed returns by focusing on principal preservation, investment return, duration and liquidity requirements by product class and the diversification of risks. Investment activities are undertaken according to investment policy statements that contain inte</w:t>
      </w:r>
      <w:r>
        <w:rPr>
          <w:rFonts w:eastAsia="Times New Roman"/>
          <w:color w:val="000000"/>
          <w:sz w:val="20"/>
          <w:szCs w:val="20"/>
        </w:rPr>
        <w:t xml:space="preserve">rnally established guidelines and are required to comply with applicable laws and insurance regulations. </w:t>
      </w:r>
    </w:p>
    <w:p w:rsidR="00000000" w:rsidRDefault="00C56D69">
      <w:pPr>
        <w:ind w:firstLine="360"/>
        <w:divId w:val="1423649852"/>
        <w:rPr>
          <w:rFonts w:eastAsia="Times New Roman"/>
        </w:rPr>
      </w:pPr>
      <w:r>
        <w:rPr>
          <w:rFonts w:eastAsia="Times New Roman"/>
          <w:color w:val="000000"/>
          <w:sz w:val="20"/>
          <w:szCs w:val="20"/>
        </w:rPr>
        <w:t>Risk tolerances are established for credit risk, market risk, liquidity risk and concentration risk across types of issuers and asset classes that see</w:t>
      </w:r>
      <w:r>
        <w:rPr>
          <w:rFonts w:eastAsia="Times New Roman"/>
          <w:color w:val="000000"/>
          <w:sz w:val="20"/>
          <w:szCs w:val="20"/>
        </w:rPr>
        <w:t>k to mitigate the impact of cash flow variability arising from these risks. Significant interest rate increases and market volatility in 2022 have reduced the fair value of fixed maturities from a net unrealized gain position to a net unrealized loss. Thes</w:t>
      </w:r>
      <w:r>
        <w:rPr>
          <w:rFonts w:eastAsia="Times New Roman"/>
          <w:color w:val="000000"/>
          <w:sz w:val="20"/>
          <w:szCs w:val="20"/>
        </w:rPr>
        <w:t>e effects apply across the portfolio and are being assessed within the aggregate asset and liability management strategies. As a part of asset and liability management, we maintain a weighted average duration for our General Account investment portfolio th</w:t>
      </w:r>
      <w:r>
        <w:rPr>
          <w:rFonts w:eastAsia="Times New Roman"/>
          <w:color w:val="000000"/>
          <w:sz w:val="20"/>
          <w:szCs w:val="20"/>
        </w:rPr>
        <w:t>at is within an acceptable range of the estimated duration of our liabilities given our risk appetite and hedging programs.</w:t>
      </w:r>
    </w:p>
    <w:p w:rsidR="00000000" w:rsidRDefault="00C56D69">
      <w:pPr>
        <w:ind w:firstLine="360"/>
        <w:divId w:val="189994656"/>
        <w:rPr>
          <w:rFonts w:eastAsia="Times New Roman"/>
        </w:rPr>
      </w:pPr>
      <w:r>
        <w:rPr>
          <w:rFonts w:eastAsia="Times New Roman"/>
          <w:color w:val="000000"/>
          <w:sz w:val="20"/>
          <w:szCs w:val="20"/>
        </w:rPr>
        <w:t>The General Account investment portfolio consists largely of investment grade fixed maturities, short-term investments, commercial a</w:t>
      </w:r>
      <w:r>
        <w:rPr>
          <w:rFonts w:eastAsia="Times New Roman"/>
          <w:color w:val="000000"/>
          <w:sz w:val="20"/>
          <w:szCs w:val="20"/>
        </w:rPr>
        <w:t>nd agricultural mortgage loans, alternative investments and other financial instruments. Fixed maturities include publicly issued corporate bonds, government bonds, privately placed notes and bonds, bonds issued by states and municipalities, mortgage-backe</w:t>
      </w:r>
      <w:r>
        <w:rPr>
          <w:rFonts w:eastAsia="Times New Roman"/>
          <w:color w:val="000000"/>
          <w:sz w:val="20"/>
          <w:szCs w:val="20"/>
        </w:rPr>
        <w:t>d securities and asset-backed securities. The General Account investment portfolio also includes credit derivatives to replicate exposure to individual securities or pools of securities as a means of achieving credit exposure similar to bonds of the underl</w:t>
      </w:r>
      <w:r>
        <w:rPr>
          <w:rFonts w:eastAsia="Times New Roman"/>
          <w:color w:val="000000"/>
          <w:sz w:val="20"/>
          <w:szCs w:val="20"/>
        </w:rPr>
        <w:t>ying issuer(s) more efficiently. In addition, from time to time we use derivatives for hedging purposes to reduce our exposure to equity markets, interest rates, foreign currency and credit spreads. As part of a yield enhancement strategy, the General Acco</w:t>
      </w:r>
      <w:r>
        <w:rPr>
          <w:rFonts w:eastAsia="Times New Roman"/>
          <w:color w:val="000000"/>
          <w:sz w:val="20"/>
          <w:szCs w:val="20"/>
        </w:rPr>
        <w:t xml:space="preserve">unt has diversified into more asset and sub-asset classes including higher yielding commercial mortgage investments. </w:t>
      </w:r>
    </w:p>
    <w:p w:rsidR="00000000" w:rsidRDefault="00C56D69">
      <w:pPr>
        <w:ind w:firstLine="360"/>
        <w:divId w:val="341395797"/>
        <w:rPr>
          <w:rFonts w:eastAsia="Times New Roman"/>
        </w:rPr>
      </w:pPr>
      <w:r>
        <w:rPr>
          <w:rFonts w:eastAsia="Times New Roman"/>
          <w:color w:val="000000"/>
          <w:sz w:val="20"/>
          <w:szCs w:val="20"/>
        </w:rPr>
        <w:t xml:space="preserve">Investment portfolios are primarily managed by legal entity with dedicated portfolios for certain blocks of business. For portfolios that </w:t>
      </w:r>
      <w:r>
        <w:rPr>
          <w:rFonts w:eastAsia="Times New Roman"/>
          <w:color w:val="000000"/>
          <w:sz w:val="20"/>
          <w:szCs w:val="20"/>
        </w:rPr>
        <w:t>back multiple product groups, investment results are allocated to business segments.</w:t>
      </w:r>
    </w:p>
    <w:p w:rsidR="00000000" w:rsidRDefault="00C56D69">
      <w:pPr>
        <w:ind w:firstLine="360"/>
        <w:divId w:val="1344624949"/>
        <w:rPr>
          <w:rFonts w:eastAsia="Times New Roman"/>
        </w:rPr>
      </w:pPr>
      <w:r>
        <w:rPr>
          <w:rFonts w:eastAsia="Times New Roman"/>
          <w:color w:val="000000"/>
          <w:sz w:val="20"/>
          <w:szCs w:val="20"/>
        </w:rPr>
        <w:t>Our investment philosophy is driven by our long-term commitments to clients, robust risk management and strategic asset allocation. In executing the activities of our Gene</w:t>
      </w:r>
      <w:r>
        <w:rPr>
          <w:rFonts w:eastAsia="Times New Roman"/>
          <w:color w:val="000000"/>
          <w:sz w:val="20"/>
          <w:szCs w:val="20"/>
        </w:rPr>
        <w:t xml:space="preserve">ral Account investment portfolio, we incorporate ESG factors into the investment processes for a significant portion of our portfolio. As investors with a long-term horizon, we believe that </w:t>
      </w:r>
    </w:p>
    <w:p w:rsidR="00000000" w:rsidRDefault="00C56D69">
      <w:pPr>
        <w:jc w:val="center"/>
        <w:divId w:val="1461072649"/>
        <w:rPr>
          <w:rFonts w:eastAsia="Times New Roman"/>
        </w:rPr>
      </w:pPr>
      <w:r>
        <w:rPr>
          <w:rFonts w:eastAsia="Times New Roman"/>
          <w:color w:val="000000"/>
          <w:sz w:val="20"/>
          <w:szCs w:val="20"/>
        </w:rPr>
        <w:t>99</w:t>
      </w:r>
    </w:p>
    <w:p w:rsidR="00000000" w:rsidRDefault="00C56D69">
      <w:pPr>
        <w:rPr>
          <w:rFonts w:eastAsia="Times New Roman"/>
        </w:rPr>
      </w:pPr>
      <w:r>
        <w:rPr>
          <w:rFonts w:eastAsia="Times New Roman"/>
        </w:rPr>
        <w:pict>
          <v:rect id="_x0000_i1125" style="width:0;height:1.5pt" o:hralign="center" o:hrstd="t" o:hr="t" fillcolor="#a0a0a0" stroked="f"/>
        </w:pict>
      </w:r>
    </w:p>
    <w:p w:rsidR="00000000" w:rsidRDefault="00C56D69">
      <w:pPr>
        <w:divId w:val="190513918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87525664"/>
        <w:rPr>
          <w:rFonts w:eastAsia="Times New Roman"/>
        </w:rPr>
      </w:pPr>
      <w:r>
        <w:rPr>
          <w:rFonts w:eastAsia="Times New Roman"/>
          <w:color w:val="000000"/>
          <w:sz w:val="20"/>
          <w:szCs w:val="20"/>
        </w:rPr>
        <w:t>companies with sustainable practices are better positioned to deliver value to stakeholders over an extended period, thereby enhancing the quality of our portfolio. These companies are more likely to increase sales through sustainable products, reduce ener</w:t>
      </w:r>
      <w:r>
        <w:rPr>
          <w:rFonts w:eastAsia="Times New Roman"/>
          <w:color w:val="000000"/>
          <w:sz w:val="20"/>
          <w:szCs w:val="20"/>
        </w:rPr>
        <w:t>gy costs and attract and retain talent. This belief underpins our approach to sustainable investing, where we seek to enhance the sustainability of our investment portfolio by integrating ESG factors into our investment decision process.</w:t>
      </w:r>
    </w:p>
    <w:p w:rsidR="00000000" w:rsidRDefault="00C56D69">
      <w:pPr>
        <w:ind w:firstLine="360"/>
        <w:divId w:val="23750241"/>
        <w:rPr>
          <w:rFonts w:eastAsia="Times New Roman"/>
        </w:rPr>
      </w:pPr>
      <w:r>
        <w:rPr>
          <w:rFonts w:eastAsia="Times New Roman"/>
          <w:color w:val="000000"/>
          <w:sz w:val="20"/>
          <w:szCs w:val="20"/>
        </w:rPr>
        <w:t>The General Accoun</w:t>
      </w:r>
      <w:r>
        <w:rPr>
          <w:rFonts w:eastAsia="Times New Roman"/>
          <w:color w:val="000000"/>
          <w:sz w:val="20"/>
          <w:szCs w:val="20"/>
        </w:rPr>
        <w:t>t investment portfolio reflects certain differences from the presentation of the U.S. GAAP Consolidated Financial Statements. This presentation is consistent with how we manage the General Account investment portfolio. For further investment information, p</w:t>
      </w:r>
      <w:r>
        <w:rPr>
          <w:rFonts w:eastAsia="Times New Roman"/>
          <w:color w:val="000000"/>
          <w:sz w:val="20"/>
          <w:szCs w:val="20"/>
        </w:rPr>
        <w:t>lease refer to Note 3 and Note 4 of the Notes to the Consolidated Financial Statements.</w:t>
      </w:r>
    </w:p>
    <w:p w:rsidR="00000000" w:rsidRDefault="00C56D69">
      <w:pPr>
        <w:jc w:val="both"/>
        <w:divId w:val="748892064"/>
        <w:rPr>
          <w:rFonts w:eastAsia="Times New Roman"/>
        </w:rPr>
      </w:pPr>
      <w:r>
        <w:rPr>
          <w:rFonts w:eastAsia="Times New Roman"/>
          <w:b/>
          <w:bCs/>
          <w:i/>
          <w:iCs/>
          <w:color w:val="000000"/>
          <w:sz w:val="20"/>
          <w:szCs w:val="20"/>
        </w:rPr>
        <w:t>Investment Results of the General Account Investment Portfolio</w:t>
      </w:r>
    </w:p>
    <w:p w:rsidR="00000000" w:rsidRDefault="00C56D69">
      <w:pPr>
        <w:ind w:firstLine="360"/>
        <w:divId w:val="334307839"/>
        <w:rPr>
          <w:rFonts w:eastAsia="Times New Roman"/>
        </w:rPr>
      </w:pPr>
      <w:r>
        <w:rPr>
          <w:rFonts w:eastAsia="Times New Roman"/>
          <w:color w:val="000000"/>
          <w:sz w:val="20"/>
          <w:szCs w:val="20"/>
        </w:rPr>
        <w:t>The following table summarizes the General Account investment portfolio results with Non-GAAP Operating E</w:t>
      </w:r>
      <w:r>
        <w:rPr>
          <w:rFonts w:eastAsia="Times New Roman"/>
          <w:color w:val="000000"/>
          <w:sz w:val="20"/>
          <w:szCs w:val="20"/>
        </w:rPr>
        <w:t>arnings adjustments by asset category for the periods indicated. This presentation is consistent with how we measure investment performance for management purposes.</w:t>
      </w:r>
    </w:p>
    <w:tbl>
      <w:tblPr>
        <w:tblW w:w="4824" w:type="pct"/>
        <w:tblCellMar>
          <w:top w:w="15" w:type="dxa"/>
          <w:left w:w="15" w:type="dxa"/>
          <w:bottom w:w="15" w:type="dxa"/>
          <w:right w:w="15" w:type="dxa"/>
        </w:tblCellMar>
        <w:tblLook w:val="04A0" w:firstRow="1" w:lastRow="0" w:firstColumn="1" w:lastColumn="0" w:noHBand="0" w:noVBand="1"/>
      </w:tblPr>
      <w:tblGrid>
        <w:gridCol w:w="39"/>
        <w:gridCol w:w="4670"/>
        <w:gridCol w:w="38"/>
        <w:gridCol w:w="58"/>
        <w:gridCol w:w="446"/>
        <w:gridCol w:w="220"/>
        <w:gridCol w:w="36"/>
        <w:gridCol w:w="36"/>
        <w:gridCol w:w="36"/>
        <w:gridCol w:w="120"/>
        <w:gridCol w:w="600"/>
        <w:gridCol w:w="36"/>
        <w:gridCol w:w="36"/>
        <w:gridCol w:w="36"/>
        <w:gridCol w:w="36"/>
        <w:gridCol w:w="59"/>
        <w:gridCol w:w="461"/>
        <w:gridCol w:w="187"/>
        <w:gridCol w:w="36"/>
        <w:gridCol w:w="36"/>
        <w:gridCol w:w="36"/>
        <w:gridCol w:w="120"/>
        <w:gridCol w:w="600"/>
        <w:gridCol w:w="36"/>
      </w:tblGrid>
      <w:tr w:rsidR="00000000">
        <w:trPr>
          <w:divId w:val="262079609"/>
        </w:trPr>
        <w:tc>
          <w:tcPr>
            <w:tcW w:w="50" w:type="pct"/>
            <w:vAlign w:val="center"/>
            <w:hideMark/>
          </w:tcPr>
          <w:p w:rsidR="00000000" w:rsidRDefault="00C56D69">
            <w:pPr>
              <w:ind w:firstLine="360"/>
              <w:rPr>
                <w:rFonts w:eastAsia="Times New Roman"/>
              </w:rPr>
            </w:pPr>
          </w:p>
        </w:tc>
        <w:tc>
          <w:tcPr>
            <w:tcW w:w="30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Three Months Ended September 30,</w:t>
            </w:r>
          </w:p>
        </w:tc>
      </w:tr>
      <w:tr w:rsidR="00000000">
        <w:trPr>
          <w:divId w:val="262079609"/>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262079609"/>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Amount (2)</w:t>
            </w:r>
          </w:p>
        </w:tc>
      </w:tr>
      <w:tr w:rsidR="00000000">
        <w:trPr>
          <w:divId w:val="262079609"/>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(Dollars in millions)</w:t>
            </w:r>
          </w:p>
        </w:tc>
      </w:tr>
      <w:tr w:rsidR="00000000">
        <w:trPr>
          <w:divId w:val="262079609"/>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Fixed Maturities: (5)</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74,565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71,216 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31.06 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(7,830)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(6,807)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90,472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86,002 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Less: investment fees (3)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(0.17)</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90,589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86,144 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62079609"/>
          <w:trHeight w:val="1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62079609"/>
          <w:trHeight w:val="24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251549799"/>
        <w:rPr>
          <w:rFonts w:eastAsia="Times New Roman"/>
        </w:rPr>
      </w:pPr>
      <w:r>
        <w:rPr>
          <w:rFonts w:eastAsia="Times New Roman"/>
          <w:color w:val="000000"/>
          <w:sz w:val="20"/>
          <w:szCs w:val="20"/>
        </w:rPr>
        <w:t>100</w:t>
      </w:r>
    </w:p>
    <w:p w:rsidR="00000000" w:rsidRDefault="00C56D69">
      <w:pPr>
        <w:rPr>
          <w:rFonts w:eastAsia="Times New Roman"/>
        </w:rPr>
      </w:pPr>
      <w:r>
        <w:rPr>
          <w:rFonts w:eastAsia="Times New Roman"/>
        </w:rPr>
        <w:pict>
          <v:rect id="_x0000_i1126" style="width:0;height:1.5pt" o:hralign="center" o:hrstd="t" o:hr="t" fillcolor="#a0a0a0" stroked="f"/>
        </w:pict>
      </w:r>
    </w:p>
    <w:p w:rsidR="00000000" w:rsidRDefault="00C56D69">
      <w:pPr>
        <w:divId w:val="1167792796"/>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138"/>
        <w:gridCol w:w="38"/>
        <w:gridCol w:w="60"/>
        <w:gridCol w:w="444"/>
        <w:gridCol w:w="220"/>
        <w:gridCol w:w="36"/>
        <w:gridCol w:w="36"/>
        <w:gridCol w:w="36"/>
        <w:gridCol w:w="120"/>
        <w:gridCol w:w="600"/>
        <w:gridCol w:w="36"/>
        <w:gridCol w:w="36"/>
        <w:gridCol w:w="36"/>
        <w:gridCol w:w="36"/>
        <w:gridCol w:w="64"/>
        <w:gridCol w:w="456"/>
        <w:gridCol w:w="187"/>
        <w:gridCol w:w="36"/>
        <w:gridCol w:w="36"/>
        <w:gridCol w:w="36"/>
        <w:gridCol w:w="120"/>
        <w:gridCol w:w="600"/>
        <w:gridCol w:w="36"/>
        <w:gridCol w:w="36"/>
        <w:gridCol w:w="36"/>
        <w:gridCol w:w="36"/>
        <w:gridCol w:w="57"/>
        <w:gridCol w:w="463"/>
        <w:gridCol w:w="188"/>
        <w:gridCol w:w="36"/>
        <w:gridCol w:w="36"/>
        <w:gridCol w:w="36"/>
        <w:gridCol w:w="120"/>
        <w:gridCol w:w="600"/>
        <w:gridCol w:w="36"/>
        <w:gridCol w:w="36"/>
        <w:gridCol w:w="36"/>
        <w:gridCol w:w="36"/>
        <w:gridCol w:w="36"/>
      </w:tblGrid>
      <w:tr w:rsidR="00000000">
        <w:trPr>
          <w:divId w:val="225530169"/>
        </w:trPr>
        <w:tc>
          <w:tcPr>
            <w:tcW w:w="50" w:type="pct"/>
            <w:vAlign w:val="center"/>
            <w:hideMark/>
          </w:tcPr>
          <w:p w:rsidR="00000000" w:rsidRDefault="00C56D69">
            <w:pPr>
              <w:rPr>
                <w:rFonts w:eastAsia="Times New Roman"/>
              </w:rPr>
            </w:pPr>
          </w:p>
        </w:tc>
        <w:tc>
          <w:tcPr>
            <w:tcW w:w="210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9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1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1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Amount (2)</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(Dollars in millions)</w:t>
            </w:r>
          </w:p>
        </w:tc>
        <w:tc>
          <w:tcPr>
            <w:tcW w:w="0" w:type="auto"/>
            <w:vAlign w:val="center"/>
            <w:hideMark/>
          </w:tcPr>
          <w:p w:rsidR="00000000" w:rsidRDefault="00C56D69">
            <w:pPr>
              <w:spacing w:after="100"/>
              <w:jc w:val="center"/>
              <w:rPr>
                <w:rFonts w:eastAsia="Times New Roman"/>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1,822 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74,565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71,216 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72,545 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15,688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13,448 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center"/>
            <w:hideMark/>
          </w:tcPr>
          <w:p w:rsidR="00000000" w:rsidRDefault="00C56D69">
            <w:pPr>
              <w:spacing w:after="100"/>
              <w:jc w:val="right"/>
              <w:rPr>
                <w:rFonts w:eastAsia="Times New Roman"/>
              </w:rPr>
            </w:pPr>
            <w:r>
              <w:rPr>
                <w:rFonts w:eastAsia="Times New Roman"/>
                <w:b/>
                <w:bCs/>
                <w:color w:val="000000"/>
                <w:sz w:val="20"/>
                <w:szCs w:val="20"/>
              </w:rPr>
              <w:t>7.80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22.97 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20.45 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2,901 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(0.83)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1,662 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(7,830)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(6,807)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(6,647)</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2,613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90,472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86,002 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88,518 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(0.15)</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90,589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86,144 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88,660 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vAlign w:val="center"/>
            <w:hideMark/>
          </w:tcPr>
          <w:p w:rsidR="00000000" w:rsidRDefault="00C56D69">
            <w:pPr>
              <w:spacing w:after="100"/>
              <w:jc w:val="right"/>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225530169"/>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bl>
    <w:p w:rsidR="00000000" w:rsidRDefault="00C56D69">
      <w:pPr>
        <w:ind w:hanging="360"/>
        <w:divId w:val="404450860"/>
        <w:rPr>
          <w:rFonts w:eastAsia="Times New Roman"/>
        </w:rPr>
      </w:pPr>
      <w:r>
        <w:rPr>
          <w:rFonts w:eastAsia="Times New Roman"/>
          <w:color w:val="000000"/>
          <w:sz w:val="18"/>
          <w:szCs w:val="18"/>
        </w:rPr>
        <w:t>_____________</w:t>
      </w:r>
    </w:p>
    <w:p w:rsidR="00000000" w:rsidRDefault="00C56D69">
      <w:pPr>
        <w:ind w:hanging="360"/>
        <w:divId w:val="792285939"/>
        <w:rPr>
          <w:rFonts w:eastAsia="Times New Roman"/>
        </w:rPr>
      </w:pPr>
      <w:r>
        <w:rPr>
          <w:rFonts w:eastAsia="Times New Roman"/>
          <w:color w:val="000000"/>
          <w:sz w:val="18"/>
          <w:szCs w:val="18"/>
        </w:rPr>
        <w:t>(1)</w:t>
      </w:r>
      <w:r>
        <w:rPr>
          <w:rFonts w:eastAsia="Times New Roman"/>
          <w:color w:val="000000"/>
          <w:sz w:val="18"/>
          <w:szCs w:val="18"/>
        </w:rPr>
        <w:t xml:space="preserve">Includes, as of September 30, 2022, September 30, 2021 and December 31, 2021 respectively, $370 million, $328 million and $319 million of other invested assets. </w:t>
      </w:r>
    </w:p>
    <w:p w:rsidR="00000000" w:rsidRDefault="00C56D69">
      <w:pPr>
        <w:ind w:hanging="360"/>
        <w:divId w:val="1545097044"/>
        <w:rPr>
          <w:rFonts w:eastAsia="Times New Roman"/>
        </w:rPr>
      </w:pPr>
      <w:r>
        <w:rPr>
          <w:rFonts w:eastAsia="Times New Roman"/>
          <w:color w:val="000000"/>
          <w:sz w:val="18"/>
          <w:szCs w:val="18"/>
        </w:rPr>
        <w:t xml:space="preserve">(2)Amount for fixed maturities and mortgages represents original cost, reduced by repayments, </w:t>
      </w:r>
      <w:r>
        <w:rPr>
          <w:rFonts w:eastAsia="Times New Roman"/>
          <w:color w:val="000000"/>
          <w:sz w:val="18"/>
          <w:szCs w:val="18"/>
        </w:rPr>
        <w:t>write-downs, adjusted amortization of premiums, accretion of discount and allowances. Cost for equity securities represents original cost reduced by write-downs; cost for other limited partnership interests represents original cost adjusted for equity in e</w:t>
      </w:r>
      <w:r>
        <w:rPr>
          <w:rFonts w:eastAsia="Times New Roman"/>
          <w:color w:val="000000"/>
          <w:sz w:val="18"/>
          <w:szCs w:val="18"/>
        </w:rPr>
        <w:t>arnings and reduced by distributions.</w:t>
      </w:r>
    </w:p>
    <w:p w:rsidR="00000000" w:rsidRDefault="00C56D69">
      <w:pPr>
        <w:ind w:hanging="360"/>
        <w:divId w:val="2038193127"/>
        <w:rPr>
          <w:rFonts w:eastAsia="Times New Roman"/>
        </w:rPr>
      </w:pPr>
      <w:r>
        <w:rPr>
          <w:rFonts w:eastAsia="Times New Roman"/>
          <w:color w:val="000000"/>
          <w:sz w:val="18"/>
          <w:szCs w:val="18"/>
        </w:rPr>
        <w:t xml:space="preserve">(3)Investment fees are inclusive of investment management fees paid to AB. </w:t>
      </w:r>
    </w:p>
    <w:p w:rsidR="00000000" w:rsidRDefault="00C56D69">
      <w:pPr>
        <w:ind w:hanging="360"/>
        <w:divId w:val="1089809781"/>
        <w:rPr>
          <w:rFonts w:eastAsia="Times New Roman"/>
        </w:rPr>
      </w:pPr>
    </w:p>
    <w:p w:rsidR="00000000" w:rsidRDefault="00C56D69">
      <w:pPr>
        <w:jc w:val="both"/>
        <w:divId w:val="1794667544"/>
        <w:rPr>
          <w:rFonts w:eastAsia="Times New Roman"/>
        </w:rPr>
      </w:pPr>
      <w:r>
        <w:rPr>
          <w:rFonts w:eastAsia="Times New Roman"/>
          <w:b/>
          <w:bCs/>
          <w:i/>
          <w:iCs/>
          <w:color w:val="000000"/>
          <w:sz w:val="20"/>
          <w:szCs w:val="20"/>
        </w:rPr>
        <w:t>Fixed Maturities</w:t>
      </w:r>
    </w:p>
    <w:p w:rsidR="00000000" w:rsidRDefault="00C56D69">
      <w:pPr>
        <w:ind w:firstLine="360"/>
        <w:divId w:val="1968930196"/>
        <w:rPr>
          <w:rFonts w:eastAsia="Times New Roman"/>
        </w:rPr>
      </w:pPr>
      <w:r>
        <w:rPr>
          <w:rFonts w:eastAsia="Times New Roman"/>
          <w:color w:val="000000"/>
          <w:sz w:val="20"/>
          <w:szCs w:val="20"/>
        </w:rPr>
        <w:t>The fixed maturity portfolio consists largely of investment grade corporate debt securities and includes significant amount</w:t>
      </w:r>
      <w:r>
        <w:rPr>
          <w:rFonts w:eastAsia="Times New Roman"/>
          <w:color w:val="000000"/>
          <w:sz w:val="20"/>
          <w:szCs w:val="20"/>
        </w:rPr>
        <w:t>s of U.S. government and agency obligations. The below investment grade securities in the General Account investment portfolio consist of loans to middle market companies, public high yield securities, bank loans, as well as “fallen angels,” originally pur</w:t>
      </w:r>
      <w:r>
        <w:rPr>
          <w:rFonts w:eastAsia="Times New Roman"/>
          <w:color w:val="000000"/>
          <w:sz w:val="20"/>
          <w:szCs w:val="20"/>
        </w:rPr>
        <w:t>chased as investment grade investments.</w:t>
      </w:r>
    </w:p>
    <w:p w:rsidR="00000000" w:rsidRDefault="00C56D69">
      <w:pPr>
        <w:jc w:val="both"/>
        <w:divId w:val="1230925132"/>
        <w:rPr>
          <w:rFonts w:eastAsia="Times New Roman"/>
        </w:rPr>
      </w:pPr>
      <w:r>
        <w:rPr>
          <w:rFonts w:eastAsia="Times New Roman"/>
          <w:b/>
          <w:bCs/>
          <w:i/>
          <w:iCs/>
          <w:color w:val="000000"/>
          <w:sz w:val="20"/>
          <w:szCs w:val="20"/>
        </w:rPr>
        <w:t>Fixed Maturities by Industry</w:t>
      </w:r>
    </w:p>
    <w:p w:rsidR="00000000" w:rsidRDefault="00C56D69">
      <w:pPr>
        <w:ind w:firstLine="360"/>
        <w:divId w:val="788544858"/>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C56D69">
      <w:pPr>
        <w:jc w:val="center"/>
        <w:divId w:val="911234828"/>
        <w:rPr>
          <w:rFonts w:eastAsia="Times New Roman"/>
        </w:rPr>
      </w:pPr>
      <w:r>
        <w:rPr>
          <w:rFonts w:eastAsia="Times New Roman"/>
          <w:color w:val="000000"/>
          <w:sz w:val="20"/>
          <w:szCs w:val="20"/>
        </w:rPr>
        <w:t>101</w:t>
      </w:r>
    </w:p>
    <w:p w:rsidR="00000000" w:rsidRDefault="00C56D69">
      <w:pPr>
        <w:rPr>
          <w:rFonts w:eastAsia="Times New Roman"/>
        </w:rPr>
      </w:pPr>
      <w:r>
        <w:rPr>
          <w:rFonts w:eastAsia="Times New Roman"/>
        </w:rPr>
        <w:pict>
          <v:rect id="_x0000_i1127" style="width:0;height:1.5pt" o:hralign="center" o:hrstd="t" o:hr="t" fillcolor="#a0a0a0" stroked="f"/>
        </w:pict>
      </w:r>
    </w:p>
    <w:p w:rsidR="00000000" w:rsidRDefault="00C56D69">
      <w:pPr>
        <w:divId w:val="174819197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8"/>
        <w:gridCol w:w="2464"/>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2025935181"/>
        </w:trPr>
        <w:tc>
          <w:tcPr>
            <w:tcW w:w="50" w:type="pct"/>
            <w:vAlign w:val="center"/>
            <w:hideMark/>
          </w:tcPr>
          <w:p w:rsidR="00000000" w:rsidRDefault="00C56D69">
            <w:pPr>
              <w:jc w:val="center"/>
              <w:rPr>
                <w:rFonts w:eastAsia="Times New Roman"/>
              </w:rPr>
            </w:pPr>
          </w:p>
        </w:tc>
        <w:tc>
          <w:tcPr>
            <w:tcW w:w="182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Percentage of Total (%)</w:t>
            </w:r>
          </w:p>
        </w:tc>
      </w:tr>
      <w:tr w:rsidR="00000000">
        <w:trPr>
          <w:divId w:val="2025935181"/>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As of 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12,296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10,387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51,888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8,094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43,841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74,565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10,735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63,895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r>
      <w:tr w:rsidR="00000000">
        <w:trPr>
          <w:divId w:val="2025935181"/>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divId w:val="955796835"/>
              <w:rPr>
                <w:rFonts w:eastAsia="Times New Roman"/>
              </w:rPr>
            </w:pPr>
            <w:r>
              <w:rPr>
                <w:rFonts w:eastAsia="Times New Roman"/>
                <w:color w:val="000000"/>
                <w:sz w:val="20"/>
                <w:szCs w:val="20"/>
              </w:rPr>
              <w:t>As of December 31, 2021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13,440 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12,212 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12,947 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6,446 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6,761 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8,191 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8,500 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3,854 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4,011 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3,390 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3,590 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2,181 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49,288 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13,056 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2,344 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586 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1,124 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5,933 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2025935181"/>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72,545 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77,342 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bl>
    <w:p w:rsidR="00000000" w:rsidRDefault="00C56D69">
      <w:pPr>
        <w:ind w:hanging="360"/>
        <w:divId w:val="532036374"/>
        <w:rPr>
          <w:rFonts w:eastAsia="Times New Roman"/>
        </w:rPr>
      </w:pPr>
      <w:r>
        <w:rPr>
          <w:rFonts w:eastAsia="Times New Roman"/>
          <w:color w:val="000000"/>
          <w:sz w:val="18"/>
          <w:szCs w:val="18"/>
        </w:rPr>
        <w:t>______________</w:t>
      </w:r>
    </w:p>
    <w:p w:rsidR="00000000" w:rsidRDefault="00C56D69">
      <w:pPr>
        <w:ind w:hanging="360"/>
        <w:divId w:val="1407608442"/>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C56D69">
      <w:pPr>
        <w:ind w:hanging="360"/>
        <w:divId w:val="2008513005"/>
        <w:rPr>
          <w:rFonts w:eastAsia="Times New Roman"/>
        </w:rPr>
      </w:pPr>
      <w:r>
        <w:rPr>
          <w:rFonts w:eastAsia="Times New Roman"/>
          <w:color w:val="000000"/>
          <w:sz w:val="18"/>
          <w:szCs w:val="18"/>
        </w:rPr>
        <w:t>(2)Includes publicly traded agency pass-through securities and collateralized obligations.</w:t>
      </w:r>
    </w:p>
    <w:p w:rsidR="00000000" w:rsidRDefault="00C56D69">
      <w:pPr>
        <w:ind w:firstLine="360"/>
        <w:divId w:val="887690941"/>
        <w:rPr>
          <w:rFonts w:eastAsia="Times New Roman"/>
        </w:rPr>
      </w:pPr>
    </w:p>
    <w:p w:rsidR="00000000" w:rsidRDefault="00C56D69">
      <w:pPr>
        <w:ind w:hanging="360"/>
        <w:divId w:val="1912471647"/>
        <w:rPr>
          <w:rFonts w:eastAsia="Times New Roman"/>
        </w:rPr>
      </w:pPr>
    </w:p>
    <w:p w:rsidR="00000000" w:rsidRDefault="00C56D69">
      <w:pPr>
        <w:jc w:val="center"/>
        <w:divId w:val="1209026473"/>
        <w:rPr>
          <w:rFonts w:eastAsia="Times New Roman"/>
        </w:rPr>
      </w:pPr>
      <w:r>
        <w:rPr>
          <w:rFonts w:eastAsia="Times New Roman"/>
          <w:color w:val="000000"/>
          <w:sz w:val="20"/>
          <w:szCs w:val="20"/>
        </w:rPr>
        <w:t>102</w:t>
      </w:r>
    </w:p>
    <w:p w:rsidR="00000000" w:rsidRDefault="00C56D69">
      <w:pPr>
        <w:rPr>
          <w:rFonts w:eastAsia="Times New Roman"/>
        </w:rPr>
      </w:pPr>
      <w:r>
        <w:rPr>
          <w:rFonts w:eastAsia="Times New Roman"/>
        </w:rPr>
        <w:pict>
          <v:rect id="_x0000_i1128" style="width:0;height:1.5pt" o:hralign="center" o:hrstd="t" o:hr="t" fillcolor="#a0a0a0" stroked="f"/>
        </w:pict>
      </w:r>
    </w:p>
    <w:p w:rsidR="00000000" w:rsidRDefault="00C56D69">
      <w:pPr>
        <w:divId w:val="11483322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both"/>
        <w:divId w:val="1722551975"/>
        <w:rPr>
          <w:rFonts w:eastAsia="Times New Roman"/>
        </w:rPr>
      </w:pPr>
      <w:r>
        <w:rPr>
          <w:rFonts w:eastAsia="Times New Roman"/>
          <w:b/>
          <w:bCs/>
          <w:i/>
          <w:iCs/>
          <w:color w:val="000000"/>
          <w:sz w:val="20"/>
          <w:szCs w:val="20"/>
          <w:shd w:val="clear" w:color="auto" w:fill="FFFFFF"/>
        </w:rPr>
        <w:t>Fixed Maturities Credit Quality</w:t>
      </w:r>
    </w:p>
    <w:p w:rsidR="00000000" w:rsidRDefault="00C56D69">
      <w:pPr>
        <w:ind w:firstLine="360"/>
        <w:divId w:val="876939892"/>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Designations of “1” or “2” include fixed maturities considered investment grade, w</w:t>
      </w:r>
      <w:r>
        <w:rPr>
          <w:rFonts w:eastAsia="Times New Roman"/>
          <w:color w:val="000000"/>
          <w:sz w:val="20"/>
          <w:szCs w:val="20"/>
        </w:rPr>
        <w:t>hich include securities rated Baa3 or higher by Moody’s or BBB- or higher by Standard &amp; Poor’s. NAIC Designations of “3” through “6” are referred to as below investment grade, which include securities rated Ba1 or lower by Moody’s and BB+ or lower by Stand</w:t>
      </w:r>
      <w:r>
        <w:rPr>
          <w:rFonts w:eastAsia="Times New Roman"/>
          <w:color w:val="000000"/>
          <w:sz w:val="20"/>
          <w:szCs w:val="20"/>
        </w:rPr>
        <w:t>ard &amp; Poor’s. As a result of time lags between the funding of investments and the completion of the SVO filing process, the fixed maturity portfolio typically includes securities that have not yet been rated by the SVO as of each balance sheet date. Pendin</w:t>
      </w:r>
      <w:r>
        <w:rPr>
          <w:rFonts w:eastAsia="Times New Roman"/>
          <w:color w:val="000000"/>
          <w:sz w:val="20"/>
          <w:szCs w:val="20"/>
        </w:rPr>
        <w:t>g receipt of SVO ratings, the categorization of these securities by NAIC designation is based on the expected ratings indicated by internal analysis.</w:t>
      </w:r>
    </w:p>
    <w:p w:rsidR="00000000" w:rsidRDefault="00C56D69">
      <w:pPr>
        <w:ind w:firstLine="360"/>
        <w:divId w:val="80609944"/>
        <w:rPr>
          <w:rFonts w:eastAsia="Times New Roman"/>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p>
    <w:p w:rsidR="00000000" w:rsidRDefault="00C56D69">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8"/>
        <w:gridCol w:w="36"/>
        <w:gridCol w:w="36"/>
        <w:gridCol w:w="36"/>
        <w:gridCol w:w="48"/>
        <w:gridCol w:w="1342"/>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1673068627"/>
        </w:trPr>
        <w:tc>
          <w:tcPr>
            <w:tcW w:w="50" w:type="pct"/>
            <w:vAlign w:val="center"/>
            <w:hideMark/>
          </w:tcPr>
          <w:p w:rsidR="00000000" w:rsidRDefault="00C56D69">
            <w:pPr>
              <w:jc w:val="center"/>
              <w:rPr>
                <w:rFonts w:eastAsia="Times New Roman"/>
              </w:rPr>
            </w:pPr>
          </w:p>
        </w:tc>
        <w:tc>
          <w:tcPr>
            <w:tcW w:w="12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93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4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673068627"/>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w:t>
            </w:r>
          </w:p>
          <w:p w:rsidR="00000000" w:rsidRDefault="00C56D69">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w:t>
            </w:r>
          </w:p>
          <w:p w:rsidR="00000000" w:rsidRDefault="00C56D69">
            <w:pPr>
              <w:spacing w:after="100"/>
              <w:jc w:val="center"/>
              <w:rPr>
                <w:rFonts w:eastAsia="Times New Roman"/>
              </w:rPr>
            </w:pPr>
            <w:r>
              <w:rPr>
                <w:rFonts w:eastAsia="Times New Roman"/>
                <w:b/>
                <w:bCs/>
                <w:color w:val="000000"/>
                <w:sz w:val="16"/>
                <w:szCs w:val="16"/>
              </w:rPr>
              <w:t>Unrealized</w:t>
            </w:r>
          </w:p>
          <w:p w:rsidR="00000000" w:rsidRDefault="00C56D69">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Gross</w:t>
            </w:r>
          </w:p>
          <w:p w:rsidR="00000000" w:rsidRDefault="00C56D69">
            <w:pPr>
              <w:spacing w:after="100"/>
              <w:jc w:val="center"/>
              <w:rPr>
                <w:rFonts w:eastAsia="Times New Roman"/>
              </w:rPr>
            </w:pPr>
            <w:r>
              <w:rPr>
                <w:rFonts w:eastAsia="Times New Roman"/>
                <w:b/>
                <w:bCs/>
                <w:color w:val="000000"/>
                <w:sz w:val="16"/>
                <w:szCs w:val="16"/>
              </w:rPr>
              <w:t>Unrealized</w:t>
            </w:r>
          </w:p>
          <w:p w:rsidR="00000000" w:rsidRDefault="00C56D69">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Fair Value</w:t>
            </w:r>
          </w:p>
        </w:tc>
      </w:tr>
      <w:tr w:rsidR="00000000">
        <w:trPr>
          <w:divId w:val="1673068627"/>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67306862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As of September 30, 2022</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45,386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6,043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39,395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26,373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21,956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71,759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10,491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61,351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1,477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2,806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9"/>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74,565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10,735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63,895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44,653 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3,734 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48,229 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25,141 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1,357 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26,371 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69,794 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5,091 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74,600 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1,608 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992 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976 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FFFFFF"/>
            <w:tcMar>
              <w:top w:w="30" w:type="dxa"/>
              <w:left w:w="20" w:type="dxa"/>
              <w:bottom w:w="30" w:type="dxa"/>
              <w:right w:w="20" w:type="dxa"/>
            </w:tcMar>
            <w:hideMark/>
          </w:tcPr>
          <w:p w:rsidR="00000000" w:rsidRDefault="00C56D69">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67306862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72,545 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77,342 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1818835115"/>
        <w:rPr>
          <w:rFonts w:eastAsia="Times New Roman"/>
        </w:rPr>
      </w:pPr>
    </w:p>
    <w:p w:rsidR="00000000" w:rsidRDefault="00C56D69">
      <w:pPr>
        <w:jc w:val="both"/>
        <w:divId w:val="127355504"/>
        <w:rPr>
          <w:rFonts w:eastAsia="Times New Roman"/>
        </w:rPr>
      </w:pPr>
      <w:r>
        <w:rPr>
          <w:rFonts w:eastAsia="Times New Roman"/>
          <w:b/>
          <w:bCs/>
          <w:i/>
          <w:iCs/>
          <w:color w:val="000000"/>
          <w:sz w:val="20"/>
          <w:szCs w:val="20"/>
        </w:rPr>
        <w:t xml:space="preserve">Mortgage Loans </w:t>
      </w:r>
    </w:p>
    <w:p w:rsidR="00000000" w:rsidRDefault="00C56D69">
      <w:pPr>
        <w:ind w:firstLine="360"/>
        <w:divId w:val="1511068587"/>
        <w:rPr>
          <w:rFonts w:eastAsia="Times New Roman"/>
        </w:rPr>
      </w:pPr>
      <w:r>
        <w:rPr>
          <w:rFonts w:eastAsia="Times New Roman"/>
          <w:color w:val="000000"/>
          <w:sz w:val="20"/>
          <w:szCs w:val="20"/>
        </w:rPr>
        <w:t>The mortgage portfolio primarily consists of commercial and agricultural mortgage loans. The investment strategy for the mortgage loan portfolio emphasizes diversification by property type and ge</w:t>
      </w:r>
      <w:r>
        <w:rPr>
          <w:rFonts w:eastAsia="Times New Roman"/>
          <w:color w:val="000000"/>
          <w:sz w:val="20"/>
          <w:szCs w:val="20"/>
        </w:rPr>
        <w:t>ographic location with a primary focus on asset quality. The tables below show the breakdown of the amortized cost of the General Account’s investments in mortgage loans by geographic region and property type as of the dates indicated.</w:t>
      </w:r>
    </w:p>
    <w:p w:rsidR="00000000" w:rsidRDefault="00C56D69">
      <w:pPr>
        <w:jc w:val="center"/>
        <w:divId w:val="28841890"/>
        <w:rPr>
          <w:rFonts w:eastAsia="Times New Roman"/>
        </w:rPr>
      </w:pPr>
      <w:r>
        <w:rPr>
          <w:rFonts w:eastAsia="Times New Roman"/>
          <w:color w:val="000000"/>
          <w:sz w:val="20"/>
          <w:szCs w:val="20"/>
        </w:rPr>
        <w:t>103</w:t>
      </w:r>
    </w:p>
    <w:p w:rsidR="00000000" w:rsidRDefault="00C56D69">
      <w:pPr>
        <w:rPr>
          <w:rFonts w:eastAsia="Times New Roman"/>
        </w:rPr>
      </w:pPr>
      <w:r>
        <w:rPr>
          <w:rFonts w:eastAsia="Times New Roman"/>
        </w:rPr>
        <w:pict>
          <v:rect id="_x0000_i1129" style="width:0;height:1.5pt" o:hralign="center" o:hrstd="t" o:hr="t" fillcolor="#a0a0a0" stroked="f"/>
        </w:pict>
      </w:r>
    </w:p>
    <w:p w:rsidR="00000000" w:rsidRDefault="00C56D69">
      <w:pPr>
        <w:divId w:val="1792506079"/>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7"/>
        <w:gridCol w:w="36"/>
        <w:gridCol w:w="36"/>
        <w:gridCol w:w="36"/>
        <w:gridCol w:w="68"/>
        <w:gridCol w:w="704"/>
        <w:gridCol w:w="220"/>
        <w:gridCol w:w="36"/>
        <w:gridCol w:w="36"/>
        <w:gridCol w:w="36"/>
        <w:gridCol w:w="120"/>
        <w:gridCol w:w="734"/>
        <w:gridCol w:w="36"/>
        <w:gridCol w:w="36"/>
        <w:gridCol w:w="36"/>
        <w:gridCol w:w="36"/>
        <w:gridCol w:w="63"/>
        <w:gridCol w:w="700"/>
        <w:gridCol w:w="187"/>
      </w:tblGrid>
      <w:tr w:rsidR="00000000">
        <w:trPr>
          <w:divId w:val="157035894"/>
        </w:trPr>
        <w:tc>
          <w:tcPr>
            <w:tcW w:w="50" w:type="pct"/>
            <w:vAlign w:val="center"/>
            <w:hideMark/>
          </w:tcPr>
          <w:p w:rsidR="00000000" w:rsidRDefault="00C56D69">
            <w:pPr>
              <w:jc w:val="center"/>
              <w:rPr>
                <w:rFonts w:eastAsia="Times New Roman"/>
              </w:rPr>
            </w:pPr>
          </w:p>
        </w:tc>
        <w:tc>
          <w:tcPr>
            <w:tcW w:w="252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2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December 31, 2021</w:t>
            </w:r>
          </w:p>
        </w:tc>
      </w:tr>
      <w:tr w:rsidR="00000000">
        <w:trPr>
          <w:divId w:val="157035894"/>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Amortized</w:t>
            </w:r>
          </w:p>
          <w:p w:rsidR="00000000" w:rsidRDefault="00C56D69">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of </w:t>
            </w: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Amortized</w:t>
            </w:r>
          </w:p>
          <w:p w:rsidR="00000000" w:rsidRDefault="00C56D69">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 of Total</w:t>
            </w:r>
          </w:p>
        </w:tc>
      </w:tr>
      <w:tr w:rsidR="00000000">
        <w:trPr>
          <w:divId w:val="157035894"/>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5703589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4,659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4,297 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5703589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3,441 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1,982 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15,438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13,969 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shd w:val="clear" w:color="auto" w:fill="FFFFFF"/>
            <w:tcMar>
              <w:top w:w="30" w:type="dxa"/>
              <w:left w:w="155" w:type="dxa"/>
              <w:bottom w:w="30" w:type="dxa"/>
              <w:right w:w="20" w:type="dxa"/>
            </w:tcMar>
            <w:hideMark/>
          </w:tcPr>
          <w:p w:rsidR="00000000" w:rsidRDefault="00C56D69">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15,771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57035894"/>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3,944 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2,644 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1,204 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57035894"/>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15,771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bl>
    <w:p w:rsidR="00000000" w:rsidRDefault="00C56D69">
      <w:pPr>
        <w:divId w:val="270941470"/>
        <w:rPr>
          <w:rFonts w:eastAsia="Times New Roman"/>
        </w:rPr>
      </w:pPr>
      <w:r>
        <w:rPr>
          <w:rFonts w:eastAsia="Times New Roman"/>
          <w:b/>
          <w:bCs/>
          <w:color w:val="000000"/>
          <w:sz w:val="20"/>
          <w:szCs w:val="20"/>
        </w:rPr>
        <w:t>Liquidity and Capital Resourc</w:t>
      </w:r>
      <w:r>
        <w:rPr>
          <w:rFonts w:eastAsia="Times New Roman"/>
          <w:b/>
          <w:bCs/>
          <w:color w:val="000000"/>
          <w:sz w:val="20"/>
          <w:szCs w:val="20"/>
        </w:rPr>
        <w:t>es</w:t>
      </w:r>
    </w:p>
    <w:p w:rsidR="00000000" w:rsidRDefault="00C56D69">
      <w:pPr>
        <w:ind w:firstLine="360"/>
        <w:divId w:val="1328366522"/>
        <w:rPr>
          <w:rFonts w:eastAsia="Times New Roman"/>
        </w:rPr>
      </w:pPr>
      <w:r>
        <w:rPr>
          <w:rFonts w:eastAsia="Times New Roman"/>
          <w:color w:val="000000"/>
          <w:sz w:val="20"/>
          <w:szCs w:val="20"/>
        </w:rPr>
        <w:t xml:space="preserve">Liquidity refers to our ability to generate adequate amounts of cash from our operating, investment and financing activities to meet our cash requirements with a prudent margin of safety. Capital refers to our long-term financial resources available to </w:t>
      </w:r>
      <w:r>
        <w:rPr>
          <w:rFonts w:eastAsia="Times New Roman"/>
          <w:color w:val="000000"/>
          <w:sz w:val="20"/>
          <w:szCs w:val="20"/>
        </w:rPr>
        <w:t>support business operations and future growth. Our ability to generate and maintain sufficient liquidity and capital is dependent on the profitability of our businesses, timing of cash flows related to our investments and products, our ability to access th</w:t>
      </w:r>
      <w:r>
        <w:rPr>
          <w:rFonts w:eastAsia="Times New Roman"/>
          <w:color w:val="000000"/>
          <w:sz w:val="20"/>
          <w:szCs w:val="20"/>
        </w:rPr>
        <w:t>e capital markets, general economic conditions and the alternative sources of liquidity and capital described herein. When considering our liquidity and cash flows, we distinguish between the needs of Holdings and the needs of our insurance and non-insuran</w:t>
      </w:r>
      <w:r>
        <w:rPr>
          <w:rFonts w:eastAsia="Times New Roman"/>
          <w:color w:val="000000"/>
          <w:sz w:val="20"/>
          <w:szCs w:val="20"/>
        </w:rPr>
        <w:t>ce subsidiaries. We also distinguish and separately manage the liquidity and capital resources of our retirement and protection businesses (our Individual Retirement, Group Retirement and Protection Solutions segments) and our Investment Management and Res</w:t>
      </w:r>
      <w:r>
        <w:rPr>
          <w:rFonts w:eastAsia="Times New Roman"/>
          <w:color w:val="000000"/>
          <w:sz w:val="20"/>
          <w:szCs w:val="20"/>
        </w:rPr>
        <w:t>earch segment.</w:t>
      </w:r>
    </w:p>
    <w:p w:rsidR="00000000" w:rsidRDefault="00C56D69">
      <w:pPr>
        <w:jc w:val="both"/>
        <w:divId w:val="1535537252"/>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C56D69">
      <w:pPr>
        <w:ind w:firstLine="360"/>
        <w:divId w:val="1345790726"/>
        <w:rPr>
          <w:rFonts w:eastAsia="Times New Roman"/>
        </w:rPr>
      </w:pPr>
      <w:r>
        <w:rPr>
          <w:rFonts w:eastAsia="Times New Roman"/>
          <w:color w:val="000000"/>
          <w:sz w:val="20"/>
          <w:szCs w:val="20"/>
        </w:rPr>
        <w:t>The Company has sufficient cash flows from operations to satisfy liquidity requirements in 2022.</w:t>
      </w:r>
    </w:p>
    <w:p w:rsidR="00000000" w:rsidRDefault="00C56D69">
      <w:pPr>
        <w:divId w:val="816343805"/>
        <w:rPr>
          <w:rFonts w:eastAsia="Times New Roman"/>
        </w:rPr>
      </w:pPr>
      <w:r>
        <w:rPr>
          <w:rFonts w:eastAsia="Times New Roman"/>
          <w:i/>
          <w:iCs/>
          <w:color w:val="000000"/>
          <w:sz w:val="20"/>
          <w:szCs w:val="20"/>
          <w:u w:val="single"/>
        </w:rPr>
        <w:t>Cash Flows of Holdings</w:t>
      </w:r>
    </w:p>
    <w:p w:rsidR="00000000" w:rsidRDefault="00C56D69">
      <w:pPr>
        <w:ind w:firstLine="360"/>
        <w:divId w:val="214895795"/>
        <w:rPr>
          <w:rFonts w:eastAsia="Times New Roman"/>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all of which is currently held outside our insurance company s</w:t>
      </w:r>
      <w:r>
        <w:rPr>
          <w:rFonts w:eastAsia="Times New Roman"/>
          <w:color w:val="000000"/>
          <w:sz w:val="20"/>
          <w:szCs w:val="20"/>
        </w:rPr>
        <w:t>ubsidiaries. These principal sources of liquidity are augmented by cash and short-term investments held by Holdings and access to bank lines of credit and the capital markets. The main uses of liquidity for Holdings are interest payments and debt repayment</w:t>
      </w:r>
      <w:r>
        <w:rPr>
          <w:rFonts w:eastAsia="Times New Roman"/>
          <w:color w:val="000000"/>
          <w:sz w:val="20"/>
          <w:szCs w:val="20"/>
        </w:rPr>
        <w:t xml:space="preserve">, payment of dividends and other distributions to stockholders (which may include stock repurchases) loans and </w:t>
      </w:r>
    </w:p>
    <w:p w:rsidR="00000000" w:rsidRDefault="00C56D69">
      <w:pPr>
        <w:jc w:val="center"/>
        <w:divId w:val="1199581730"/>
        <w:rPr>
          <w:rFonts w:eastAsia="Times New Roman"/>
        </w:rPr>
      </w:pPr>
      <w:r>
        <w:rPr>
          <w:rFonts w:eastAsia="Times New Roman"/>
          <w:color w:val="000000"/>
          <w:sz w:val="20"/>
          <w:szCs w:val="20"/>
        </w:rPr>
        <w:t>104</w:t>
      </w:r>
    </w:p>
    <w:p w:rsidR="00000000" w:rsidRDefault="00C56D69">
      <w:pPr>
        <w:rPr>
          <w:rFonts w:eastAsia="Times New Roman"/>
        </w:rPr>
      </w:pPr>
      <w:r>
        <w:rPr>
          <w:rFonts w:eastAsia="Times New Roman"/>
        </w:rPr>
        <w:pict>
          <v:rect id="_x0000_i1130" style="width:0;height:1.5pt" o:hralign="center" o:hrstd="t" o:hr="t" fillcolor="#a0a0a0" stroked="f"/>
        </w:pict>
      </w:r>
    </w:p>
    <w:p w:rsidR="00000000" w:rsidRDefault="00C56D69">
      <w:pPr>
        <w:divId w:val="419837642"/>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502621676"/>
        <w:rPr>
          <w:rFonts w:eastAsia="Times New Roman"/>
        </w:rPr>
      </w:pPr>
      <w:r>
        <w:rPr>
          <w:rFonts w:eastAsia="Times New Roman"/>
          <w:color w:val="000000"/>
          <w:sz w:val="20"/>
          <w:szCs w:val="20"/>
        </w:rPr>
        <w:t>capital contributions, if n</w:t>
      </w:r>
      <w:r>
        <w:rPr>
          <w:rFonts w:eastAsia="Times New Roman"/>
          <w:color w:val="000000"/>
          <w:sz w:val="20"/>
          <w:szCs w:val="20"/>
        </w:rPr>
        <w:t>eeded, to our insurance subsidiaries. Our principal sources of liquidity and our capital position are described in the following paragraphs.</w:t>
      </w:r>
    </w:p>
    <w:p w:rsidR="00000000" w:rsidRDefault="00C56D69">
      <w:pPr>
        <w:divId w:val="370111340"/>
        <w:rPr>
          <w:rFonts w:eastAsia="Times New Roman"/>
        </w:rPr>
      </w:pPr>
      <w:r>
        <w:rPr>
          <w:rFonts w:eastAsia="Times New Roman"/>
          <w:b/>
          <w:bCs/>
          <w:color w:val="000000"/>
          <w:sz w:val="20"/>
          <w:szCs w:val="20"/>
        </w:rPr>
        <w:t>Sources and Uses of Holding Company Highly Liquid Assets</w:t>
      </w:r>
    </w:p>
    <w:p w:rsidR="00000000" w:rsidRDefault="00C56D69">
      <w:pPr>
        <w:ind w:firstLine="360"/>
        <w:divId w:val="472716853"/>
        <w:rPr>
          <w:rFonts w:eastAsia="Times New Roman"/>
        </w:rPr>
      </w:pPr>
      <w:r>
        <w:rPr>
          <w:rFonts w:eastAsia="Times New Roman"/>
          <w:color w:val="000000"/>
          <w:sz w:val="20"/>
          <w:szCs w:val="20"/>
        </w:rPr>
        <w:t>The following table sets forth Holdings’ principal sources</w:t>
      </w:r>
      <w:r>
        <w:rPr>
          <w:rFonts w:eastAsia="Times New Roman"/>
          <w:color w:val="000000"/>
          <w:sz w:val="20"/>
          <w:szCs w:val="20"/>
        </w:rPr>
        <w:t xml:space="preserve">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2118912946"/>
        </w:trPr>
        <w:tc>
          <w:tcPr>
            <w:tcW w:w="50" w:type="pct"/>
            <w:vAlign w:val="center"/>
            <w:hideMark/>
          </w:tcPr>
          <w:p w:rsidR="00000000" w:rsidRDefault="00C56D69">
            <w:pPr>
              <w:ind w:firstLine="360"/>
              <w:rPr>
                <w:rFonts w:eastAsia="Times New Roman"/>
              </w:rPr>
            </w:pPr>
          </w:p>
        </w:tc>
        <w:tc>
          <w:tcPr>
            <w:tcW w:w="369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5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Nine Months Ended September 30,</w:t>
            </w:r>
          </w:p>
        </w:tc>
      </w:tr>
      <w:tr w:rsidR="00000000">
        <w:trPr>
          <w:divId w:val="2118912946"/>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2118912946"/>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211891294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(760)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CCEEFF"/>
            <w:tcMar>
              <w:top w:w="30" w:type="dxa"/>
              <w:left w:w="38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(1,169)</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Shareholder dividends paid</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CCEE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(919)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(1,393)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CCEEFF"/>
            <w:tcMar>
              <w:top w:w="30" w:type="dxa"/>
              <w:left w:w="26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Preferred stock dividend</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Issuance of long-term debt</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38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16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FFFF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CCEEFF"/>
            <w:tcMar>
              <w:top w:w="30" w:type="dxa"/>
              <w:left w:w="245"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Net decrease (increase) in existing facilities to affiliates (1)</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1,285 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30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FFFF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CCEEFF"/>
            <w:tcMar>
              <w:top w:w="30" w:type="dxa"/>
              <w:left w:w="245" w:type="dxa"/>
              <w:bottom w:w="30" w:type="dxa"/>
              <w:right w:w="20" w:type="dxa"/>
            </w:tcMar>
            <w:hideMark/>
          </w:tcPr>
          <w:p w:rsidR="00000000" w:rsidRDefault="00C56D69">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(278)</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FFFFFF"/>
            <w:tcMar>
              <w:top w:w="30" w:type="dxa"/>
              <w:left w:w="38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(418)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280"/>
        </w:trPr>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2118912946"/>
        </w:trPr>
        <w:tc>
          <w:tcPr>
            <w:tcW w:w="0" w:type="auto"/>
            <w:gridSpan w:val="3"/>
            <w:shd w:val="clear" w:color="auto" w:fill="FFFF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(566)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Pr>
        <w:tc>
          <w:tcPr>
            <w:tcW w:w="0" w:type="auto"/>
            <w:gridSpan w:val="3"/>
            <w:shd w:val="clear" w:color="auto" w:fill="CCEEFF"/>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2,231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2118912946"/>
          <w:trHeight w:val="300"/>
        </w:trPr>
        <w:tc>
          <w:tcPr>
            <w:tcW w:w="0" w:type="auto"/>
            <w:gridSpan w:val="3"/>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divId w:val="2118912946"/>
        <w:rPr>
          <w:rFonts w:eastAsia="Times New Roman"/>
        </w:rPr>
      </w:pPr>
      <w:r>
        <w:rPr>
          <w:rFonts w:eastAsia="Times New Roman"/>
          <w:color w:val="000000"/>
          <w:sz w:val="18"/>
          <w:szCs w:val="18"/>
        </w:rPr>
        <w:t xml:space="preserve">(1) Represents net activity of draws and repayments of existing credit facilities between Holdings and affiliates. </w:t>
      </w:r>
    </w:p>
    <w:p w:rsidR="00000000" w:rsidRDefault="00C56D69">
      <w:pPr>
        <w:jc w:val="center"/>
        <w:divId w:val="1104301181"/>
        <w:rPr>
          <w:rFonts w:eastAsia="Times New Roman"/>
        </w:rPr>
      </w:pPr>
      <w:r>
        <w:rPr>
          <w:rFonts w:eastAsia="Times New Roman"/>
          <w:color w:val="000000"/>
          <w:sz w:val="20"/>
          <w:szCs w:val="20"/>
        </w:rPr>
        <w:t>105</w:t>
      </w:r>
    </w:p>
    <w:p w:rsidR="00000000" w:rsidRDefault="00C56D69">
      <w:pPr>
        <w:rPr>
          <w:rFonts w:eastAsia="Times New Roman"/>
        </w:rPr>
      </w:pPr>
      <w:r>
        <w:rPr>
          <w:rFonts w:eastAsia="Times New Roman"/>
        </w:rPr>
        <w:pict>
          <v:rect id="_x0000_i1131" style="width:0;height:1.5pt" o:hralign="center" o:hrstd="t" o:hr="t" fillcolor="#a0a0a0" stroked="f"/>
        </w:pict>
      </w:r>
    </w:p>
    <w:p w:rsidR="00000000" w:rsidRDefault="00C56D69">
      <w:pPr>
        <w:divId w:val="1157920526"/>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654484065"/>
        <w:rPr>
          <w:rFonts w:eastAsia="Times New Roman"/>
        </w:rPr>
      </w:pPr>
      <w:r>
        <w:rPr>
          <w:rFonts w:eastAsia="Times New Roman"/>
          <w:i/>
          <w:iCs/>
          <w:color w:val="000000"/>
          <w:sz w:val="20"/>
          <w:szCs w:val="20"/>
          <w:u w:val="single"/>
        </w:rPr>
        <w:t>Capital Contribution to</w:t>
      </w:r>
      <w:r>
        <w:rPr>
          <w:rFonts w:eastAsia="Times New Roman"/>
          <w:i/>
          <w:iCs/>
          <w:color w:val="000000"/>
          <w:sz w:val="20"/>
          <w:szCs w:val="20"/>
          <w:u w:val="single"/>
        </w:rPr>
        <w:t xml:space="preserve"> Our Subsidiaries</w:t>
      </w:r>
    </w:p>
    <w:p w:rsidR="00000000" w:rsidRDefault="00C56D69">
      <w:pPr>
        <w:ind w:firstLine="360"/>
        <w:divId w:val="2012826278"/>
        <w:rPr>
          <w:rFonts w:eastAsia="Times New Roman"/>
        </w:rPr>
      </w:pPr>
      <w:r>
        <w:rPr>
          <w:rFonts w:eastAsia="Times New Roman"/>
          <w:color w:val="000000"/>
          <w:sz w:val="20"/>
          <w:szCs w:val="20"/>
        </w:rPr>
        <w:t>During the nine months ended September 30, 2022, Holdings made cash capital contributions of $150 million.</w:t>
      </w:r>
    </w:p>
    <w:p w:rsidR="00000000" w:rsidRDefault="00C56D69">
      <w:pPr>
        <w:divId w:val="1744797410"/>
        <w:rPr>
          <w:rFonts w:eastAsia="Times New Roman"/>
        </w:rPr>
      </w:pPr>
      <w:r>
        <w:rPr>
          <w:rFonts w:eastAsia="Times New Roman"/>
          <w:i/>
          <w:iCs/>
          <w:color w:val="000000"/>
          <w:sz w:val="20"/>
          <w:szCs w:val="20"/>
          <w:u w:val="single"/>
        </w:rPr>
        <w:t>Loans from Our Subsidiaries</w:t>
      </w:r>
    </w:p>
    <w:p w:rsidR="00000000" w:rsidRDefault="00C56D69">
      <w:pPr>
        <w:ind w:firstLine="360"/>
        <w:divId w:val="1074552887"/>
        <w:rPr>
          <w:rFonts w:eastAsia="Times New Roman"/>
        </w:rPr>
      </w:pPr>
      <w:r>
        <w:rPr>
          <w:rFonts w:eastAsia="Times New Roman"/>
          <w:color w:val="000000"/>
          <w:sz w:val="20"/>
          <w:szCs w:val="20"/>
        </w:rPr>
        <w:t>There were no loans from our subsidiaries during the nine months ended September 30, 2022.</w:t>
      </w:r>
    </w:p>
    <w:p w:rsidR="00000000" w:rsidRDefault="00C56D69">
      <w:pPr>
        <w:divId w:val="1313607044"/>
        <w:rPr>
          <w:rFonts w:eastAsia="Times New Roman"/>
        </w:rPr>
      </w:pPr>
      <w:r>
        <w:rPr>
          <w:rFonts w:eastAsia="Times New Roman"/>
          <w:i/>
          <w:iCs/>
          <w:color w:val="000000"/>
          <w:sz w:val="20"/>
          <w:szCs w:val="20"/>
          <w:u w:val="single"/>
        </w:rPr>
        <w:t>Cash Distrib</w:t>
      </w:r>
      <w:r>
        <w:rPr>
          <w:rFonts w:eastAsia="Times New Roman"/>
          <w:i/>
          <w:iCs/>
          <w:color w:val="000000"/>
          <w:sz w:val="20"/>
          <w:szCs w:val="20"/>
          <w:u w:val="single"/>
        </w:rPr>
        <w:t>utions from Our Subsidiaries</w:t>
      </w:r>
      <w:r>
        <w:rPr>
          <w:rFonts w:eastAsia="Times New Roman"/>
          <w:color w:val="000000"/>
          <w:sz w:val="20"/>
          <w:szCs w:val="20"/>
        </w:rPr>
        <w:t xml:space="preserve"> </w:t>
      </w:r>
    </w:p>
    <w:p w:rsidR="00000000" w:rsidRDefault="00C56D69">
      <w:pPr>
        <w:ind w:firstLine="360"/>
        <w:divId w:val="219751247"/>
        <w:rPr>
          <w:rFonts w:eastAsia="Times New Roman"/>
        </w:rPr>
      </w:pPr>
      <w:r>
        <w:rPr>
          <w:rFonts w:eastAsia="Times New Roman"/>
          <w:color w:val="000000"/>
          <w:sz w:val="20"/>
          <w:szCs w:val="20"/>
        </w:rPr>
        <w:t>During the nine months ended September 30, 2022, Holdings and certain of its subsidiaries received pretax cash distributions from AB of $481 million and post-tax distributions from Equitable Financial of $930 million and EIM o</w:t>
      </w:r>
      <w:r>
        <w:rPr>
          <w:rFonts w:eastAsia="Times New Roman"/>
          <w:color w:val="000000"/>
          <w:sz w:val="20"/>
          <w:szCs w:val="20"/>
        </w:rPr>
        <w:t xml:space="preserve">f $164 million. </w:t>
      </w:r>
    </w:p>
    <w:p w:rsidR="00000000" w:rsidRDefault="00C56D69">
      <w:pPr>
        <w:divId w:val="624585262"/>
        <w:rPr>
          <w:rFonts w:eastAsia="Times New Roman"/>
        </w:rPr>
      </w:pPr>
      <w:r>
        <w:rPr>
          <w:rFonts w:eastAsia="Times New Roman"/>
          <w:i/>
          <w:iCs/>
          <w:color w:val="000000"/>
          <w:sz w:val="20"/>
          <w:szCs w:val="20"/>
          <w:u w:val="single"/>
        </w:rPr>
        <w:t>Distributions from Insurance Subsidiaries</w:t>
      </w:r>
    </w:p>
    <w:p w:rsidR="00000000" w:rsidRDefault="00C56D69">
      <w:pPr>
        <w:ind w:firstLine="360"/>
        <w:divId w:val="549801599"/>
        <w:rPr>
          <w:rFonts w:eastAsia="Times New Roman"/>
        </w:rPr>
      </w:pPr>
      <w:r>
        <w:rPr>
          <w:rFonts w:eastAsia="Times New Roman"/>
          <w:color w:val="000000"/>
          <w:sz w:val="20"/>
          <w:szCs w:val="20"/>
        </w:rPr>
        <w:t>Our insurance companies are subject to limitations on the payment of dividends and other transfers of funds to Holdings and other affiliates under applicable insurance law and regulation. Also, more generally, the ability of our insurance subsidiaries to p</w:t>
      </w:r>
      <w:r>
        <w:rPr>
          <w:rFonts w:eastAsia="Times New Roman"/>
          <w:color w:val="000000"/>
          <w:sz w:val="20"/>
          <w:szCs w:val="20"/>
        </w:rPr>
        <w:t xml:space="preserve">ay dividends can be affected by market conditions and other factors beyond our control. </w:t>
      </w:r>
    </w:p>
    <w:p w:rsidR="00000000" w:rsidRDefault="00C56D69">
      <w:pPr>
        <w:ind w:firstLine="360"/>
        <w:divId w:val="2137790537"/>
        <w:rPr>
          <w:rFonts w:eastAsia="Times New Roman"/>
        </w:rPr>
      </w:pPr>
      <w:r>
        <w:rPr>
          <w:rFonts w:eastAsia="Times New Roman"/>
          <w:color w:val="000000"/>
          <w:sz w:val="20"/>
          <w:szCs w:val="20"/>
        </w:rPr>
        <w:t>Under New York insurance laws, which are applicable to Equitable Financial, a domestic stock life insurer may not, without prior approval of the NYDFS, pay an ordinary</w:t>
      </w:r>
      <w:r>
        <w:rPr>
          <w:rFonts w:eastAsia="Times New Roman"/>
          <w:color w:val="000000"/>
          <w:sz w:val="20"/>
          <w:szCs w:val="20"/>
        </w:rPr>
        <w:t xml:space="preserve"> dividend to its stockholders exceeding an amount calculated based on a statutory formula (“Ordinary Dividend”). Dividends in excess of this amount require the insurer to file a notice of its intent to declare the dividends with the NYDFS and obtain prior </w:t>
      </w:r>
      <w:r>
        <w:rPr>
          <w:rFonts w:eastAsia="Times New Roman"/>
          <w:color w:val="000000"/>
          <w:sz w:val="20"/>
          <w:szCs w:val="20"/>
        </w:rPr>
        <w:t>approval or non-disapproval from the NYDFS with respect to such dividends (“Extraordinary Dividends”). Due to a permitted statutory accounting practice agreed to with the NYDFS, Equitable Financial will need the prior approval of the NYDFS to pay the porti</w:t>
      </w:r>
      <w:r>
        <w:rPr>
          <w:rFonts w:eastAsia="Times New Roman"/>
          <w:color w:val="000000"/>
          <w:sz w:val="20"/>
          <w:szCs w:val="20"/>
        </w:rPr>
        <w:t>on, if any, of any Ordinary Dividend that exceeds the Ordinary Dividend that Equitable Financial would be permitted to pay under New York insurance law absent the application of such permitted practice (such excess, the “Permitted Practice Ordinary Dividen</w:t>
      </w:r>
      <w:r>
        <w:rPr>
          <w:rFonts w:eastAsia="Times New Roman"/>
          <w:color w:val="000000"/>
          <w:sz w:val="20"/>
          <w:szCs w:val="20"/>
        </w:rPr>
        <w:t>d”). Applying the formula above, Equitable Financial could pay an Ordinary Dividend of up to approximately $0.9 billion in 2022 without the prior approval of the NYDFS. Holdings received a dividend distribution from Equitable Financial of $0.9 billion duri</w:t>
      </w:r>
      <w:r>
        <w:rPr>
          <w:rFonts w:eastAsia="Times New Roman"/>
          <w:color w:val="000000"/>
          <w:sz w:val="20"/>
          <w:szCs w:val="20"/>
        </w:rPr>
        <w:t>ng July 2022.</w:t>
      </w:r>
    </w:p>
    <w:p w:rsidR="00000000" w:rsidRDefault="00C56D69">
      <w:pPr>
        <w:divId w:val="1046565916"/>
        <w:rPr>
          <w:rFonts w:eastAsia="Times New Roman"/>
        </w:rPr>
      </w:pPr>
      <w:r>
        <w:rPr>
          <w:rFonts w:eastAsia="Times New Roman"/>
          <w:i/>
          <w:iCs/>
          <w:color w:val="000000"/>
          <w:sz w:val="20"/>
          <w:szCs w:val="20"/>
          <w:u w:val="single"/>
        </w:rPr>
        <w:t>Distributions from AllianceBernstein</w:t>
      </w:r>
    </w:p>
    <w:p w:rsidR="00000000" w:rsidRDefault="00C56D69">
      <w:pPr>
        <w:ind w:firstLine="360"/>
        <w:divId w:val="1413547697"/>
        <w:rPr>
          <w:rFonts w:eastAsia="Times New Roman"/>
        </w:rPr>
      </w:pPr>
      <w:r>
        <w:rPr>
          <w:rFonts w:eastAsia="Times New Roman"/>
          <w:color w:val="000000"/>
          <w:sz w:val="20"/>
          <w:szCs w:val="20"/>
        </w:rPr>
        <w:t>ABLP is required to distribute all of its Available Cash Flow, as defined in the Amended and Restated Partnership Agreement of ABLP, to the holders of AB Units and to the General Partner. Available Cash Fl</w:t>
      </w:r>
      <w:r>
        <w:rPr>
          <w:rFonts w:eastAsia="Times New Roman"/>
          <w:color w:val="000000"/>
          <w:sz w:val="20"/>
          <w:szCs w:val="20"/>
        </w:rPr>
        <w:t>ow is defined as the cash flow received by ABLP from operations minus such amounts as the General Partner determines, in its sole discretion, should be retained by ABLP for use in its business, or plus such amounts as the General Partner determines, in its</w:t>
      </w:r>
      <w:r>
        <w:rPr>
          <w:rFonts w:eastAsia="Times New Roman"/>
          <w:color w:val="000000"/>
          <w:sz w:val="20"/>
          <w:szCs w:val="20"/>
        </w:rPr>
        <w:t xml:space="preserve"> sole discretion, should be released from previously retained cash flow. Distributions by ABLP are made 1% to the General Partner and 99% among the limited partners.</w:t>
      </w:r>
    </w:p>
    <w:p w:rsidR="00000000" w:rsidRDefault="00C56D69">
      <w:pPr>
        <w:ind w:firstLine="360"/>
        <w:divId w:val="1073626156"/>
        <w:rPr>
          <w:rFonts w:eastAsia="Times New Roman"/>
        </w:rPr>
      </w:pPr>
      <w:r>
        <w:rPr>
          <w:rFonts w:eastAsia="Times New Roman"/>
          <w:color w:val="000000"/>
          <w:sz w:val="20"/>
          <w:szCs w:val="20"/>
        </w:rPr>
        <w:t>Typically, Available Cash Flow has been the adjusted diluted net income per unit for the q</w:t>
      </w:r>
      <w:r>
        <w:rPr>
          <w:rFonts w:eastAsia="Times New Roman"/>
          <w:color w:val="000000"/>
          <w:sz w:val="20"/>
          <w:szCs w:val="20"/>
        </w:rPr>
        <w:t xml:space="preserve">uarter multiplied by the number of general and limited partnership interests at the end of the quarter. In future periods, management of AB anticipates that Available Cash Flow will be based on adjusted diluted net income per unit, unless management of AB </w:t>
      </w:r>
      <w:r>
        <w:rPr>
          <w:rFonts w:eastAsia="Times New Roman"/>
          <w:color w:val="000000"/>
          <w:sz w:val="20"/>
          <w:szCs w:val="20"/>
        </w:rPr>
        <w:t>determines, with the concurrence of the Board of Directors of AB, that one or more adjustments that are made for adjusted net income should not be made with respect to the Available Cash Flow calculation.</w:t>
      </w:r>
    </w:p>
    <w:p w:rsidR="00000000" w:rsidRDefault="00C56D69">
      <w:pPr>
        <w:ind w:firstLine="360"/>
        <w:divId w:val="89132414"/>
        <w:rPr>
          <w:rFonts w:eastAsia="Times New Roman"/>
        </w:rPr>
      </w:pPr>
      <w:r>
        <w:rPr>
          <w:rFonts w:eastAsia="Times New Roman"/>
          <w:color w:val="000000"/>
          <w:sz w:val="20"/>
          <w:szCs w:val="20"/>
        </w:rPr>
        <w:t>AB Holding is required to distribute all of its Ava</w:t>
      </w:r>
      <w:r>
        <w:rPr>
          <w:rFonts w:eastAsia="Times New Roman"/>
          <w:color w:val="000000"/>
          <w:sz w:val="20"/>
          <w:szCs w:val="20"/>
        </w:rPr>
        <w:t>ilable Cash Flow, as defined in the Amended and Restated Agreement of Limited Partnership of AB Holding, to holders of AB Holding Units pro rata in accordance with their percentage interest in AB Holding. Available Cash Flow is defined as the cash distribu</w:t>
      </w:r>
      <w:r>
        <w:rPr>
          <w:rFonts w:eastAsia="Times New Roman"/>
          <w:color w:val="000000"/>
          <w:sz w:val="20"/>
          <w:szCs w:val="20"/>
        </w:rPr>
        <w:t>tions AB Holding receives from ABLP minus such amounts as the General Partner determines, in its sole discretion, should be retained by AB Holding for use in its business (such as the payment of taxes) or plus such amounts as the General Partner determines</w:t>
      </w:r>
      <w:r>
        <w:rPr>
          <w:rFonts w:eastAsia="Times New Roman"/>
          <w:color w:val="000000"/>
          <w:sz w:val="20"/>
          <w:szCs w:val="20"/>
        </w:rPr>
        <w:t>, in its sole discretion, should be released from previously retained cash flow. AB Holding is dependent on the quarterly cash distributions it receives from ABLP, which is subject to the performance of capital markets and other factors beyond our control.</w:t>
      </w:r>
      <w:r>
        <w:rPr>
          <w:rFonts w:eastAsia="Times New Roman"/>
          <w:color w:val="000000"/>
          <w:sz w:val="20"/>
          <w:szCs w:val="20"/>
        </w:rPr>
        <w:t xml:space="preserve"> Distributions from AB Holding are made pro rata based on the holder’s percentage ownership interest in AB Holding.</w:t>
      </w:r>
    </w:p>
    <w:p w:rsidR="00000000" w:rsidRDefault="00C56D69">
      <w:pPr>
        <w:ind w:firstLine="360"/>
        <w:divId w:val="936251368"/>
        <w:rPr>
          <w:rFonts w:eastAsia="Times New Roman"/>
        </w:rPr>
      </w:pPr>
      <w:r>
        <w:rPr>
          <w:rFonts w:eastAsia="Times New Roman"/>
          <w:color w:val="000000"/>
          <w:sz w:val="20"/>
          <w:szCs w:val="20"/>
        </w:rPr>
        <w:t>As of September 30, 2022, Holdings and its non-insurance company subsidiaries hold approximately 170.1 million AB Units, 4.1 million AB Hold</w:t>
      </w:r>
      <w:r>
        <w:rPr>
          <w:rFonts w:eastAsia="Times New Roman"/>
          <w:color w:val="000000"/>
          <w:sz w:val="20"/>
          <w:szCs w:val="20"/>
        </w:rPr>
        <w:t>ing Units and the 1% General Partnership interest in ABLP.</w:t>
      </w:r>
    </w:p>
    <w:p w:rsidR="00000000" w:rsidRDefault="00C56D69">
      <w:pPr>
        <w:ind w:firstLine="360"/>
        <w:divId w:val="1263880819"/>
        <w:rPr>
          <w:rFonts w:eastAsia="Times New Roman"/>
        </w:rPr>
      </w:pPr>
      <w:r>
        <w:rPr>
          <w:rFonts w:eastAsia="Times New Roman"/>
          <w:color w:val="000000"/>
          <w:sz w:val="20"/>
          <w:szCs w:val="20"/>
        </w:rPr>
        <w:t xml:space="preserve">As of September 30, 2022, the ownership structure of ABLP, including AB Units outstanding as well as the general partner’s 1% interest, was as follows: </w:t>
      </w:r>
    </w:p>
    <w:p w:rsidR="00000000" w:rsidRDefault="00C56D69">
      <w:pPr>
        <w:jc w:val="center"/>
        <w:divId w:val="1293486526"/>
        <w:rPr>
          <w:rFonts w:eastAsia="Times New Roman"/>
        </w:rPr>
      </w:pPr>
      <w:r>
        <w:rPr>
          <w:rFonts w:eastAsia="Times New Roman"/>
          <w:color w:val="000000"/>
          <w:sz w:val="20"/>
          <w:szCs w:val="20"/>
        </w:rPr>
        <w:t>106</w:t>
      </w:r>
    </w:p>
    <w:p w:rsidR="00000000" w:rsidRDefault="00C56D69">
      <w:pPr>
        <w:rPr>
          <w:rFonts w:eastAsia="Times New Roman"/>
        </w:rPr>
      </w:pPr>
      <w:r>
        <w:rPr>
          <w:rFonts w:eastAsia="Times New Roman"/>
        </w:rPr>
        <w:pict>
          <v:rect id="_x0000_i1132" style="width:0;height:1.5pt" o:hralign="center" o:hrstd="t" o:hr="t" fillcolor="#a0a0a0" stroked="f"/>
        </w:pict>
      </w:r>
    </w:p>
    <w:p w:rsidR="00000000" w:rsidRDefault="00C56D69">
      <w:pPr>
        <w:divId w:val="593706189"/>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1666587853"/>
        </w:trPr>
        <w:tc>
          <w:tcPr>
            <w:tcW w:w="50" w:type="pct"/>
            <w:vAlign w:val="center"/>
            <w:hideMark/>
          </w:tcPr>
          <w:p w:rsidR="00000000" w:rsidRDefault="00C56D69">
            <w:pPr>
              <w:rPr>
                <w:rFonts w:eastAsia="Times New Roman"/>
              </w:rPr>
            </w:pPr>
          </w:p>
        </w:tc>
        <w:tc>
          <w:tcPr>
            <w:tcW w:w="421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7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666587853"/>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Percentage Ownership</w:t>
            </w:r>
          </w:p>
        </w:tc>
      </w:tr>
      <w:tr w:rsidR="00000000">
        <w:trPr>
          <w:divId w:val="166658785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66658785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666587853"/>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r w:rsidR="00000000">
        <w:trPr>
          <w:divId w:val="1666587853"/>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r>
              <w:rPr>
                <w:rFonts w:eastAsia="Times New Roman"/>
                <w:color w:val="000000"/>
                <w:sz w:val="20"/>
                <w:szCs w:val="20"/>
              </w:rPr>
              <w:t>%</w:t>
            </w:r>
          </w:p>
        </w:tc>
      </w:tr>
    </w:tbl>
    <w:p w:rsidR="00000000" w:rsidRDefault="00C56D69">
      <w:pPr>
        <w:ind w:firstLine="360"/>
        <w:divId w:val="50858719"/>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64% economic interest in AB as of September 30, 2022. The issuance of AB Units relating to the CarVal acquisit</w:t>
      </w:r>
      <w:r>
        <w:rPr>
          <w:rFonts w:eastAsia="Times New Roman"/>
          <w:color w:val="000000"/>
          <w:sz w:val="20"/>
          <w:szCs w:val="20"/>
        </w:rPr>
        <w:t>ion is not expected to have a significant impact on the Company’s cash flows.</w:t>
      </w:r>
    </w:p>
    <w:p w:rsidR="00000000" w:rsidRDefault="00C56D69">
      <w:pPr>
        <w:divId w:val="568073883"/>
        <w:rPr>
          <w:rFonts w:eastAsia="Times New Roman"/>
        </w:rPr>
      </w:pPr>
      <w:r>
        <w:rPr>
          <w:rFonts w:eastAsia="Times New Roman"/>
          <w:i/>
          <w:iCs/>
          <w:color w:val="000000"/>
          <w:sz w:val="20"/>
          <w:szCs w:val="20"/>
          <w:u w:val="single"/>
        </w:rPr>
        <w:t xml:space="preserve">Holdings Credit Facilities </w:t>
      </w:r>
    </w:p>
    <w:p w:rsidR="00000000" w:rsidRDefault="00C56D69">
      <w:pPr>
        <w:ind w:firstLine="360"/>
        <w:divId w:val="706221437"/>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C56D69">
      <w:pPr>
        <w:ind w:firstLine="360"/>
        <w:divId w:val="1696929652"/>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C56D69">
      <w:pPr>
        <w:ind w:firstLine="360"/>
        <w:divId w:val="1231622563"/>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September 30, 2022, we we</w:t>
      </w:r>
      <w:r>
        <w:rPr>
          <w:rFonts w:eastAsia="Times New Roman"/>
          <w:color w:val="000000"/>
          <w:sz w:val="20"/>
          <w:szCs w:val="20"/>
        </w:rPr>
        <w:t>re in compliance with these covenants.</w:t>
      </w:r>
    </w:p>
    <w:p w:rsidR="00000000" w:rsidRDefault="00C56D69">
      <w:pPr>
        <w:divId w:val="732586483"/>
        <w:rPr>
          <w:rFonts w:eastAsia="Times New Roman"/>
        </w:rPr>
      </w:pPr>
      <w:r>
        <w:rPr>
          <w:rFonts w:eastAsia="Times New Roman"/>
          <w:i/>
          <w:iCs/>
          <w:color w:val="000000"/>
          <w:sz w:val="20"/>
          <w:szCs w:val="20"/>
          <w:u w:val="single"/>
        </w:rPr>
        <w:t xml:space="preserve">Contingent Funding Arrangements </w:t>
      </w:r>
    </w:p>
    <w:p w:rsidR="00000000" w:rsidRDefault="00C56D69">
      <w:pPr>
        <w:ind w:firstLine="360"/>
        <w:divId w:val="1214733804"/>
        <w:rPr>
          <w:rFonts w:eastAsia="Times New Roman"/>
        </w:rPr>
      </w:pPr>
      <w:r>
        <w:rPr>
          <w:rFonts w:eastAsia="Times New Roman"/>
          <w:color w:val="000000"/>
          <w:sz w:val="20"/>
          <w:szCs w:val="20"/>
        </w:rPr>
        <w:t>For information regarding activity pertaining to our contingent funding arrangements and other off-balance sheet commitments, see “Commitments and Contingent Liabilities” in Note 12 of</w:t>
      </w:r>
      <w:r>
        <w:rPr>
          <w:rFonts w:eastAsia="Times New Roman"/>
          <w:color w:val="000000"/>
          <w:sz w:val="20"/>
          <w:szCs w:val="20"/>
        </w:rPr>
        <w:t xml:space="preserve"> the Notes to the Consolidated Financial Statements in this Form 10-Q.</w:t>
      </w:r>
    </w:p>
    <w:p w:rsidR="00000000" w:rsidRDefault="00C56D69">
      <w:pPr>
        <w:divId w:val="1496266764"/>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C56D69">
      <w:pPr>
        <w:ind w:firstLine="360"/>
        <w:divId w:val="925459856"/>
        <w:rPr>
          <w:rFonts w:eastAsia="Times New Roman"/>
        </w:rPr>
      </w:pPr>
      <w:r>
        <w:rPr>
          <w:rFonts w:eastAsia="Times New Roman"/>
          <w:color w:val="000000"/>
          <w:sz w:val="20"/>
          <w:szCs w:val="20"/>
        </w:rPr>
        <w:t>For information pertaining to our Series A Preferred Stock, Series B Preferred Stock and Series C Prefer</w:t>
      </w:r>
      <w:r>
        <w:rPr>
          <w:rFonts w:eastAsia="Times New Roman"/>
          <w:color w:val="000000"/>
          <w:sz w:val="20"/>
          <w:szCs w:val="20"/>
        </w:rPr>
        <w:t>red Stock see Note 10 of the Notes to the Consolidated Financial Statements.</w:t>
      </w:r>
    </w:p>
    <w:p w:rsidR="00000000" w:rsidRDefault="00C56D69">
      <w:pPr>
        <w:jc w:val="both"/>
        <w:divId w:val="1856387264"/>
        <w:rPr>
          <w:rFonts w:eastAsia="Times New Roman"/>
        </w:rPr>
      </w:pPr>
      <w:r>
        <w:rPr>
          <w:rFonts w:eastAsia="Times New Roman"/>
          <w:b/>
          <w:bCs/>
          <w:i/>
          <w:iCs/>
          <w:color w:val="000000"/>
          <w:sz w:val="20"/>
          <w:szCs w:val="20"/>
        </w:rPr>
        <w:t>Capital Position of Holdings</w:t>
      </w:r>
    </w:p>
    <w:p w:rsidR="00000000" w:rsidRDefault="00C56D69">
      <w:pPr>
        <w:ind w:firstLine="360"/>
        <w:divId w:val="670372927"/>
        <w:rPr>
          <w:rFonts w:eastAsia="Times New Roman"/>
        </w:rPr>
      </w:pPr>
      <w:r>
        <w:rPr>
          <w:rFonts w:eastAsia="Times New Roman"/>
          <w:color w:val="000000"/>
          <w:sz w:val="20"/>
          <w:szCs w:val="20"/>
        </w:rPr>
        <w:t>We manage our capital position to maintain financial strength and credit ratings that facilitate the distribution of our products and provide our desi</w:t>
      </w:r>
      <w:r>
        <w:rPr>
          <w:rFonts w:eastAsia="Times New Roman"/>
          <w:color w:val="000000"/>
          <w:sz w:val="20"/>
          <w:szCs w:val="20"/>
        </w:rPr>
        <w:t xml:space="preserve">red level of access to the bank and capital markets. Our capital position is supported by the ability of our subsidiaries to generate cash flows and distribute cash to us and our ability to effectively manage the risk of our businesses and to borrow funds </w:t>
      </w:r>
      <w:r>
        <w:rPr>
          <w:rFonts w:eastAsia="Times New Roman"/>
          <w:color w:val="000000"/>
          <w:sz w:val="20"/>
          <w:szCs w:val="20"/>
        </w:rPr>
        <w:t>and raise capital to meet our operating and growth needs.</w:t>
      </w:r>
    </w:p>
    <w:p w:rsidR="00000000" w:rsidRDefault="00C56D69">
      <w:pPr>
        <w:ind w:firstLine="360"/>
        <w:divId w:val="1219631392"/>
        <w:rPr>
          <w:rFonts w:eastAsia="Times New Roman"/>
        </w:rPr>
      </w:pPr>
      <w:r>
        <w:rPr>
          <w:rFonts w:eastAsia="Times New Roman"/>
          <w:color w:val="000000"/>
          <w:sz w:val="20"/>
          <w:szCs w:val="20"/>
        </w:rPr>
        <w:t>Our Board and senior management are directly involved in the development of our capital management policies. Accordingly, capital actions, including proposed changes to the annual capital plan, capi</w:t>
      </w:r>
      <w:r>
        <w:rPr>
          <w:rFonts w:eastAsia="Times New Roman"/>
          <w:color w:val="000000"/>
          <w:sz w:val="20"/>
          <w:szCs w:val="20"/>
        </w:rPr>
        <w:t>tal targets and capital policies, are approved by the Board.</w:t>
      </w:r>
    </w:p>
    <w:p w:rsidR="00000000" w:rsidRDefault="00C56D69">
      <w:pPr>
        <w:jc w:val="center"/>
        <w:divId w:val="1589145910"/>
        <w:rPr>
          <w:rFonts w:eastAsia="Times New Roman"/>
        </w:rPr>
      </w:pPr>
      <w:r>
        <w:rPr>
          <w:rFonts w:eastAsia="Times New Roman"/>
          <w:color w:val="000000"/>
          <w:sz w:val="20"/>
          <w:szCs w:val="20"/>
        </w:rPr>
        <w:t>107</w:t>
      </w:r>
    </w:p>
    <w:p w:rsidR="00000000" w:rsidRDefault="00C56D69">
      <w:pPr>
        <w:rPr>
          <w:rFonts w:eastAsia="Times New Roman"/>
        </w:rPr>
      </w:pPr>
      <w:r>
        <w:rPr>
          <w:rFonts w:eastAsia="Times New Roman"/>
        </w:rPr>
        <w:pict>
          <v:rect id="_x0000_i1133" style="width:0;height:1.5pt" o:hralign="center" o:hrstd="t" o:hr="t" fillcolor="#a0a0a0" stroked="f"/>
        </w:pict>
      </w:r>
    </w:p>
    <w:p w:rsidR="00000000" w:rsidRDefault="00C56D69">
      <w:pPr>
        <w:divId w:val="158152648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253632322"/>
        <w:rPr>
          <w:rFonts w:eastAsia="Times New Roman"/>
        </w:rPr>
      </w:pPr>
      <w:r>
        <w:rPr>
          <w:rFonts w:eastAsia="Times New Roman"/>
          <w:i/>
          <w:iCs/>
          <w:color w:val="000000"/>
          <w:sz w:val="20"/>
          <w:szCs w:val="20"/>
          <w:u w:val="single"/>
        </w:rPr>
        <w:t>Dividends Declared and Paid</w:t>
      </w:r>
    </w:p>
    <w:p w:rsidR="00000000" w:rsidRDefault="00C56D69">
      <w:pPr>
        <w:ind w:firstLine="360"/>
        <w:divId w:val="953177290"/>
        <w:rPr>
          <w:rFonts w:eastAsia="Times New Roman"/>
        </w:rPr>
      </w:pPr>
      <w:r>
        <w:rPr>
          <w:rFonts w:eastAsia="Times New Roman"/>
          <w:color w:val="000000"/>
          <w:sz w:val="20"/>
          <w:szCs w:val="20"/>
        </w:rPr>
        <w:t>The declaration and payment of future dividends i</w:t>
      </w:r>
      <w:r>
        <w:rPr>
          <w:rFonts w:eastAsia="Times New Roman"/>
          <w:color w:val="000000"/>
          <w:sz w:val="20"/>
          <w:szCs w:val="20"/>
        </w:rPr>
        <w:t>s subject to the discretion of our Board of Directors and depends on our financial condition, results of operations, cash requirements, future prospects, regulatory restrictions on the payment of dividends by Holdings’ insurance subsidiaries and other fact</w:t>
      </w:r>
      <w:r>
        <w:rPr>
          <w:rFonts w:eastAsia="Times New Roman"/>
          <w:color w:val="000000"/>
          <w:sz w:val="20"/>
          <w:szCs w:val="20"/>
        </w:rPr>
        <w:t>ors deemed relevant by the Board. </w:t>
      </w:r>
    </w:p>
    <w:p w:rsidR="00000000" w:rsidRDefault="00C56D69">
      <w:pPr>
        <w:ind w:firstLine="360"/>
        <w:divId w:val="1716082177"/>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 Series B and Series C Preferred Stock for the last proceeding dividend perio</w:t>
      </w:r>
      <w:r>
        <w:rPr>
          <w:rFonts w:eastAsia="Times New Roman"/>
          <w:color w:val="000000"/>
          <w:sz w:val="20"/>
          <w:szCs w:val="20"/>
        </w:rPr>
        <w:t>d. For additional information on our preferred stock, see “—Series A Preferred Stock, Series B Preferred Stock and Series C Preferred Stock”.</w:t>
      </w:r>
    </w:p>
    <w:p w:rsidR="00000000" w:rsidRDefault="00C56D69">
      <w:pPr>
        <w:ind w:firstLine="360"/>
        <w:divId w:val="1990941849"/>
        <w:rPr>
          <w:rFonts w:eastAsia="Times New Roman"/>
        </w:rPr>
      </w:pPr>
      <w:r>
        <w:rPr>
          <w:rFonts w:eastAsia="Times New Roman"/>
          <w:color w:val="000000"/>
          <w:sz w:val="20"/>
          <w:szCs w:val="20"/>
        </w:rPr>
        <w:t xml:space="preserve">For information regarding activity pertaining to common and preferred dividends declared and paid, see Note 10 of </w:t>
      </w:r>
      <w:r>
        <w:rPr>
          <w:rFonts w:eastAsia="Times New Roman"/>
          <w:color w:val="000000"/>
          <w:sz w:val="20"/>
          <w:szCs w:val="20"/>
        </w:rPr>
        <w:t xml:space="preserve">the Notes to the Consolidated Financial Statements. </w:t>
      </w:r>
    </w:p>
    <w:p w:rsidR="00000000" w:rsidRDefault="00C56D69">
      <w:pPr>
        <w:divId w:val="1849169617"/>
        <w:rPr>
          <w:rFonts w:eastAsia="Times New Roman"/>
        </w:rPr>
      </w:pPr>
      <w:r>
        <w:rPr>
          <w:rFonts w:eastAsia="Times New Roman"/>
          <w:i/>
          <w:iCs/>
          <w:color w:val="000000"/>
          <w:sz w:val="20"/>
          <w:szCs w:val="20"/>
          <w:u w:val="single"/>
        </w:rPr>
        <w:t>Share Repurchase Programs</w:t>
      </w:r>
    </w:p>
    <w:p w:rsidR="00000000" w:rsidRDefault="00C56D69">
      <w:pPr>
        <w:ind w:firstLine="360"/>
        <w:divId w:val="1597447011"/>
        <w:rPr>
          <w:rFonts w:eastAsia="Times New Roman"/>
        </w:rPr>
      </w:pPr>
      <w:r>
        <w:rPr>
          <w:rFonts w:eastAsia="Times New Roman"/>
          <w:color w:val="000000"/>
          <w:sz w:val="20"/>
          <w:szCs w:val="20"/>
        </w:rPr>
        <w:t>For information regarding activity pertaining to share repurchase programs, see Note 10 of the Notes to the Consolidated Financial Statements.</w:t>
      </w:r>
    </w:p>
    <w:p w:rsidR="00000000" w:rsidRDefault="00C56D69">
      <w:pPr>
        <w:jc w:val="both"/>
        <w:divId w:val="903026831"/>
        <w:rPr>
          <w:rFonts w:eastAsia="Times New Roman"/>
        </w:rPr>
      </w:pPr>
      <w:r>
        <w:rPr>
          <w:rFonts w:eastAsia="Times New Roman"/>
          <w:b/>
          <w:bCs/>
          <w:i/>
          <w:iCs/>
          <w:color w:val="000000"/>
          <w:sz w:val="20"/>
          <w:szCs w:val="20"/>
        </w:rPr>
        <w:t>Sources and Uses of Liquidity of Our Insurance Subsidiaries</w:t>
      </w:r>
    </w:p>
    <w:p w:rsidR="00000000" w:rsidRDefault="00C56D69">
      <w:pPr>
        <w:ind w:firstLine="360"/>
        <w:divId w:val="1181506861"/>
        <w:rPr>
          <w:rFonts w:eastAsia="Times New Roman"/>
        </w:rPr>
      </w:pPr>
      <w:r>
        <w:rPr>
          <w:rFonts w:eastAsia="Times New Roman"/>
          <w:color w:val="000000"/>
          <w:sz w:val="20"/>
          <w:szCs w:val="20"/>
        </w:rPr>
        <w:t xml:space="preserve">The principal sources of liquidity for our insurance subsidiaries are premiums, investment and fee income, deposits associated with our insurance and annuity operations, cash and invested assets, </w:t>
      </w:r>
      <w:r>
        <w:rPr>
          <w:rFonts w:eastAsia="Times New Roman"/>
          <w:color w:val="000000"/>
          <w:sz w:val="20"/>
          <w:szCs w:val="20"/>
        </w:rPr>
        <w:t>as well as internal borrowings. The principal uses of that liquidity include benefits, claims and dividends paid to policyholders and payments to policyholders in connection with surrenders and withdrawals. Other uses of liquidity include commissions, gene</w:t>
      </w:r>
      <w:r>
        <w:rPr>
          <w:rFonts w:eastAsia="Times New Roman"/>
          <w:color w:val="000000"/>
          <w:sz w:val="20"/>
          <w:szCs w:val="20"/>
        </w:rPr>
        <w:t>ral and administrative expenses, purchases of investments, the payment of dividends to Holdings and hedging activity. Certain of our insurance subsidiaries’ principal sources and uses of liquidity are described in the paragraphs that follow.</w:t>
      </w:r>
    </w:p>
    <w:p w:rsidR="00000000" w:rsidRDefault="00C56D69">
      <w:pPr>
        <w:ind w:firstLine="360"/>
        <w:divId w:val="430128433"/>
        <w:rPr>
          <w:rFonts w:eastAsia="Times New Roman"/>
        </w:rPr>
      </w:pPr>
      <w:r>
        <w:rPr>
          <w:rFonts w:eastAsia="Times New Roman"/>
          <w:color w:val="000000"/>
          <w:sz w:val="20"/>
          <w:szCs w:val="20"/>
        </w:rPr>
        <w:t xml:space="preserve">We manage the </w:t>
      </w:r>
      <w:r>
        <w:rPr>
          <w:rFonts w:eastAsia="Times New Roman"/>
          <w:color w:val="000000"/>
          <w:sz w:val="20"/>
          <w:szCs w:val="20"/>
        </w:rPr>
        <w:t xml:space="preserve">liquidity of our insurance subsidiaries with the objective of ensuring that they can meet payment obligations linked to our Individual Retirement, Group Retirement and Protection Solutions businesses and to their outstanding debt and derivative positions, </w:t>
      </w:r>
      <w:r>
        <w:rPr>
          <w:rFonts w:eastAsia="Times New Roman"/>
          <w:color w:val="000000"/>
          <w:sz w:val="20"/>
          <w:szCs w:val="20"/>
        </w:rPr>
        <w:t xml:space="preserve">including in our hedging programs, without support from Holdings. We employ an asset/liability management approach specific to the requirements of each of our insurance businesses. We measure liquidity against internally-developed benchmarks that consider </w:t>
      </w:r>
      <w:r>
        <w:rPr>
          <w:rFonts w:eastAsia="Times New Roman"/>
          <w:color w:val="000000"/>
          <w:sz w:val="20"/>
          <w:szCs w:val="20"/>
        </w:rPr>
        <w:t xml:space="preserve">the characteristics of our asset portfolio and the liabilities that it supports in both the short-term (the next 12 months) and long-term (beyond the next 12 months). We consider attributes of the various categories of our liquid assets (for example, type </w:t>
      </w:r>
      <w:r>
        <w:rPr>
          <w:rFonts w:eastAsia="Times New Roman"/>
          <w:color w:val="000000"/>
          <w:sz w:val="20"/>
          <w:szCs w:val="20"/>
        </w:rPr>
        <w:t xml:space="preserve">of asset and credit quality) in calculating internal liquidity indicators for our insurance and reinsurance operations. Our liquidity benchmarks are established for various stress scenarios and durations, including company-specific and market-wide events. </w:t>
      </w:r>
      <w:r>
        <w:rPr>
          <w:rFonts w:eastAsia="Times New Roman"/>
          <w:color w:val="000000"/>
          <w:sz w:val="20"/>
          <w:szCs w:val="20"/>
        </w:rPr>
        <w:t xml:space="preserve">The scenarios we use to evaluate the liquidity of our subsidiaries are defined to allow operating entities to operate without support from Holdings. </w:t>
      </w:r>
    </w:p>
    <w:p w:rsidR="00000000" w:rsidRDefault="00C56D69">
      <w:pPr>
        <w:divId w:val="360470868"/>
        <w:rPr>
          <w:rFonts w:eastAsia="Times New Roman"/>
        </w:rPr>
      </w:pPr>
      <w:r>
        <w:rPr>
          <w:rFonts w:eastAsia="Times New Roman"/>
          <w:i/>
          <w:iCs/>
          <w:color w:val="000000"/>
          <w:sz w:val="20"/>
          <w:szCs w:val="20"/>
          <w:u w:val="single"/>
        </w:rPr>
        <w:t>Liquid Assets</w:t>
      </w:r>
    </w:p>
    <w:p w:rsidR="00000000" w:rsidRDefault="00C56D69">
      <w:pPr>
        <w:ind w:firstLine="360"/>
        <w:divId w:val="505900179"/>
        <w:rPr>
          <w:rFonts w:eastAsia="Times New Roman"/>
        </w:rPr>
      </w:pPr>
      <w:r>
        <w:rPr>
          <w:rFonts w:eastAsia="Times New Roman"/>
          <w:color w:val="000000"/>
          <w:sz w:val="20"/>
          <w:szCs w:val="20"/>
        </w:rPr>
        <w:t>The investment portfolios of our insurance subsidiaries are a significant component of our o</w:t>
      </w:r>
      <w:r>
        <w:rPr>
          <w:rFonts w:eastAsia="Times New Roman"/>
          <w:color w:val="000000"/>
          <w:sz w:val="20"/>
          <w:szCs w:val="20"/>
        </w:rPr>
        <w:t>verall liquidity. Liquid assets include cash and cash equivalents, short-term investments, U.S. Treasury fixed maturities, fixed maturities that are not designated as HTM and public equity securities. We believe that our business operations and the liquidi</w:t>
      </w:r>
      <w:r>
        <w:rPr>
          <w:rFonts w:eastAsia="Times New Roman"/>
          <w:color w:val="000000"/>
          <w:sz w:val="20"/>
          <w:szCs w:val="20"/>
        </w:rPr>
        <w:t>ty profile of our assets provide sufficient liquidity under reasonably foreseeable stress scenarios for each of our insurance subsidiaries.</w:t>
      </w:r>
    </w:p>
    <w:p w:rsidR="00000000" w:rsidRDefault="00C56D69">
      <w:pPr>
        <w:ind w:firstLine="360"/>
        <w:divId w:val="1541085752"/>
        <w:rPr>
          <w:rFonts w:eastAsia="Times New Roman"/>
        </w:rPr>
      </w:pPr>
      <w:r>
        <w:rPr>
          <w:rFonts w:eastAsia="Times New Roman"/>
          <w:color w:val="000000"/>
          <w:sz w:val="20"/>
          <w:szCs w:val="20"/>
        </w:rPr>
        <w:t>See “—General Account Investment Portfolio” and Note 3 and Note 4 of the Notes to the Consolidated Financial Stateme</w:t>
      </w:r>
      <w:r>
        <w:rPr>
          <w:rFonts w:eastAsia="Times New Roman"/>
          <w:color w:val="000000"/>
          <w:sz w:val="20"/>
          <w:szCs w:val="20"/>
        </w:rPr>
        <w:t>nts for a description of our retirement and protection businesses’ portfolio of liquid assets.</w:t>
      </w:r>
    </w:p>
    <w:p w:rsidR="00000000" w:rsidRDefault="00C56D69">
      <w:pPr>
        <w:divId w:val="1595362142"/>
        <w:rPr>
          <w:rFonts w:eastAsia="Times New Roman"/>
        </w:rPr>
      </w:pPr>
      <w:r>
        <w:rPr>
          <w:rFonts w:eastAsia="Times New Roman"/>
          <w:i/>
          <w:iCs/>
          <w:color w:val="000000"/>
          <w:sz w:val="20"/>
          <w:szCs w:val="20"/>
          <w:u w:val="single"/>
        </w:rPr>
        <w:t>Hedging Activities</w:t>
      </w:r>
    </w:p>
    <w:p w:rsidR="00000000" w:rsidRDefault="00C56D69">
      <w:pPr>
        <w:ind w:firstLine="360"/>
        <w:divId w:val="1624456066"/>
        <w:rPr>
          <w:rFonts w:eastAsia="Times New Roman"/>
        </w:rPr>
      </w:pPr>
      <w:r>
        <w:rPr>
          <w:rFonts w:eastAsia="Times New Roman"/>
          <w:color w:val="000000"/>
          <w:sz w:val="20"/>
          <w:szCs w:val="20"/>
        </w:rPr>
        <w:t>Because the future claims exposure on our insurance products, and in particular our variable annuity products with GMxB features, is sensitive</w:t>
      </w:r>
      <w:r>
        <w:rPr>
          <w:rFonts w:eastAsia="Times New Roman"/>
          <w:color w:val="000000"/>
          <w:sz w:val="20"/>
          <w:szCs w:val="20"/>
        </w:rPr>
        <w:t xml:space="preserve"> to movements in the equity markets and interest rates, we have in place various hedging and reinsurance programs that are designed to mitigate the economic risks of movements in the equity markets and interest rates. We use derivatives as part of our over</w:t>
      </w:r>
      <w:r>
        <w:rPr>
          <w:rFonts w:eastAsia="Times New Roman"/>
          <w:color w:val="000000"/>
          <w:sz w:val="20"/>
          <w:szCs w:val="20"/>
        </w:rPr>
        <w:t xml:space="preserve">all asset/liability risk management program primarily to reduce exposures to equity market and interest rate risks. In addition, we use credit derivatives to replicate exposure to individual securities or pools of securities as a means of achieving credit </w:t>
      </w:r>
      <w:r>
        <w:rPr>
          <w:rFonts w:eastAsia="Times New Roman"/>
          <w:color w:val="000000"/>
          <w:sz w:val="20"/>
          <w:szCs w:val="20"/>
        </w:rPr>
        <w:t>exposure similar to bonds of the underlying issuer(s) more efficiently. The derivative contracts are an integral part of our risk management program, especially for the management of our variable annuities program, and are collectively managed to reduce th</w:t>
      </w:r>
      <w:r>
        <w:rPr>
          <w:rFonts w:eastAsia="Times New Roman"/>
          <w:color w:val="000000"/>
          <w:sz w:val="20"/>
          <w:szCs w:val="20"/>
        </w:rPr>
        <w:t>e economic impact of unfavorable movements in capital markets. These derivative transactions require liquidity to meet payment obligations such as payments for periodic settlements, purchases, maturities and terminations as well as liquid assets pledged as</w:t>
      </w:r>
      <w:r>
        <w:rPr>
          <w:rFonts w:eastAsia="Times New Roman"/>
          <w:color w:val="000000"/>
          <w:sz w:val="20"/>
          <w:szCs w:val="20"/>
        </w:rPr>
        <w:t xml:space="preserve"> collateral related to any decline in the net estimated fair value. Collateral calls </w:t>
      </w:r>
    </w:p>
    <w:p w:rsidR="00000000" w:rsidRDefault="00C56D69">
      <w:pPr>
        <w:jc w:val="center"/>
        <w:divId w:val="78599949"/>
        <w:rPr>
          <w:rFonts w:eastAsia="Times New Roman"/>
        </w:rPr>
      </w:pPr>
      <w:r>
        <w:rPr>
          <w:rFonts w:eastAsia="Times New Roman"/>
          <w:color w:val="000000"/>
          <w:sz w:val="20"/>
          <w:szCs w:val="20"/>
        </w:rPr>
        <w:t>108</w:t>
      </w:r>
    </w:p>
    <w:p w:rsidR="00000000" w:rsidRDefault="00C56D69">
      <w:pPr>
        <w:rPr>
          <w:rFonts w:eastAsia="Times New Roman"/>
        </w:rPr>
      </w:pPr>
      <w:r>
        <w:rPr>
          <w:rFonts w:eastAsia="Times New Roman"/>
        </w:rPr>
        <w:pict>
          <v:rect id="_x0000_i1134" style="width:0;height:1.5pt" o:hralign="center" o:hrstd="t" o:hr="t" fillcolor="#a0a0a0" stroked="f"/>
        </w:pict>
      </w:r>
    </w:p>
    <w:p w:rsidR="00000000" w:rsidRDefault="00C56D69">
      <w:pPr>
        <w:divId w:val="81025983"/>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628657971"/>
        <w:rPr>
          <w:rFonts w:eastAsia="Times New Roman"/>
        </w:rPr>
      </w:pPr>
      <w:r>
        <w:rPr>
          <w:rFonts w:eastAsia="Times New Roman"/>
          <w:color w:val="000000"/>
          <w:sz w:val="20"/>
          <w:szCs w:val="20"/>
        </w:rPr>
        <w:t>represent one of our biggest drivers for liquidity needs for our insurance subsidiaries. Our derivatives contracts reside primarily within Equi</w:t>
      </w:r>
      <w:r>
        <w:rPr>
          <w:rFonts w:eastAsia="Times New Roman"/>
          <w:color w:val="000000"/>
          <w:sz w:val="20"/>
          <w:szCs w:val="20"/>
        </w:rPr>
        <w:t>table Financial, which has a significantly large investment portfolio.</w:t>
      </w:r>
    </w:p>
    <w:p w:rsidR="00000000" w:rsidRDefault="00C56D69">
      <w:pPr>
        <w:divId w:val="362021452"/>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C56D69">
      <w:pPr>
        <w:ind w:firstLine="360"/>
        <w:divId w:val="488328745"/>
        <w:rPr>
          <w:rFonts w:eastAsia="Times New Roman"/>
        </w:rPr>
      </w:pPr>
      <w:r>
        <w:rPr>
          <w:rFonts w:eastAsia="Times New Roman"/>
          <w:color w:val="000000"/>
          <w:sz w:val="20"/>
          <w:szCs w:val="20"/>
        </w:rPr>
        <w:t xml:space="preserve">Equitable Financial and Equitable America are members of the FHLB, which provides access to collateralized borrowings and other FHLB products. </w:t>
      </w:r>
    </w:p>
    <w:p w:rsidR="00000000" w:rsidRDefault="00C56D69">
      <w:pPr>
        <w:ind w:firstLine="360"/>
        <w:divId w:val="236600636"/>
        <w:rPr>
          <w:rFonts w:eastAsia="Times New Roman"/>
        </w:rPr>
      </w:pPr>
      <w:r>
        <w:rPr>
          <w:rFonts w:eastAsia="Times New Roman"/>
          <w:color w:val="000000"/>
          <w:sz w:val="20"/>
          <w:szCs w:val="20"/>
        </w:rPr>
        <w:t>See Note 12 of the Notes</w:t>
      </w:r>
      <w:r>
        <w:rPr>
          <w:rFonts w:eastAsia="Times New Roman"/>
          <w:color w:val="000000"/>
          <w:sz w:val="20"/>
          <w:szCs w:val="20"/>
        </w:rPr>
        <w:t xml:space="preserve"> to the Consolidated Financial Statements for further description of our FHLB program. </w:t>
      </w:r>
    </w:p>
    <w:p w:rsidR="00000000" w:rsidRDefault="00C56D69">
      <w:pPr>
        <w:divId w:val="1374043093"/>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rsidR="00000000" w:rsidRDefault="00C56D69">
      <w:pPr>
        <w:ind w:firstLine="360"/>
        <w:divId w:val="8265015"/>
        <w:rPr>
          <w:rFonts w:eastAsia="Times New Roman"/>
        </w:rPr>
      </w:pPr>
      <w:r>
        <w:rPr>
          <w:rFonts w:eastAsia="Times New Roman"/>
          <w:color w:val="000000"/>
          <w:sz w:val="20"/>
          <w:szCs w:val="20"/>
        </w:rPr>
        <w:t>Under the FABN program, Equitable Financial may issue funding agreements in U.S. dollar or other foreign currencies.</w:t>
      </w:r>
    </w:p>
    <w:p w:rsidR="00000000" w:rsidRDefault="00C56D69">
      <w:pPr>
        <w:ind w:firstLine="360"/>
        <w:divId w:val="1250112866"/>
        <w:rPr>
          <w:rFonts w:eastAsia="Times New Roman"/>
        </w:rPr>
      </w:pPr>
      <w:r>
        <w:rPr>
          <w:rFonts w:eastAsia="Times New Roman"/>
          <w:color w:val="000000"/>
          <w:sz w:val="20"/>
          <w:szCs w:val="20"/>
        </w:rPr>
        <w:t xml:space="preserve">See Note 12 of the Notes to the Consolidated </w:t>
      </w:r>
      <w:r>
        <w:rPr>
          <w:rFonts w:eastAsia="Times New Roman"/>
          <w:color w:val="000000"/>
          <w:sz w:val="20"/>
          <w:szCs w:val="20"/>
        </w:rPr>
        <w:t xml:space="preserve">Financial Statements for further description of our FABN program. </w:t>
      </w:r>
    </w:p>
    <w:p w:rsidR="00000000" w:rsidRDefault="00C56D69">
      <w:pPr>
        <w:divId w:val="100564641"/>
        <w:rPr>
          <w:rFonts w:eastAsia="Times New Roman"/>
        </w:rPr>
      </w:pPr>
      <w:r>
        <w:rPr>
          <w:rFonts w:eastAsia="Times New Roman"/>
          <w:b/>
          <w:bCs/>
          <w:color w:val="000000"/>
          <w:sz w:val="20"/>
          <w:szCs w:val="20"/>
        </w:rPr>
        <w:t>Sources and Uses of Liquidity of our Investment Management and Research Segment</w:t>
      </w:r>
    </w:p>
    <w:p w:rsidR="00000000" w:rsidRDefault="00C56D69">
      <w:pPr>
        <w:ind w:firstLine="360"/>
        <w:divId w:val="573734647"/>
        <w:rPr>
          <w:rFonts w:eastAsia="Times New Roman"/>
        </w:rPr>
      </w:pPr>
      <w:r>
        <w:rPr>
          <w:rFonts w:eastAsia="Times New Roman"/>
          <w:color w:val="000000"/>
          <w:sz w:val="20"/>
          <w:szCs w:val="20"/>
        </w:rPr>
        <w:t>The principal sources of liquidity for our Investment Management and Research business include investment man</w:t>
      </w:r>
      <w:r>
        <w:rPr>
          <w:rFonts w:eastAsia="Times New Roman"/>
          <w:color w:val="000000"/>
          <w:sz w:val="20"/>
          <w:szCs w:val="20"/>
        </w:rPr>
        <w:t>agement fees and borrowings under its credit facilities and commercial paper program. The principal uses of liquidity include general and administrative expenses, business financing and distributions to holders of AB Units and AB Holding Units plus interes</w:t>
      </w:r>
      <w:r>
        <w:rPr>
          <w:rFonts w:eastAsia="Times New Roman"/>
          <w:color w:val="000000"/>
          <w:sz w:val="20"/>
          <w:szCs w:val="20"/>
        </w:rPr>
        <w:t>t and debt service. The primary liquidity risk for our fee-based Investment Management and Research business is its profitability, which is impacted by market conditions and our investment management performance.</w:t>
      </w:r>
    </w:p>
    <w:p w:rsidR="00000000" w:rsidRDefault="00C56D69">
      <w:pPr>
        <w:divId w:val="115411896"/>
        <w:rPr>
          <w:rFonts w:eastAsia="Times New Roman"/>
        </w:rPr>
      </w:pPr>
      <w:r>
        <w:rPr>
          <w:rFonts w:eastAsia="Times New Roman"/>
          <w:i/>
          <w:iCs/>
          <w:color w:val="000000"/>
          <w:sz w:val="20"/>
          <w:szCs w:val="20"/>
          <w:u w:val="single"/>
        </w:rPr>
        <w:t>AB Commercial Paper</w:t>
      </w:r>
    </w:p>
    <w:p w:rsidR="00000000" w:rsidRDefault="00C56D69">
      <w:pPr>
        <w:ind w:firstLine="360"/>
        <w:divId w:val="453060294"/>
        <w:rPr>
          <w:rFonts w:eastAsia="Times New Roman"/>
        </w:rPr>
      </w:pPr>
      <w:r>
        <w:rPr>
          <w:rFonts w:eastAsia="Times New Roman"/>
          <w:color w:val="000000"/>
          <w:sz w:val="20"/>
          <w:szCs w:val="20"/>
        </w:rPr>
        <w:t>As of September 30, 202</w:t>
      </w:r>
      <w:r>
        <w:rPr>
          <w:rFonts w:eastAsia="Times New Roman"/>
          <w:color w:val="000000"/>
          <w:sz w:val="20"/>
          <w:szCs w:val="20"/>
        </w:rPr>
        <w:t>2 and December 31, 2021, AB had no commercial paper outstanding. The commercial paper is short term in nature, and as such, recorded value is estimated to approximate fair value (and considered a Level 2 security in the fair value hierarchy). Average daily</w:t>
      </w:r>
      <w:r>
        <w:rPr>
          <w:rFonts w:eastAsia="Times New Roman"/>
          <w:color w:val="000000"/>
          <w:sz w:val="20"/>
          <w:szCs w:val="20"/>
        </w:rPr>
        <w:t xml:space="preserve"> borrowings for the commercial paper outstanding during the first nine months of 2022 and full year 2021 were $202 million and $157 million, respectively, with weighted average interest rates of approximately 0.9% and 0.2%, respectively.</w:t>
      </w:r>
    </w:p>
    <w:p w:rsidR="00000000" w:rsidRDefault="00C56D69">
      <w:pPr>
        <w:divId w:val="217132203"/>
        <w:rPr>
          <w:rFonts w:eastAsia="Times New Roman"/>
        </w:rPr>
      </w:pPr>
      <w:r>
        <w:rPr>
          <w:rFonts w:eastAsia="Times New Roman"/>
          <w:i/>
          <w:iCs/>
          <w:color w:val="000000"/>
          <w:sz w:val="20"/>
          <w:szCs w:val="20"/>
          <w:u w:val="single"/>
        </w:rPr>
        <w:t>AB Revolver Credit</w:t>
      </w:r>
      <w:r>
        <w:rPr>
          <w:rFonts w:eastAsia="Times New Roman"/>
          <w:i/>
          <w:iCs/>
          <w:color w:val="000000"/>
          <w:sz w:val="20"/>
          <w:szCs w:val="20"/>
          <w:u w:val="single"/>
        </w:rPr>
        <w:t xml:space="preserve"> Facility</w:t>
      </w:r>
    </w:p>
    <w:p w:rsidR="00000000" w:rsidRDefault="00C56D69">
      <w:pPr>
        <w:ind w:firstLine="360"/>
        <w:divId w:val="606081581"/>
        <w:rPr>
          <w:rFonts w:eastAsia="Times New Roman"/>
        </w:rPr>
      </w:pPr>
      <w:r>
        <w:rPr>
          <w:rFonts w:eastAsia="Times New Roman"/>
          <w:color w:val="000000"/>
          <w:sz w:val="20"/>
          <w:szCs w:val="20"/>
        </w:rPr>
        <w:t>AB had a $200 million committed, unsecured senior revolving credit facility (the "AB Revolver") with a leading international bank, which matured on November 16, 2021. Average daily borrowings for the full year 2021 were $13 million with a weighte</w:t>
      </w:r>
      <w:r>
        <w:rPr>
          <w:rFonts w:eastAsia="Times New Roman"/>
          <w:color w:val="000000"/>
          <w:sz w:val="20"/>
          <w:szCs w:val="20"/>
        </w:rPr>
        <w:t>d average interest rate of 1.1%.</w:t>
      </w:r>
    </w:p>
    <w:p w:rsidR="00000000" w:rsidRDefault="00C56D69">
      <w:pPr>
        <w:jc w:val="both"/>
        <w:divId w:val="1753625337"/>
        <w:rPr>
          <w:rFonts w:eastAsia="Times New Roman"/>
        </w:rPr>
      </w:pPr>
      <w:r>
        <w:rPr>
          <w:rFonts w:eastAsia="Times New Roman"/>
          <w:b/>
          <w:bCs/>
          <w:i/>
          <w:iCs/>
          <w:color w:val="000000"/>
          <w:sz w:val="20"/>
          <w:szCs w:val="20"/>
        </w:rPr>
        <w:t>AB Credit Facility</w:t>
      </w:r>
    </w:p>
    <w:p w:rsidR="00000000" w:rsidRDefault="00C56D69">
      <w:pPr>
        <w:ind w:firstLine="360"/>
        <w:divId w:val="242841796"/>
        <w:rPr>
          <w:rFonts w:eastAsia="Times New Roman"/>
        </w:rPr>
      </w:pPr>
      <w:r>
        <w:rPr>
          <w:rFonts w:eastAsia="Times New Roman"/>
          <w:color w:val="000000"/>
          <w:sz w:val="20"/>
          <w:szCs w:val="20"/>
        </w:rPr>
        <w:t>AB has an $800 million committed, unsecured senior revolving credit facility (the “AB Credit Facility”</w:t>
      </w:r>
      <w:r>
        <w:rPr>
          <w:rFonts w:eastAsia="Times New Roman"/>
          <w:color w:val="000000"/>
          <w:sz w:val="20"/>
          <w:szCs w:val="20"/>
        </w:rPr>
        <w:t>) with a group of commercial banks and other lenders which matures on October 13, 2026. The credit facility provides for possible increases in the principal amount by up to an aggregate incremental amount of $200 million. Any such increase is subject to th</w:t>
      </w:r>
      <w:r>
        <w:rPr>
          <w:rFonts w:eastAsia="Times New Roman"/>
          <w:color w:val="000000"/>
          <w:sz w:val="20"/>
          <w:szCs w:val="20"/>
        </w:rPr>
        <w:t>e consent of the affected lenders. The AB Credit Facility is available for AB and SCB LLC for business purposes, including the support of AB’s commercial paper program. Both AB and SCB LLC can draw directly under the AB Credit Facility and AB management ex</w:t>
      </w:r>
      <w:r>
        <w:rPr>
          <w:rFonts w:eastAsia="Times New Roman"/>
          <w:color w:val="000000"/>
          <w:sz w:val="20"/>
          <w:szCs w:val="20"/>
        </w:rPr>
        <w:t>pects to draw on the AB Credit Facility from time to time. AB has agreed to guarantee the obligations of SCB LLC under the AB Credit Facility.</w:t>
      </w:r>
    </w:p>
    <w:p w:rsidR="00000000" w:rsidRDefault="00C56D69">
      <w:pPr>
        <w:ind w:firstLine="360"/>
        <w:divId w:val="664473834"/>
        <w:rPr>
          <w:rFonts w:eastAsia="Times New Roman"/>
        </w:rPr>
      </w:pPr>
      <w:r>
        <w:rPr>
          <w:rFonts w:eastAsia="Times New Roman"/>
          <w:color w:val="000000"/>
          <w:sz w:val="20"/>
          <w:szCs w:val="20"/>
        </w:rPr>
        <w:t>The AB Credit Facility contains affirmative, negative and financial covenants, which are customary for facilities</w:t>
      </w:r>
      <w:r>
        <w:rPr>
          <w:rFonts w:eastAsia="Times New Roman"/>
          <w:color w:val="000000"/>
          <w:sz w:val="20"/>
          <w:szCs w:val="20"/>
        </w:rPr>
        <w:t xml:space="preserve"> of this type, including, among other things, restrictions on dispositions of assets, restrictions on liens, a minimum interest coverage ratio and a maximum leverage ratio. As of September 30, 2022, AB was in compliance with these covenants. The AB Credit </w:t>
      </w:r>
      <w:r>
        <w:rPr>
          <w:rFonts w:eastAsia="Times New Roman"/>
          <w:color w:val="000000"/>
          <w:sz w:val="20"/>
          <w:szCs w:val="20"/>
        </w:rPr>
        <w:t>Facility also includes customary events of default (with customary grace periods, as applicable), including provisions under which, upon the occurrence of an event of default, all outstanding loans may be accelerated and/or lender’s commitments may be term</w:t>
      </w:r>
      <w:r>
        <w:rPr>
          <w:rFonts w:eastAsia="Times New Roman"/>
          <w:color w:val="000000"/>
          <w:sz w:val="20"/>
          <w:szCs w:val="20"/>
        </w:rPr>
        <w:t>inated. Also, under such provisions, upon the occurrence of certain insolvency- or bankruptcy-related events of default, all amounts payable under the AB Credit Facility would automatically become immediately due and payable, and the lender’s commitments w</w:t>
      </w:r>
      <w:r>
        <w:rPr>
          <w:rFonts w:eastAsia="Times New Roman"/>
          <w:color w:val="000000"/>
          <w:sz w:val="20"/>
          <w:szCs w:val="20"/>
        </w:rPr>
        <w:t>ould automatically terminate.</w:t>
      </w:r>
    </w:p>
    <w:p w:rsidR="00000000" w:rsidRDefault="00C56D69">
      <w:pPr>
        <w:ind w:firstLine="360"/>
        <w:divId w:val="1729038885"/>
        <w:rPr>
          <w:rFonts w:eastAsia="Times New Roman"/>
        </w:rPr>
      </w:pPr>
      <w:r>
        <w:rPr>
          <w:rFonts w:eastAsia="Times New Roman"/>
          <w:color w:val="000000"/>
          <w:sz w:val="20"/>
          <w:szCs w:val="20"/>
        </w:rPr>
        <w:t>Amounts under the Credit Facility may be borrowed, repaid and re-borrowed by us from time to time until the maturity of the facility. Voluntary prepayments and commitment reductions requested by AB are permitted at any time wi</w:t>
      </w:r>
      <w:r>
        <w:rPr>
          <w:rFonts w:eastAsia="Times New Roman"/>
          <w:color w:val="000000"/>
          <w:sz w:val="20"/>
          <w:szCs w:val="20"/>
        </w:rPr>
        <w:t>thout a fee (other than customary breakage costs relating to the prepayment of any drawn loans) upon proper notice and subject to a minimum dollar requirement. Borrowings under the AB Credit Facility bear interest at a rate per annum, which will be, at AB’</w:t>
      </w:r>
      <w:r>
        <w:rPr>
          <w:rFonts w:eastAsia="Times New Roman"/>
          <w:color w:val="000000"/>
          <w:sz w:val="20"/>
          <w:szCs w:val="20"/>
        </w:rPr>
        <w:t xml:space="preserve">s option, a </w:t>
      </w:r>
    </w:p>
    <w:p w:rsidR="00000000" w:rsidRDefault="00C56D69">
      <w:pPr>
        <w:jc w:val="center"/>
        <w:divId w:val="637226902"/>
        <w:rPr>
          <w:rFonts w:eastAsia="Times New Roman"/>
        </w:rPr>
      </w:pPr>
      <w:r>
        <w:rPr>
          <w:rFonts w:eastAsia="Times New Roman"/>
          <w:color w:val="000000"/>
          <w:sz w:val="20"/>
          <w:szCs w:val="20"/>
        </w:rPr>
        <w:t>109</w:t>
      </w:r>
    </w:p>
    <w:p w:rsidR="00000000" w:rsidRDefault="00C56D69">
      <w:pPr>
        <w:rPr>
          <w:rFonts w:eastAsia="Times New Roman"/>
        </w:rPr>
      </w:pPr>
      <w:r>
        <w:rPr>
          <w:rFonts w:eastAsia="Times New Roman"/>
        </w:rPr>
        <w:pict>
          <v:rect id="_x0000_i1135" style="width:0;height:1.5pt" o:hralign="center" o:hrstd="t" o:hr="t" fillcolor="#a0a0a0" stroked="f"/>
        </w:pict>
      </w:r>
    </w:p>
    <w:p w:rsidR="00000000" w:rsidRDefault="00C56D69">
      <w:pPr>
        <w:divId w:val="1776244600"/>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686711146"/>
        <w:rPr>
          <w:rFonts w:eastAsia="Times New Roman"/>
        </w:rPr>
      </w:pPr>
      <w:r>
        <w:rPr>
          <w:rFonts w:eastAsia="Times New Roman"/>
          <w:color w:val="000000"/>
          <w:sz w:val="20"/>
          <w:szCs w:val="20"/>
        </w:rPr>
        <w:t>rate equal to an applicable margin, which is subject to adjustment based on the credit ratings of AB, plus one of the followi</w:t>
      </w:r>
      <w:r>
        <w:rPr>
          <w:rFonts w:eastAsia="Times New Roman"/>
          <w:color w:val="000000"/>
          <w:sz w:val="20"/>
          <w:szCs w:val="20"/>
        </w:rPr>
        <w:t>ng indices: LIBOR; a floating base rate; or the Federal Funds rate.</w:t>
      </w:r>
    </w:p>
    <w:p w:rsidR="00000000" w:rsidRDefault="00C56D69">
      <w:pPr>
        <w:ind w:firstLine="360"/>
        <w:divId w:val="1254364447"/>
        <w:rPr>
          <w:rFonts w:eastAsia="Times New Roman"/>
        </w:rPr>
      </w:pPr>
      <w:r>
        <w:rPr>
          <w:rFonts w:eastAsia="Times New Roman"/>
          <w:color w:val="000000"/>
          <w:sz w:val="20"/>
          <w:szCs w:val="20"/>
        </w:rPr>
        <w:t xml:space="preserve">As of September 30, 2022 and December 31, 2021, AB had no amounts outstanding under the AB Credit Facility. During the first nine months of 2022 and the full year 2021, AB and SCB LLC did </w:t>
      </w:r>
      <w:r>
        <w:rPr>
          <w:rFonts w:eastAsia="Times New Roman"/>
          <w:color w:val="000000"/>
          <w:sz w:val="20"/>
          <w:szCs w:val="20"/>
        </w:rPr>
        <w:t>not draw upon the AB Credit Facility.</w:t>
      </w:r>
    </w:p>
    <w:p w:rsidR="00000000" w:rsidRDefault="00C56D69">
      <w:pPr>
        <w:ind w:firstLine="360"/>
        <w:divId w:val="1206059322"/>
        <w:rPr>
          <w:rFonts w:eastAsia="Times New Roman"/>
        </w:rPr>
      </w:pPr>
      <w:r>
        <w:rPr>
          <w:rFonts w:eastAsia="Times New Roman"/>
          <w:color w:val="000000"/>
          <w:sz w:val="20"/>
          <w:szCs w:val="20"/>
        </w:rPr>
        <w:t>In addition, SCB LLC currently has five uncommitted lines of credit with five financial institutions. Four of these lines of credit permit borrowing up to an aggregate of approximately $315 million, with AB named as an</w:t>
      </w:r>
      <w:r>
        <w:rPr>
          <w:rFonts w:eastAsia="Times New Roman"/>
          <w:color w:val="000000"/>
          <w:sz w:val="20"/>
          <w:szCs w:val="20"/>
        </w:rPr>
        <w:t xml:space="preserve"> additional borrower, while the other line has no stated limit. As of September 30, 2022 and December 31, 2021, SCB LLC had no outstanding balance on these lines of credit. Average daily borrowings during the first nine months of 2022 and the full year 202</w:t>
      </w:r>
      <w:r>
        <w:rPr>
          <w:rFonts w:eastAsia="Times New Roman"/>
          <w:color w:val="000000"/>
          <w:sz w:val="20"/>
          <w:szCs w:val="20"/>
        </w:rPr>
        <w:t>1 were $1.2 million and $47 thousand with weighted average interest rates of approximately 1.9% and 0.9%, respectively.</w:t>
      </w:r>
    </w:p>
    <w:p w:rsidR="00000000" w:rsidRDefault="00C56D69">
      <w:pPr>
        <w:jc w:val="both"/>
        <w:divId w:val="107243137"/>
        <w:rPr>
          <w:rFonts w:eastAsia="Times New Roman"/>
        </w:rPr>
      </w:pPr>
      <w:r>
        <w:rPr>
          <w:rFonts w:eastAsia="Times New Roman"/>
          <w:b/>
          <w:bCs/>
          <w:i/>
          <w:iCs/>
          <w:color w:val="000000"/>
          <w:sz w:val="20"/>
          <w:szCs w:val="20"/>
        </w:rPr>
        <w:t>EQH Facility</w:t>
      </w:r>
    </w:p>
    <w:p w:rsidR="00000000" w:rsidRDefault="00C56D69">
      <w:pPr>
        <w:ind w:firstLine="360"/>
        <w:divId w:val="413473779"/>
        <w:rPr>
          <w:rFonts w:eastAsia="Times New Roman"/>
        </w:rPr>
      </w:pPr>
      <w:r>
        <w:rPr>
          <w:rFonts w:eastAsia="Times New Roman"/>
          <w:color w:val="000000"/>
          <w:sz w:val="20"/>
          <w:szCs w:val="20"/>
        </w:rPr>
        <w:t>AB has a $900 million committed, unsecured senior credit facility (the “EQH Facility”). The EQH Facility matures on November 4, 2024 and is available for AB’s general business purposes. Borrowings under the EQH Facility generally bear interest at a rate pe</w:t>
      </w:r>
      <w:r>
        <w:rPr>
          <w:rFonts w:eastAsia="Times New Roman"/>
          <w:color w:val="000000"/>
          <w:sz w:val="20"/>
          <w:szCs w:val="20"/>
        </w:rPr>
        <w:t>r annum based on prevailing overnight commercial paper rates.</w:t>
      </w:r>
    </w:p>
    <w:p w:rsidR="00000000" w:rsidRDefault="00C56D69">
      <w:pPr>
        <w:ind w:firstLine="360"/>
        <w:divId w:val="1148935912"/>
        <w:rPr>
          <w:rFonts w:eastAsia="Times New Roman"/>
        </w:rPr>
      </w:pPr>
      <w:r>
        <w:rPr>
          <w:rFonts w:eastAsia="Times New Roman"/>
          <w:color w:val="000000"/>
          <w:sz w:val="20"/>
          <w:szCs w:val="20"/>
        </w:rPr>
        <w:t>The EQH Facility contains affirmative, negative and financial covenants which are substantially similar to those in AB’s committed bank facilities. The EQH Facility also includes customary event</w:t>
      </w:r>
      <w:r>
        <w:rPr>
          <w:rFonts w:eastAsia="Times New Roman"/>
          <w:color w:val="000000"/>
          <w:sz w:val="20"/>
          <w:szCs w:val="20"/>
        </w:rPr>
        <w:t xml:space="preserve">s of default substantially similar to those in AB’s committed bank facilities, including provisions under which, upon the occurrence of an event of default, all outstanding loans may be accelerated and/or the lender’s commitment may be terminated. </w:t>
      </w:r>
    </w:p>
    <w:p w:rsidR="00000000" w:rsidRDefault="00C56D69">
      <w:pPr>
        <w:ind w:firstLine="360"/>
        <w:divId w:val="78795591"/>
        <w:rPr>
          <w:rFonts w:eastAsia="Times New Roman"/>
        </w:rPr>
      </w:pPr>
      <w:r>
        <w:rPr>
          <w:rFonts w:eastAsia="Times New Roman"/>
          <w:color w:val="000000"/>
          <w:sz w:val="20"/>
          <w:szCs w:val="20"/>
        </w:rPr>
        <w:t>Amounts</w:t>
      </w:r>
      <w:r>
        <w:rPr>
          <w:rFonts w:eastAsia="Times New Roman"/>
          <w:color w:val="000000"/>
          <w:sz w:val="20"/>
          <w:szCs w:val="20"/>
        </w:rPr>
        <w:t xml:space="preserve"> under the EQH Facility may be borrowed, repaid and re-borrowed by AB from time to time until the maturity of the facility. AB or Holdings may reduce or terminate the commitment at any time without penalty upon proper notice. Holdings also may terminate th</w:t>
      </w:r>
      <w:r>
        <w:rPr>
          <w:rFonts w:eastAsia="Times New Roman"/>
          <w:color w:val="000000"/>
          <w:sz w:val="20"/>
          <w:szCs w:val="20"/>
        </w:rPr>
        <w:t xml:space="preserve">e facility immediately upon a change of control of AB’s general partner. </w:t>
      </w:r>
    </w:p>
    <w:p w:rsidR="00000000" w:rsidRDefault="00C56D69">
      <w:pPr>
        <w:ind w:firstLine="360"/>
        <w:divId w:val="1798715817"/>
        <w:rPr>
          <w:rFonts w:eastAsia="Times New Roman"/>
        </w:rPr>
      </w:pPr>
      <w:r>
        <w:rPr>
          <w:rFonts w:eastAsia="Times New Roman"/>
          <w:color w:val="000000"/>
          <w:sz w:val="20"/>
          <w:szCs w:val="20"/>
        </w:rPr>
        <w:t>As of September 30, 2022 and December 31, 2021, AB had $690 million and $755 million outstanding under the EQH Facility, with interest rates of approximately 3.0% and 0.2%, respectiv</w:t>
      </w:r>
      <w:r>
        <w:rPr>
          <w:rFonts w:eastAsia="Times New Roman"/>
          <w:color w:val="000000"/>
          <w:sz w:val="20"/>
          <w:szCs w:val="20"/>
        </w:rPr>
        <w:t>ely. Average daily borrowing of the EQH Facility during the first nine months of 2022 and the full year 2021 were $654 million and $405 million, respectively, with a weighted average interest rates of approximately 1.0% and 0.2%, respectively.</w:t>
      </w:r>
    </w:p>
    <w:p w:rsidR="00000000" w:rsidRDefault="00C56D69">
      <w:pPr>
        <w:divId w:val="785123596"/>
        <w:rPr>
          <w:rFonts w:eastAsia="Times New Roman"/>
        </w:rPr>
      </w:pPr>
      <w:r>
        <w:rPr>
          <w:rFonts w:eastAsia="Times New Roman"/>
          <w:b/>
          <w:bCs/>
          <w:i/>
          <w:iCs/>
          <w:color w:val="000000"/>
          <w:sz w:val="20"/>
          <w:szCs w:val="20"/>
        </w:rPr>
        <w:t>EQH Uncommit</w:t>
      </w:r>
      <w:r>
        <w:rPr>
          <w:rFonts w:eastAsia="Times New Roman"/>
          <w:b/>
          <w:bCs/>
          <w:i/>
          <w:iCs/>
          <w:color w:val="000000"/>
          <w:sz w:val="20"/>
          <w:szCs w:val="20"/>
        </w:rPr>
        <w:t>ted Facility</w:t>
      </w:r>
    </w:p>
    <w:p w:rsidR="00000000" w:rsidRDefault="00C56D69">
      <w:pPr>
        <w:ind w:firstLine="360"/>
        <w:divId w:val="530073408"/>
        <w:rPr>
          <w:rFonts w:eastAsia="Times New Roman"/>
        </w:rPr>
      </w:pPr>
      <w:r>
        <w:rPr>
          <w:rFonts w:eastAsia="Times New Roman"/>
          <w:color w:val="000000"/>
          <w:sz w:val="20"/>
          <w:szCs w:val="20"/>
        </w:rPr>
        <w:t>In addition to the EQH Facility, AB entered into a $300 million uncommitted, unsecured senior credit facility (the “EQH Uncommitted Facility”) with EQH. The EQH Uncommitted Facility matures on September 1, 2024 and is available for AB’s genera</w:t>
      </w:r>
      <w:r>
        <w:rPr>
          <w:rFonts w:eastAsia="Times New Roman"/>
          <w:color w:val="000000"/>
          <w:sz w:val="20"/>
          <w:szCs w:val="20"/>
        </w:rPr>
        <w:t xml:space="preserve">l business purposes. Borrowings under the EQH Uncommitted Facility bear generally interest at a rate per annum based on prevailing overnight commercial paper rates. The EQH Uncommitted Facility contains affirmative, negative and financial covenants, which </w:t>
      </w:r>
      <w:r>
        <w:rPr>
          <w:rFonts w:eastAsia="Times New Roman"/>
          <w:color w:val="000000"/>
          <w:sz w:val="20"/>
          <w:szCs w:val="20"/>
        </w:rPr>
        <w:t>are substantially similar to those in the EQH Facility.</w:t>
      </w:r>
    </w:p>
    <w:p w:rsidR="00000000" w:rsidRDefault="00C56D69">
      <w:pPr>
        <w:ind w:firstLine="360"/>
        <w:divId w:val="163667744"/>
        <w:rPr>
          <w:rFonts w:eastAsia="Times New Roman"/>
        </w:rPr>
      </w:pPr>
      <w:r>
        <w:rPr>
          <w:rFonts w:eastAsia="Times New Roman"/>
          <w:color w:val="000000"/>
          <w:sz w:val="20"/>
          <w:szCs w:val="20"/>
        </w:rPr>
        <w:t>As of September 30, 2022 and December 31, 2021, AB had no outstanding balance on the EQH Uncommitted Facility and has not drawn upon the facility since its inception.</w:t>
      </w:r>
    </w:p>
    <w:p w:rsidR="00000000" w:rsidRDefault="00C56D69">
      <w:pPr>
        <w:divId w:val="1957372611"/>
        <w:rPr>
          <w:rFonts w:eastAsia="Times New Roman"/>
        </w:rPr>
      </w:pPr>
      <w:r>
        <w:rPr>
          <w:rFonts w:eastAsia="Times New Roman"/>
          <w:b/>
          <w:bCs/>
          <w:color w:val="000000"/>
          <w:sz w:val="20"/>
          <w:szCs w:val="20"/>
        </w:rPr>
        <w:t>Statutory Capital of Our Insuranc</w:t>
      </w:r>
      <w:r>
        <w:rPr>
          <w:rFonts w:eastAsia="Times New Roman"/>
          <w:b/>
          <w:bCs/>
          <w:color w:val="000000"/>
          <w:sz w:val="20"/>
          <w:szCs w:val="20"/>
        </w:rPr>
        <w:t>e Subsidiaries</w:t>
      </w:r>
    </w:p>
    <w:p w:rsidR="00000000" w:rsidRDefault="00C56D69">
      <w:pPr>
        <w:ind w:firstLine="360"/>
        <w:divId w:val="365250656"/>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C56D69">
      <w:pPr>
        <w:ind w:firstLine="360"/>
        <w:divId w:val="526798784"/>
        <w:rPr>
          <w:rFonts w:eastAsia="Times New Roman"/>
        </w:rPr>
      </w:pPr>
      <w:r>
        <w:rPr>
          <w:rFonts w:eastAsia="Times New Roman"/>
          <w:color w:val="000000"/>
          <w:sz w:val="20"/>
          <w:szCs w:val="20"/>
        </w:rPr>
        <w:t>RBC requirements are used as minimum capital requirements by the NAIC</w:t>
      </w:r>
      <w:r>
        <w:rPr>
          <w:rFonts w:eastAsia="Times New Roman"/>
          <w:color w:val="000000"/>
          <w:sz w:val="20"/>
          <w:szCs w:val="20"/>
        </w:rPr>
        <w:t xml:space="preserve"> and the state insurance departments to evaluate the capital condition of regulated insurance companies. RBC is based on a formula calculated by applying factors to various asset, premium, claim, expense and statutory reserve items. The formula takes into </w:t>
      </w:r>
      <w:r>
        <w:rPr>
          <w:rFonts w:eastAsia="Times New Roman"/>
          <w:color w:val="000000"/>
          <w:sz w:val="20"/>
          <w:szCs w:val="20"/>
        </w:rPr>
        <w:t>account the risk characteristics of the insurer, including asset risk, insurance risk, interest rate risk, market risk and business risk and is calculated on a quarterly basis and made public on an annual basis. The formula is used as an early warning regu</w:t>
      </w:r>
      <w:r>
        <w:rPr>
          <w:rFonts w:eastAsia="Times New Roman"/>
          <w:color w:val="000000"/>
          <w:sz w:val="20"/>
          <w:szCs w:val="20"/>
        </w:rPr>
        <w:t>latory tool to identify possible inadequately capitalized insurers for purposes of initiating regulatory action, and not as a means to rank insurers generally. These rules apply to our insurance company subsidiaries and not to Holdings. State insurance law</w:t>
      </w:r>
      <w:r>
        <w:rPr>
          <w:rFonts w:eastAsia="Times New Roman"/>
          <w:color w:val="000000"/>
          <w:sz w:val="20"/>
          <w:szCs w:val="20"/>
        </w:rPr>
        <w:t>s provide insurance regulators the authority to require various actions by, or take various actions against, insurers whose total adjusted capital does not meet or exceed certain RBC levels. At the date of the most recent annual statutory financial stateme</w:t>
      </w:r>
      <w:r>
        <w:rPr>
          <w:rFonts w:eastAsia="Times New Roman"/>
          <w:color w:val="000000"/>
          <w:sz w:val="20"/>
          <w:szCs w:val="20"/>
        </w:rPr>
        <w:t>nts filed with insurance regulators, the total adjusted capital of each of these insurance company subsidiaries subject to these requirements was in excess of each of those RBC levels.</w:t>
      </w:r>
    </w:p>
    <w:p w:rsidR="00000000" w:rsidRDefault="00C56D69">
      <w:pPr>
        <w:jc w:val="center"/>
        <w:divId w:val="443185044"/>
        <w:rPr>
          <w:rFonts w:eastAsia="Times New Roman"/>
        </w:rPr>
      </w:pPr>
      <w:r>
        <w:rPr>
          <w:rFonts w:eastAsia="Times New Roman"/>
          <w:color w:val="000000"/>
          <w:sz w:val="20"/>
          <w:szCs w:val="20"/>
        </w:rPr>
        <w:t>110</w:t>
      </w:r>
    </w:p>
    <w:p w:rsidR="00000000" w:rsidRDefault="00C56D69">
      <w:pPr>
        <w:rPr>
          <w:rFonts w:eastAsia="Times New Roman"/>
        </w:rPr>
      </w:pPr>
      <w:r>
        <w:rPr>
          <w:rFonts w:eastAsia="Times New Roman"/>
        </w:rPr>
        <w:pict>
          <v:rect id="_x0000_i1136" style="width:0;height:1.5pt" o:hralign="center" o:hrstd="t" o:hr="t" fillcolor="#a0a0a0" stroked="f"/>
        </w:pict>
      </w:r>
    </w:p>
    <w:p w:rsidR="00000000" w:rsidRDefault="00C56D69">
      <w:pPr>
        <w:divId w:val="1818762551"/>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firstLine="360"/>
        <w:divId w:val="2043550433"/>
        <w:rPr>
          <w:rFonts w:eastAsia="Times New Roman"/>
        </w:rPr>
      </w:pPr>
      <w:r>
        <w:rPr>
          <w:rFonts w:eastAsia="Times New Roman"/>
          <w:color w:val="000000"/>
          <w:sz w:val="20"/>
          <w:szCs w:val="20"/>
        </w:rPr>
        <w:t xml:space="preserve">See 13 of the Notes to the Consolidated Financial Statements for additional information relating to Prescribed and Permitted Statutory Accounting practices and its impact on our statutory surplus. </w:t>
      </w:r>
    </w:p>
    <w:p w:rsidR="00000000" w:rsidRDefault="00C56D69">
      <w:pPr>
        <w:divId w:val="1273588574"/>
        <w:rPr>
          <w:rFonts w:eastAsia="Times New Roman"/>
        </w:rPr>
      </w:pPr>
      <w:r>
        <w:rPr>
          <w:rFonts w:eastAsia="Times New Roman"/>
          <w:b/>
          <w:bCs/>
          <w:color w:val="000000"/>
          <w:sz w:val="20"/>
          <w:szCs w:val="20"/>
        </w:rPr>
        <w:t>Captive Rei</w:t>
      </w:r>
      <w:r>
        <w:rPr>
          <w:rFonts w:eastAsia="Times New Roman"/>
          <w:b/>
          <w:bCs/>
          <w:color w:val="000000"/>
          <w:sz w:val="20"/>
          <w:szCs w:val="20"/>
        </w:rPr>
        <w:t>nsurance Company</w:t>
      </w:r>
    </w:p>
    <w:p w:rsidR="00000000" w:rsidRDefault="00C56D69">
      <w:pPr>
        <w:ind w:firstLine="360"/>
        <w:divId w:val="518550585"/>
        <w:rPr>
          <w:rFonts w:eastAsia="Times New Roman"/>
        </w:rPr>
      </w:pPr>
      <w:r>
        <w:rPr>
          <w:rFonts w:eastAsia="Times New Roman"/>
          <w:color w:val="000000"/>
          <w:sz w:val="20"/>
          <w:szCs w:val="20"/>
        </w:rPr>
        <w:t>We use a captive reinsurance company to more effectively manage our reserves and capital on an economic basis and to enable the aggregation and transfer of risks. Our captive reinsurance company assumes business from affiliates only and is closed to new bu</w:t>
      </w:r>
      <w:r>
        <w:rPr>
          <w:rFonts w:eastAsia="Times New Roman"/>
          <w:color w:val="000000"/>
          <w:sz w:val="20"/>
          <w:szCs w:val="20"/>
        </w:rPr>
        <w:t>siness. Our captive reinsurance company is a wholly-owned subsidiary located in the United States. In addition to state insurance regulation, our captive is subject to internal policies governing its activities. We continue to analyze the use of our existi</w:t>
      </w:r>
      <w:r>
        <w:rPr>
          <w:rFonts w:eastAsia="Times New Roman"/>
          <w:color w:val="000000"/>
          <w:sz w:val="20"/>
          <w:szCs w:val="20"/>
        </w:rPr>
        <w:t>ng captive reinsurance structure, as well as additional third-party reinsurance arrangements.</w:t>
      </w:r>
    </w:p>
    <w:p w:rsidR="00000000" w:rsidRDefault="00C56D69">
      <w:pPr>
        <w:divId w:val="1804424347"/>
        <w:rPr>
          <w:rFonts w:eastAsia="Times New Roman"/>
        </w:rPr>
      </w:pPr>
      <w:r>
        <w:rPr>
          <w:rFonts w:eastAsia="Times New Roman"/>
          <w:b/>
          <w:bCs/>
          <w:color w:val="000000"/>
          <w:sz w:val="20"/>
          <w:szCs w:val="20"/>
        </w:rPr>
        <w:t>Borrowings</w:t>
      </w:r>
    </w:p>
    <w:p w:rsidR="00000000" w:rsidRDefault="00C56D69">
      <w:pPr>
        <w:ind w:firstLine="360"/>
        <w:divId w:val="1706951506"/>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w:t>
      </w:r>
      <w:r>
        <w:rPr>
          <w:rFonts w:eastAsia="Times New Roman"/>
          <w:color w:val="000000"/>
          <w:sz w:val="20"/>
          <w:szCs w:val="20"/>
        </w:rPr>
        <w:t xml:space="preserve">ional bank or other financing arrangements, including public or private debt, structured facilities and contingent capital arrangements, under which we could incur additional indebtedness. </w:t>
      </w:r>
    </w:p>
    <w:p w:rsidR="00000000" w:rsidRDefault="00C56D69">
      <w:pPr>
        <w:ind w:firstLine="360"/>
        <w:divId w:val="2017919858"/>
        <w:rPr>
          <w:rFonts w:eastAsia="Times New Roman"/>
        </w:rPr>
      </w:pPr>
      <w:r>
        <w:rPr>
          <w:rFonts w:eastAsia="Times New Roman"/>
          <w:color w:val="000000"/>
          <w:sz w:val="20"/>
          <w:szCs w:val="20"/>
        </w:rPr>
        <w:t>The following table sets forth the Company’s total consolidated bo</w:t>
      </w:r>
      <w:r>
        <w:rPr>
          <w:rFonts w:eastAsia="Times New Roman"/>
          <w:color w:val="000000"/>
          <w:sz w:val="20"/>
          <w:szCs w:val="20"/>
        </w:rPr>
        <w:t>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1"/>
        <w:gridCol w:w="897"/>
        <w:gridCol w:w="36"/>
        <w:gridCol w:w="36"/>
        <w:gridCol w:w="36"/>
        <w:gridCol w:w="36"/>
        <w:gridCol w:w="121"/>
        <w:gridCol w:w="863"/>
        <w:gridCol w:w="36"/>
      </w:tblGrid>
      <w:tr w:rsidR="00000000">
        <w:trPr>
          <w:divId w:val="1895778198"/>
        </w:trPr>
        <w:tc>
          <w:tcPr>
            <w:tcW w:w="50" w:type="pct"/>
            <w:vAlign w:val="center"/>
            <w:hideMark/>
          </w:tcPr>
          <w:p w:rsidR="00000000" w:rsidRDefault="00C56D69">
            <w:pPr>
              <w:ind w:firstLine="360"/>
              <w:rPr>
                <w:rFonts w:eastAsia="Times New Roman"/>
              </w:rPr>
            </w:pPr>
          </w:p>
        </w:tc>
        <w:tc>
          <w:tcPr>
            <w:tcW w:w="366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56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December 31,</w:t>
            </w:r>
          </w:p>
        </w:tc>
      </w:tr>
      <w:tr w:rsidR="00000000">
        <w:trPr>
          <w:divId w:val="189577819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16"/>
                <w:szCs w:val="16"/>
              </w:rPr>
              <w:t>2021</w:t>
            </w:r>
          </w:p>
        </w:tc>
      </w:tr>
      <w:tr w:rsidR="00000000">
        <w:trPr>
          <w:divId w:val="1895778198"/>
        </w:trPr>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(in millions)</w:t>
            </w:r>
          </w:p>
        </w:tc>
      </w:tr>
      <w:tr w:rsidR="00000000">
        <w:trPr>
          <w:divId w:val="1895778198"/>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shd w:val="clear" w:color="auto" w:fill="CCEEFF"/>
            <w:tcMar>
              <w:top w:w="30" w:type="dxa"/>
              <w:left w:w="155" w:type="dxa"/>
              <w:bottom w:w="30" w:type="dxa"/>
              <w:right w:w="20" w:type="dxa"/>
            </w:tcMar>
            <w:vAlign w:val="center"/>
            <w:hideMark/>
          </w:tcPr>
          <w:p w:rsidR="00000000" w:rsidRDefault="00C56D69">
            <w:pPr>
              <w:spacing w:after="100"/>
              <w:rPr>
                <w:rFonts w:eastAsia="Times New Roman"/>
              </w:rPr>
            </w:pPr>
            <w:r>
              <w:rPr>
                <w:rFonts w:eastAsia="Times New Roman"/>
                <w:color w:val="000000"/>
                <w:sz w:val="20"/>
                <w:szCs w:val="20"/>
              </w:rPr>
              <w:t>CLO Warehousing Debt</w:t>
            </w: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175730007"/>
              <w:rPr>
                <w:rFonts w:eastAsia="Times New Roman"/>
              </w:rPr>
            </w:pPr>
            <w:r>
              <w:rPr>
                <w:rFonts w:eastAsia="Times New Roman"/>
                <w:color w:val="000000"/>
                <w:sz w:val="20"/>
                <w:szCs w:val="20"/>
              </w:rPr>
              <w:t>Senior Notes (3.9%, due 2023)</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Height w:val="280"/>
        </w:trPr>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354502686"/>
              <w:rPr>
                <w:rFonts w:eastAsia="Times New Roman"/>
              </w:rPr>
            </w:pPr>
            <w:r>
              <w:rPr>
                <w:rFonts w:eastAsia="Times New Roman"/>
                <w:color w:val="000000"/>
                <w:sz w:val="20"/>
                <w:szCs w:val="20"/>
              </w:rPr>
              <w:t>Senior Notes (5.0%, due 2048)</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1,481 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divId w:val="1265309042"/>
              <w:rPr>
                <w:rFonts w:eastAsia="Times New Roman"/>
              </w:rPr>
            </w:pPr>
            <w:r>
              <w:rPr>
                <w:rFonts w:eastAsia="Times New Roman"/>
                <w:color w:val="000000"/>
                <w:sz w:val="20"/>
                <w:szCs w:val="20"/>
              </w:rPr>
              <w:t>Senior Notes (4.35%, due 2028)</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1,491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1,490 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vAlign w:val="center"/>
            <w:hideMark/>
          </w:tcPr>
          <w:p w:rsidR="00000000" w:rsidRDefault="00C56D69">
            <w:pPr>
              <w:spacing w:after="100"/>
              <w:jc w:val="right"/>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c>
          <w:tcPr>
            <w:tcW w:w="0" w:type="auto"/>
            <w:gridSpan w:val="3"/>
            <w:vAlign w:val="center"/>
            <w:hideMark/>
          </w:tcPr>
          <w:p w:rsidR="00000000" w:rsidRDefault="00C56D69">
            <w:pPr>
              <w:spacing w:after="100"/>
              <w:rPr>
                <w:rFonts w:eastAsia="Times New Roman"/>
                <w:sz w:val="20"/>
                <w:szCs w:val="20"/>
              </w:rPr>
            </w:pPr>
          </w:p>
        </w:tc>
      </w:tr>
      <w:tr w:rsidR="00000000">
        <w:trPr>
          <w:divId w:val="189577819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divId w:val="1062409660"/>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3,321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1895778198"/>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4,088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3,931 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divId w:val="1346901796"/>
        <w:rPr>
          <w:rFonts w:eastAsia="Times New Roman"/>
        </w:rPr>
      </w:pPr>
    </w:p>
    <w:p w:rsidR="00000000" w:rsidRDefault="00C56D69">
      <w:pPr>
        <w:divId w:val="1145774378"/>
        <w:rPr>
          <w:rFonts w:eastAsia="Times New Roman"/>
        </w:rPr>
      </w:pPr>
      <w:r>
        <w:rPr>
          <w:rFonts w:eastAsia="Times New Roman"/>
          <w:i/>
          <w:iCs/>
          <w:color w:val="000000"/>
          <w:sz w:val="20"/>
          <w:szCs w:val="20"/>
        </w:rPr>
        <w:t>Notes and Debentures</w:t>
      </w:r>
    </w:p>
    <w:p w:rsidR="00000000" w:rsidRDefault="00C56D69">
      <w:pPr>
        <w:ind w:firstLine="360"/>
        <w:divId w:val="1403915235"/>
        <w:rPr>
          <w:rFonts w:eastAsia="Times New Roman"/>
        </w:rPr>
      </w:pPr>
      <w:r>
        <w:rPr>
          <w:rFonts w:eastAsia="Times New Roman"/>
          <w:color w:val="000000"/>
          <w:sz w:val="20"/>
          <w:szCs w:val="20"/>
        </w:rPr>
        <w:t xml:space="preserve">The Senior Notes and Senior Debentures contain customary affirmative and negative covenants, including a limitation on certain liens and a limit on the Company’s ability to consolidate, merge or sell or otherwise dispose of all or substantially all of its </w:t>
      </w:r>
      <w:r>
        <w:rPr>
          <w:rFonts w:eastAsia="Times New Roman"/>
          <w:color w:val="000000"/>
          <w:sz w:val="20"/>
          <w:szCs w:val="20"/>
        </w:rPr>
        <w:t>assets. The Senior Notes and Senior Debentures also include customary events of default (with customary grace periods, as applicable), including provisions under which, upon the occurrence of an event of default, all outstanding Senior Notes and Senior Deb</w:t>
      </w:r>
      <w:r>
        <w:rPr>
          <w:rFonts w:eastAsia="Times New Roman"/>
          <w:color w:val="000000"/>
          <w:sz w:val="20"/>
          <w:szCs w:val="20"/>
        </w:rPr>
        <w:t>entures may be accelerated. As of September 30, 2022, the Company is in compliance with all debt covenants.</w:t>
      </w:r>
    </w:p>
    <w:p w:rsidR="00000000" w:rsidRDefault="00C56D69">
      <w:pPr>
        <w:divId w:val="101728971"/>
        <w:rPr>
          <w:rFonts w:eastAsia="Times New Roman"/>
        </w:rPr>
      </w:pPr>
      <w:r>
        <w:rPr>
          <w:rFonts w:eastAsia="Times New Roman"/>
          <w:b/>
          <w:bCs/>
          <w:color w:val="000000"/>
          <w:sz w:val="20"/>
          <w:szCs w:val="20"/>
        </w:rPr>
        <w:t>Ratings</w:t>
      </w:r>
    </w:p>
    <w:p w:rsidR="00000000" w:rsidRDefault="00C56D69">
      <w:pPr>
        <w:ind w:firstLine="360"/>
        <w:divId w:val="1965765472"/>
        <w:rPr>
          <w:rFonts w:eastAsia="Times New Roman"/>
        </w:rPr>
      </w:pPr>
      <w:r>
        <w:rPr>
          <w:rFonts w:eastAsia="Times New Roman"/>
          <w:color w:val="000000"/>
          <w:sz w:val="20"/>
          <w:szCs w:val="20"/>
        </w:rPr>
        <w:t>Financial strength ratings (which are sometimes referred to as “claims-paying” ratings) and credit ratings are important factors affecting p</w:t>
      </w:r>
      <w:r>
        <w:rPr>
          <w:rFonts w:eastAsia="Times New Roman"/>
          <w:color w:val="000000"/>
          <w:sz w:val="20"/>
          <w:szCs w:val="20"/>
        </w:rPr>
        <w:t>ublic confidence in an insurer and its competitive position in marketing products. Our credit ratings are also important for our ability to raise capital through the issuance of debt and for the cost of such financing.</w:t>
      </w:r>
    </w:p>
    <w:p w:rsidR="00000000" w:rsidRDefault="00C56D69">
      <w:pPr>
        <w:ind w:firstLine="360"/>
        <w:divId w:val="214317357"/>
        <w:rPr>
          <w:rFonts w:eastAsia="Times New Roman"/>
        </w:rPr>
      </w:pPr>
      <w:r>
        <w:rPr>
          <w:rFonts w:eastAsia="Times New Roman"/>
          <w:color w:val="000000"/>
          <w:sz w:val="20"/>
          <w:szCs w:val="20"/>
        </w:rPr>
        <w:t xml:space="preserve">Financial strength ratings represent </w:t>
      </w:r>
      <w:r>
        <w:rPr>
          <w:rFonts w:eastAsia="Times New Roman"/>
          <w:color w:val="000000"/>
          <w:sz w:val="20"/>
          <w:szCs w:val="20"/>
        </w:rPr>
        <w:t>the opinions of rating agencies regarding the financial ability of an insurance company to meet its obligations under an insurance policy. Credit ratings represent the opinions of rating agencies regarding an entity’s ability to repay its indebtedness. The</w:t>
      </w:r>
      <w:r>
        <w:rPr>
          <w:rFonts w:eastAsia="Times New Roman"/>
          <w:color w:val="000000"/>
          <w:sz w:val="20"/>
          <w:szCs w:val="20"/>
        </w:rPr>
        <w:t xml:space="preserve"> following table summarizes the ratings for Holdings and certain of its subsidiaries. AM Best, S&amp;P and Moody’s have a stable outlook.</w:t>
      </w:r>
    </w:p>
    <w:p w:rsidR="00000000" w:rsidRDefault="00C56D69">
      <w:pPr>
        <w:jc w:val="center"/>
        <w:divId w:val="2124956034"/>
        <w:rPr>
          <w:rFonts w:eastAsia="Times New Roman"/>
        </w:rPr>
      </w:pPr>
      <w:r>
        <w:rPr>
          <w:rFonts w:eastAsia="Times New Roman"/>
          <w:color w:val="000000"/>
          <w:sz w:val="20"/>
          <w:szCs w:val="20"/>
        </w:rPr>
        <w:t>111</w:t>
      </w:r>
    </w:p>
    <w:p w:rsidR="00000000" w:rsidRDefault="00C56D69">
      <w:pPr>
        <w:rPr>
          <w:rFonts w:eastAsia="Times New Roman"/>
        </w:rPr>
      </w:pPr>
      <w:r>
        <w:rPr>
          <w:rFonts w:eastAsia="Times New Roman"/>
        </w:rPr>
        <w:pict>
          <v:rect id="_x0000_i1137" style="width:0;height:1.5pt" o:hralign="center" o:hrstd="t" o:hr="t" fillcolor="#a0a0a0" stroked="f"/>
        </w:pict>
      </w:r>
    </w:p>
    <w:p w:rsidR="00000000" w:rsidRDefault="00C56D69">
      <w:pPr>
        <w:divId w:val="564608790"/>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1884556867"/>
        </w:trPr>
        <w:tc>
          <w:tcPr>
            <w:tcW w:w="50" w:type="pct"/>
            <w:vAlign w:val="center"/>
            <w:hideMark/>
          </w:tcPr>
          <w:p w:rsidR="00000000" w:rsidRDefault="00C56D69">
            <w:pPr>
              <w:rPr>
                <w:rFonts w:eastAsia="Times New Roman"/>
              </w:rPr>
            </w:pPr>
          </w:p>
        </w:tc>
        <w:tc>
          <w:tcPr>
            <w:tcW w:w="273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24"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7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66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884556867"/>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Moody’s</w:t>
            </w:r>
          </w:p>
        </w:tc>
      </w:tr>
      <w:tr w:rsidR="00000000">
        <w:trPr>
          <w:divId w:val="188455686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Jan '22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Jun '22</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Jul '22</w:t>
            </w:r>
          </w:p>
        </w:tc>
      </w:tr>
      <w:tr w:rsidR="00000000">
        <w:trPr>
          <w:divId w:val="1884556867"/>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84556867"/>
        </w:trPr>
        <w:tc>
          <w:tcPr>
            <w:tcW w:w="0" w:type="auto"/>
            <w:gridSpan w:val="3"/>
            <w:shd w:val="clear" w:color="auto" w:fill="CCEEFF"/>
            <w:tcMar>
              <w:top w:w="30" w:type="dxa"/>
              <w:left w:w="140" w:type="dxa"/>
              <w:bottom w:w="30" w:type="dxa"/>
              <w:right w:w="20" w:type="dxa"/>
            </w:tcMar>
            <w:vAlign w:val="bottom"/>
            <w:hideMark/>
          </w:tcPr>
          <w:p w:rsidR="00000000" w:rsidRDefault="00C56D69">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A1</w:t>
            </w:r>
          </w:p>
        </w:tc>
      </w:tr>
      <w:tr w:rsidR="00000000">
        <w:trPr>
          <w:divId w:val="1884556867"/>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A1</w:t>
            </w:r>
          </w:p>
        </w:tc>
      </w:tr>
      <w:tr w:rsidR="00000000">
        <w:trPr>
          <w:divId w:val="18845568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884556867"/>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Baa1</w:t>
            </w:r>
          </w:p>
        </w:tc>
      </w:tr>
      <w:tr w:rsidR="00000000">
        <w:trPr>
          <w:divId w:val="1884556867"/>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Sep '22</w:t>
            </w: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Jul '22</w:t>
            </w:r>
          </w:p>
        </w:tc>
      </w:tr>
      <w:tr w:rsidR="00000000">
        <w:trPr>
          <w:divId w:val="1884556867"/>
        </w:trPr>
        <w:tc>
          <w:tcPr>
            <w:tcW w:w="0" w:type="auto"/>
            <w:gridSpan w:val="3"/>
            <w:shd w:val="clear" w:color="auto" w:fill="FFFFFF"/>
            <w:tcMar>
              <w:top w:w="30" w:type="dxa"/>
              <w:left w:w="140" w:type="dxa"/>
              <w:bottom w:w="30" w:type="dxa"/>
              <w:right w:w="20" w:type="dxa"/>
            </w:tcMar>
            <w:vAlign w:val="bottom"/>
            <w:hideMark/>
          </w:tcPr>
          <w:p w:rsidR="00000000" w:rsidRDefault="00C56D69">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color w:val="000000"/>
                <w:sz w:val="20"/>
                <w:szCs w:val="20"/>
              </w:rPr>
              <w:t>A2</w:t>
            </w:r>
          </w:p>
        </w:tc>
      </w:tr>
    </w:tbl>
    <w:p w:rsidR="00000000" w:rsidRDefault="00C56D69">
      <w:pPr>
        <w:divId w:val="1031878603"/>
        <w:rPr>
          <w:rFonts w:eastAsia="Times New Roman"/>
        </w:rPr>
      </w:pPr>
    </w:p>
    <w:p w:rsidR="00000000" w:rsidRDefault="00C56D69">
      <w:pPr>
        <w:divId w:val="1830169902"/>
        <w:rPr>
          <w:rFonts w:eastAsia="Times New Roman"/>
        </w:rPr>
      </w:pPr>
      <w:r>
        <w:rPr>
          <w:rFonts w:eastAsia="Times New Roman"/>
          <w:b/>
          <w:bCs/>
          <w:color w:val="000000"/>
          <w:sz w:val="20"/>
          <w:szCs w:val="20"/>
        </w:rPr>
        <w:t>Material Cash Requirement</w:t>
      </w:r>
    </w:p>
    <w:p w:rsidR="00000000" w:rsidRDefault="00C56D69">
      <w:pPr>
        <w:ind w:firstLine="360"/>
        <w:divId w:val="1205557525"/>
        <w:rPr>
          <w:rFonts w:eastAsia="Times New Roman"/>
        </w:rPr>
      </w:pPr>
      <w:r>
        <w:rPr>
          <w:rFonts w:eastAsia="Times New Roman"/>
          <w:color w:val="000000"/>
          <w:sz w:val="20"/>
          <w:szCs w:val="20"/>
        </w:rPr>
        <w:t>Our material cash requirements include policyholder obligations, long-term debt, commercial paper, employee benefits, operating leases and various funding commitments. See “Material Cash Requirement” in “Management’s Discussion and Analysis of Financial Co</w:t>
      </w:r>
      <w:r>
        <w:rPr>
          <w:rFonts w:eastAsia="Times New Roman"/>
          <w:color w:val="000000"/>
          <w:sz w:val="20"/>
          <w:szCs w:val="20"/>
        </w:rPr>
        <w:t>ndition and Results of Operations” in the Annual Report on Form 10-K for the year ended December 31, 2021 for additional information.</w:t>
      </w:r>
    </w:p>
    <w:p w:rsidR="00000000" w:rsidRDefault="00C56D69">
      <w:pPr>
        <w:divId w:val="180121629"/>
        <w:rPr>
          <w:rFonts w:eastAsia="Times New Roman"/>
        </w:rPr>
      </w:pPr>
      <w:r>
        <w:rPr>
          <w:rFonts w:eastAsia="Times New Roman"/>
          <w:b/>
          <w:bCs/>
          <w:color w:val="000000"/>
          <w:sz w:val="20"/>
          <w:szCs w:val="20"/>
        </w:rPr>
        <w:t>Summary of Critical Accounting Estimates</w:t>
      </w:r>
    </w:p>
    <w:p w:rsidR="00000000" w:rsidRDefault="00C56D69">
      <w:pPr>
        <w:ind w:firstLine="360"/>
        <w:divId w:val="1110122769"/>
        <w:rPr>
          <w:rFonts w:eastAsia="Times New Roman"/>
        </w:rPr>
      </w:pPr>
      <w:r>
        <w:rPr>
          <w:rFonts w:eastAsia="Times New Roman"/>
          <w:color w:val="000000"/>
          <w:sz w:val="20"/>
          <w:szCs w:val="20"/>
        </w:rPr>
        <w:t>The preparation of financial statements in conformity with U.S. GAAP requires man</w:t>
      </w:r>
      <w:r>
        <w:rPr>
          <w:rFonts w:eastAsia="Times New Roman"/>
          <w:color w:val="000000"/>
          <w:sz w:val="20"/>
          <w:szCs w:val="20"/>
        </w:rPr>
        <w:t>agement to adopt accounting policies and make estimates and assumptions that affect amounts reported in our consolidated financial statements included elsewhere herein. For a discussion of our significant accounting policies, see Note 2 to the Company’s co</w:t>
      </w:r>
      <w:r>
        <w:rPr>
          <w:rFonts w:eastAsia="Times New Roman"/>
          <w:color w:val="000000"/>
          <w:sz w:val="20"/>
          <w:szCs w:val="20"/>
        </w:rPr>
        <w:t>nsolidated financial statements included in our 2021 Form 10-K. The most critical estimates include those used in determining:</w:t>
      </w:r>
    </w:p>
    <w:p w:rsidR="00000000" w:rsidRDefault="00C56D69">
      <w:pPr>
        <w:ind w:hanging="360"/>
        <w:jc w:val="both"/>
        <w:divId w:val="355733527"/>
        <w:rPr>
          <w:rFonts w:eastAsia="Times New Roman"/>
        </w:rPr>
      </w:pPr>
      <w:r>
        <w:rPr>
          <w:rFonts w:eastAsia="Times New Roman"/>
          <w:color w:val="000000"/>
          <w:sz w:val="20"/>
          <w:szCs w:val="20"/>
        </w:rPr>
        <w:t>•liabilities for future policy benefits;</w:t>
      </w:r>
    </w:p>
    <w:p w:rsidR="00000000" w:rsidRDefault="00C56D69">
      <w:pPr>
        <w:ind w:hanging="360"/>
        <w:jc w:val="both"/>
        <w:divId w:val="1248004648"/>
        <w:rPr>
          <w:rFonts w:eastAsia="Times New Roman"/>
        </w:rPr>
      </w:pPr>
      <w:r>
        <w:rPr>
          <w:rFonts w:eastAsia="Times New Roman"/>
          <w:color w:val="000000"/>
          <w:sz w:val="20"/>
          <w:szCs w:val="20"/>
        </w:rPr>
        <w:t>•accounting for reinsurance;</w:t>
      </w:r>
    </w:p>
    <w:p w:rsidR="00000000" w:rsidRDefault="00C56D69">
      <w:pPr>
        <w:ind w:hanging="360"/>
        <w:jc w:val="both"/>
        <w:divId w:val="921255300"/>
        <w:rPr>
          <w:rFonts w:eastAsia="Times New Roman"/>
        </w:rPr>
      </w:pPr>
      <w:r>
        <w:rPr>
          <w:rFonts w:eastAsia="Times New Roman"/>
          <w:color w:val="000000"/>
          <w:sz w:val="20"/>
          <w:szCs w:val="20"/>
        </w:rPr>
        <w:t>•capitalization and amortization of DAC;</w:t>
      </w:r>
    </w:p>
    <w:p w:rsidR="00000000" w:rsidRDefault="00C56D69">
      <w:pPr>
        <w:ind w:hanging="360"/>
        <w:jc w:val="both"/>
        <w:divId w:val="437261680"/>
        <w:rPr>
          <w:rFonts w:eastAsia="Times New Roman"/>
        </w:rPr>
      </w:pPr>
      <w:r>
        <w:rPr>
          <w:rFonts w:eastAsia="Times New Roman"/>
          <w:color w:val="000000"/>
          <w:sz w:val="20"/>
          <w:szCs w:val="20"/>
        </w:rPr>
        <w:t>•estimated fair va</w:t>
      </w:r>
      <w:r>
        <w:rPr>
          <w:rFonts w:eastAsia="Times New Roman"/>
          <w:color w:val="000000"/>
          <w:sz w:val="20"/>
          <w:szCs w:val="20"/>
        </w:rPr>
        <w:t>lues of investments in the absence of quoted market values and investment impairments;</w:t>
      </w:r>
    </w:p>
    <w:p w:rsidR="00000000" w:rsidRDefault="00C56D69">
      <w:pPr>
        <w:ind w:hanging="360"/>
        <w:jc w:val="both"/>
        <w:divId w:val="1953584850"/>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derivatives requiring bifurcation;</w:t>
      </w:r>
    </w:p>
    <w:p w:rsidR="00000000" w:rsidRDefault="00C56D69">
      <w:pPr>
        <w:ind w:hanging="360"/>
        <w:jc w:val="both"/>
        <w:divId w:val="1209075959"/>
        <w:rPr>
          <w:rFonts w:eastAsia="Times New Roman"/>
        </w:rPr>
      </w:pPr>
      <w:r>
        <w:rPr>
          <w:rFonts w:eastAsia="Times New Roman"/>
          <w:color w:val="000000"/>
          <w:sz w:val="20"/>
          <w:szCs w:val="20"/>
        </w:rPr>
        <w:t>•goodwill and related impairment;</w:t>
      </w:r>
    </w:p>
    <w:p w:rsidR="00000000" w:rsidRDefault="00C56D69">
      <w:pPr>
        <w:ind w:hanging="360"/>
        <w:jc w:val="both"/>
        <w:divId w:val="1796634572"/>
        <w:rPr>
          <w:rFonts w:eastAsia="Times New Roman"/>
        </w:rPr>
      </w:pPr>
      <w:r>
        <w:rPr>
          <w:rFonts w:eastAsia="Times New Roman"/>
          <w:color w:val="000000"/>
          <w:sz w:val="20"/>
          <w:szCs w:val="20"/>
        </w:rPr>
        <w:t>•measurement of income taxes and the valuation of deferred tax assets; and</w:t>
      </w:r>
    </w:p>
    <w:p w:rsidR="00000000" w:rsidRDefault="00C56D69">
      <w:pPr>
        <w:ind w:hanging="360"/>
        <w:divId w:val="1864052855"/>
        <w:rPr>
          <w:rFonts w:eastAsia="Times New Roman"/>
        </w:rPr>
      </w:pPr>
      <w:r>
        <w:rPr>
          <w:rFonts w:eastAsia="Times New Roman"/>
          <w:color w:val="000000"/>
          <w:sz w:val="20"/>
          <w:szCs w:val="20"/>
        </w:rPr>
        <w:t>•liab</w:t>
      </w:r>
      <w:r>
        <w:rPr>
          <w:rFonts w:eastAsia="Times New Roman"/>
          <w:color w:val="000000"/>
          <w:sz w:val="20"/>
          <w:szCs w:val="20"/>
        </w:rPr>
        <w:t>ilities for litigation and regulatory matters.</w:t>
      </w:r>
    </w:p>
    <w:p w:rsidR="00000000" w:rsidRDefault="00C56D69">
      <w:pPr>
        <w:ind w:firstLine="360"/>
        <w:divId w:val="1831948947"/>
        <w:rPr>
          <w:rFonts w:eastAsia="Times New Roman"/>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w:t>
      </w:r>
      <w:r>
        <w:rPr>
          <w:rFonts w:eastAsia="Times New Roman"/>
          <w:color w:val="000000"/>
          <w:sz w:val="20"/>
          <w:szCs w:val="20"/>
        </w:rPr>
        <w:t>nts are common in the insurance and financial services industries while others are specific to our business and operations. Actual results could differ from these estimates.</w:t>
      </w:r>
    </w:p>
    <w:p w:rsidR="00000000" w:rsidRDefault="00C56D69">
      <w:pPr>
        <w:divId w:val="1830093448"/>
        <w:rPr>
          <w:rFonts w:eastAsia="Times New Roman"/>
        </w:rPr>
      </w:pPr>
      <w:r>
        <w:rPr>
          <w:rFonts w:eastAsia="Times New Roman"/>
          <w:b/>
          <w:bCs/>
          <w:color w:val="000000"/>
          <w:sz w:val="20"/>
          <w:szCs w:val="20"/>
        </w:rPr>
        <w:t xml:space="preserve">Item 3.      Quantitative and Qualitative Disclosures About Market Risk </w:t>
      </w:r>
    </w:p>
    <w:p w:rsidR="00000000" w:rsidRDefault="00C56D69">
      <w:pPr>
        <w:ind w:firstLine="360"/>
        <w:divId w:val="520894252"/>
        <w:rPr>
          <w:rFonts w:eastAsia="Times New Roman"/>
        </w:rPr>
      </w:pPr>
      <w:r>
        <w:rPr>
          <w:rFonts w:eastAsia="Times New Roman"/>
          <w:color w:val="000000"/>
          <w:sz w:val="20"/>
          <w:szCs w:val="20"/>
        </w:rPr>
        <w:t>There hav</w:t>
      </w:r>
      <w:r>
        <w:rPr>
          <w:rFonts w:eastAsia="Times New Roman"/>
          <w:color w:val="000000"/>
          <w:sz w:val="20"/>
          <w:szCs w:val="20"/>
        </w:rPr>
        <w:t>e been no material changes to the quantitative and qualitative disclosures about market risk described in the Annual Report on Form 10-K for the year ended December 31, 2021 in "Quantitative and Qualitative Disclosures About Market Risk".</w:t>
      </w:r>
    </w:p>
    <w:p w:rsidR="00000000" w:rsidRDefault="00C56D69">
      <w:pPr>
        <w:jc w:val="center"/>
        <w:divId w:val="726414747"/>
        <w:rPr>
          <w:rFonts w:eastAsia="Times New Roman"/>
        </w:rPr>
      </w:pPr>
      <w:r>
        <w:rPr>
          <w:rFonts w:eastAsia="Times New Roman"/>
          <w:color w:val="000000"/>
          <w:sz w:val="20"/>
          <w:szCs w:val="20"/>
        </w:rPr>
        <w:t>112</w:t>
      </w:r>
    </w:p>
    <w:p w:rsidR="00000000" w:rsidRDefault="00C56D69">
      <w:pPr>
        <w:rPr>
          <w:rFonts w:eastAsia="Times New Roman"/>
        </w:rPr>
      </w:pPr>
      <w:r>
        <w:rPr>
          <w:rFonts w:eastAsia="Times New Roman"/>
        </w:rPr>
        <w:pict>
          <v:rect id="_x0000_i1138" style="width:0;height:1.5pt" o:hralign="center" o:hrstd="t" o:hr="t" fillcolor="#a0a0a0" stroked="f"/>
        </w:pict>
      </w:r>
    </w:p>
    <w:p w:rsidR="00000000" w:rsidRDefault="00C56D69">
      <w:pPr>
        <w:divId w:val="1285848155"/>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517379142"/>
        <w:rPr>
          <w:rFonts w:eastAsia="Times New Roman"/>
        </w:rPr>
      </w:pPr>
      <w:r>
        <w:rPr>
          <w:rFonts w:eastAsia="Times New Roman"/>
          <w:b/>
          <w:bCs/>
          <w:color w:val="000000"/>
          <w:sz w:val="20"/>
          <w:szCs w:val="20"/>
        </w:rPr>
        <w:t xml:space="preserve">Item 4.     Controls and Procedures </w:t>
      </w:r>
    </w:p>
    <w:p w:rsidR="00000000" w:rsidRDefault="00C56D69">
      <w:pPr>
        <w:ind w:firstLine="360"/>
        <w:divId w:val="1412310840"/>
        <w:rPr>
          <w:rFonts w:eastAsia="Times New Roman"/>
        </w:rPr>
      </w:pPr>
      <w:r>
        <w:rPr>
          <w:rFonts w:eastAsia="Times New Roman"/>
          <w:color w:val="000000"/>
          <w:sz w:val="20"/>
          <w:szCs w:val="20"/>
        </w:rPr>
        <w:t>Management, with the participation of the Chief Executive Officer and Chief Financial Officer, has evaluated the effec</w:t>
      </w:r>
      <w:r>
        <w:rPr>
          <w:rFonts w:eastAsia="Times New Roman"/>
          <w:color w:val="000000"/>
          <w:sz w:val="20"/>
          <w:szCs w:val="20"/>
        </w:rPr>
        <w:t>tiveness of the design and operation of the Company’s disclosure controls and procedures, as defined in Rule 13a-15(e) of the Exchange Act. Based on such evaluation, the Chief Executive Officer and Chief Financial Officer have concluded that, as of Septemb</w:t>
      </w:r>
      <w:r>
        <w:rPr>
          <w:rFonts w:eastAsia="Times New Roman"/>
          <w:color w:val="000000"/>
          <w:sz w:val="20"/>
          <w:szCs w:val="20"/>
        </w:rPr>
        <w:t xml:space="preserve">er 30, 2022, the Company’s disclosure controls and procedures were effective. </w:t>
      </w:r>
    </w:p>
    <w:p w:rsidR="00000000" w:rsidRDefault="00C56D69">
      <w:pPr>
        <w:ind w:firstLine="360"/>
        <w:divId w:val="623535426"/>
        <w:rPr>
          <w:rFonts w:eastAsia="Times New Roman"/>
        </w:rPr>
      </w:pPr>
      <w:r>
        <w:rPr>
          <w:rFonts w:eastAsia="Times New Roman"/>
          <w:color w:val="000000"/>
          <w:sz w:val="20"/>
          <w:szCs w:val="20"/>
        </w:rPr>
        <w:t>During the first quarter 2022, we implemented a new accounting and financial reporting system, including the general ledger. We have modified our existing controls infrastructur</w:t>
      </w:r>
      <w:r>
        <w:rPr>
          <w:rFonts w:eastAsia="Times New Roman"/>
          <w:color w:val="000000"/>
          <w:sz w:val="20"/>
          <w:szCs w:val="20"/>
        </w:rPr>
        <w:t>e, as well as added other processes and internal controls, to adapt to our new general ledger. There are no other changes in our internal control over financial reporting (as defined in Rule 13a-15(f) and Rule 15d-15(f) under the Exchange Act) that occurre</w:t>
      </w:r>
      <w:r>
        <w:rPr>
          <w:rFonts w:eastAsia="Times New Roman"/>
          <w:color w:val="000000"/>
          <w:sz w:val="20"/>
          <w:szCs w:val="20"/>
        </w:rPr>
        <w:t>d during the nine months ended September 30, 2022, that have materially affected, or are reasonably likely to materially affect, our internal control over financial reporting.</w:t>
      </w:r>
    </w:p>
    <w:p w:rsidR="00000000" w:rsidRDefault="00C56D69">
      <w:pPr>
        <w:ind w:firstLine="360"/>
        <w:divId w:val="1187331094"/>
        <w:rPr>
          <w:rFonts w:eastAsia="Times New Roman"/>
        </w:rPr>
      </w:pPr>
    </w:p>
    <w:p w:rsidR="00000000" w:rsidRDefault="00C56D69">
      <w:pPr>
        <w:jc w:val="center"/>
        <w:divId w:val="902984233"/>
        <w:rPr>
          <w:rFonts w:eastAsia="Times New Roman"/>
        </w:rPr>
      </w:pPr>
      <w:r>
        <w:rPr>
          <w:rFonts w:eastAsia="Times New Roman"/>
          <w:color w:val="000000"/>
          <w:sz w:val="20"/>
          <w:szCs w:val="20"/>
        </w:rPr>
        <w:t>113</w:t>
      </w:r>
    </w:p>
    <w:p w:rsidR="00000000" w:rsidRDefault="00C56D69">
      <w:pPr>
        <w:rPr>
          <w:rFonts w:eastAsia="Times New Roman"/>
        </w:rPr>
      </w:pPr>
      <w:r>
        <w:rPr>
          <w:rFonts w:eastAsia="Times New Roman"/>
        </w:rPr>
        <w:pict>
          <v:rect id="_x0000_i1139" style="width:0;height:1.5pt" o:hralign="center" o:hrstd="t" o:hr="t" fillcolor="#a0a0a0" stroked="f"/>
        </w:pict>
      </w:r>
    </w:p>
    <w:p w:rsidR="00000000" w:rsidRDefault="00C56D69">
      <w:pPr>
        <w:divId w:val="933435814"/>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570509121"/>
        <w:rPr>
          <w:rFonts w:eastAsia="Times New Roman"/>
        </w:rPr>
      </w:pPr>
      <w:r>
        <w:rPr>
          <w:rFonts w:eastAsia="Times New Roman"/>
          <w:b/>
          <w:bCs/>
          <w:color w:val="000000"/>
          <w:sz w:val="20"/>
          <w:szCs w:val="20"/>
        </w:rPr>
        <w:t>PART II. OTHER INFORMATION</w:t>
      </w:r>
    </w:p>
    <w:p w:rsidR="00000000" w:rsidRDefault="00C56D69">
      <w:pPr>
        <w:divId w:val="799111396"/>
        <w:rPr>
          <w:rFonts w:eastAsia="Times New Roman"/>
        </w:rPr>
      </w:pPr>
      <w:r>
        <w:rPr>
          <w:rFonts w:eastAsia="Times New Roman"/>
          <w:b/>
          <w:bCs/>
          <w:color w:val="000000"/>
          <w:sz w:val="20"/>
          <w:szCs w:val="20"/>
        </w:rPr>
        <w:t xml:space="preserve">Item 1.     Legal Proceedings </w:t>
      </w:r>
    </w:p>
    <w:p w:rsidR="00000000" w:rsidRDefault="00C56D69">
      <w:pPr>
        <w:ind w:firstLine="360"/>
        <w:divId w:val="1564559609"/>
        <w:rPr>
          <w:rFonts w:eastAsia="Times New Roman"/>
        </w:rPr>
      </w:pPr>
      <w:r>
        <w:rPr>
          <w:rFonts w:eastAsia="Times New Roman"/>
          <w:color w:val="000000"/>
          <w:sz w:val="20"/>
          <w:szCs w:val="20"/>
        </w:rPr>
        <w:t>For information regarding certain legal proceedings pending against us, see Note 12 of the Notes to these Consolidated Financial Statements (unaudited) in this Form 10-Q. Also see “Risk Factors—Legal and Regulatory Risks—Legal and regulatory actions” inclu</w:t>
      </w:r>
      <w:r>
        <w:rPr>
          <w:rFonts w:eastAsia="Times New Roman"/>
          <w:color w:val="000000"/>
          <w:sz w:val="20"/>
          <w:szCs w:val="20"/>
        </w:rPr>
        <w:t>ded in our Annual Report on Form 10-K for the year ended December 31, 2021.</w:t>
      </w:r>
    </w:p>
    <w:p w:rsidR="00000000" w:rsidRDefault="00C56D69">
      <w:pPr>
        <w:divId w:val="168910878"/>
        <w:rPr>
          <w:rFonts w:eastAsia="Times New Roman"/>
        </w:rPr>
      </w:pPr>
      <w:r>
        <w:rPr>
          <w:rFonts w:eastAsia="Times New Roman"/>
          <w:b/>
          <w:bCs/>
          <w:color w:val="000000"/>
          <w:sz w:val="20"/>
          <w:szCs w:val="20"/>
        </w:rPr>
        <w:t xml:space="preserve">Item 1A. Risk Factors </w:t>
      </w:r>
    </w:p>
    <w:p w:rsidR="00000000" w:rsidRDefault="00C56D69">
      <w:pPr>
        <w:ind w:firstLine="360"/>
        <w:divId w:val="19867584"/>
        <w:rPr>
          <w:rFonts w:eastAsia="Times New Roman"/>
        </w:rPr>
      </w:pPr>
      <w:r>
        <w:rPr>
          <w:rFonts w:eastAsia="Times New Roman"/>
          <w:color w:val="000000"/>
          <w:sz w:val="20"/>
          <w:szCs w:val="20"/>
        </w:rPr>
        <w:t>You should carefully consider the risks described in the “Risk Factors” section included in our Annual Report on Form 10-K for the year ended December 31, 20</w:t>
      </w:r>
      <w:r>
        <w:rPr>
          <w:rFonts w:eastAsia="Times New Roman"/>
          <w:color w:val="000000"/>
          <w:sz w:val="20"/>
          <w:szCs w:val="20"/>
        </w:rPr>
        <w:t>21. Risks to which we are subject also include, but are not limited to, the factors mentioned under “Note Regarding Forward-Looking Statements and Information” above and the risks of our businesses described elsewhere in this Quarterly Report on Form 10-Q.</w:t>
      </w:r>
    </w:p>
    <w:p w:rsidR="00000000" w:rsidRDefault="00C56D69">
      <w:pPr>
        <w:divId w:val="228075699"/>
        <w:rPr>
          <w:rFonts w:eastAsia="Times New Roman"/>
        </w:rPr>
      </w:pPr>
      <w:r>
        <w:rPr>
          <w:rFonts w:eastAsia="Times New Roman"/>
          <w:b/>
          <w:bCs/>
          <w:color w:val="000000"/>
          <w:sz w:val="20"/>
          <w:szCs w:val="20"/>
        </w:rPr>
        <w:t xml:space="preserve">Item 2.     Unregistered Sales of Equity Securities and Use of Proceeds </w:t>
      </w:r>
    </w:p>
    <w:p w:rsidR="00000000" w:rsidRDefault="00C56D69">
      <w:pPr>
        <w:ind w:firstLine="360"/>
        <w:divId w:val="2107572876"/>
        <w:rPr>
          <w:rFonts w:eastAsia="Times New Roman"/>
        </w:rPr>
      </w:pPr>
      <w:r>
        <w:rPr>
          <w:rFonts w:eastAsia="Times New Roman"/>
          <w:color w:val="000000"/>
          <w:sz w:val="20"/>
          <w:szCs w:val="20"/>
        </w:rPr>
        <w:t>The following table provides information about purchases by Holdings during the three months ended September 30, 2022,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48"/>
        <w:gridCol w:w="1393"/>
        <w:gridCol w:w="36"/>
        <w:gridCol w:w="36"/>
        <w:gridCol w:w="36"/>
        <w:gridCol w:w="36"/>
        <w:gridCol w:w="120"/>
        <w:gridCol w:w="1365"/>
        <w:gridCol w:w="36"/>
        <w:gridCol w:w="36"/>
        <w:gridCol w:w="36"/>
        <w:gridCol w:w="36"/>
        <w:gridCol w:w="48"/>
        <w:gridCol w:w="1365"/>
        <w:gridCol w:w="36"/>
        <w:gridCol w:w="36"/>
        <w:gridCol w:w="36"/>
        <w:gridCol w:w="36"/>
        <w:gridCol w:w="120"/>
        <w:gridCol w:w="1367"/>
        <w:gridCol w:w="36"/>
      </w:tblGrid>
      <w:tr w:rsidR="00000000">
        <w:trPr>
          <w:divId w:val="836576839"/>
        </w:trPr>
        <w:tc>
          <w:tcPr>
            <w:tcW w:w="50" w:type="pct"/>
            <w:vAlign w:val="center"/>
            <w:hideMark/>
          </w:tcPr>
          <w:p w:rsidR="00000000" w:rsidRDefault="00C56D69">
            <w:pPr>
              <w:ind w:firstLine="360"/>
              <w:rPr>
                <w:rFonts w:eastAsia="Times New Roman"/>
              </w:rPr>
            </w:pPr>
          </w:p>
        </w:tc>
        <w:tc>
          <w:tcPr>
            <w:tcW w:w="1169"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2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861"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836576839"/>
        </w:trPr>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 xml:space="preserve">Approximate Dollar Value of Shares that May Yet Be Purchased Under the Plans or Programs </w:t>
            </w:r>
          </w:p>
        </w:tc>
      </w:tr>
      <w:tr w:rsidR="00000000">
        <w:trPr>
          <w:divId w:val="83657683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7/1/22 through 7/31/22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1,167,227 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25.70 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1,167,227 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674,529,426 </w:t>
            </w:r>
          </w:p>
        </w:tc>
        <w:tc>
          <w:tcPr>
            <w:tcW w:w="0" w:type="auto"/>
            <w:tcBorders>
              <w:top w:val="single" w:sz="8" w:space="0" w:color="000000"/>
            </w:tcBorders>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36576839"/>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8/1/22 through 8/31/22</w:t>
            </w: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1,943,449 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30.60 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1,943,449 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615,054,615 </w:t>
            </w:r>
          </w:p>
        </w:tc>
        <w:tc>
          <w:tcPr>
            <w:tcW w:w="0" w:type="auto"/>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36576839"/>
        </w:trPr>
        <w:tc>
          <w:tcPr>
            <w:tcW w:w="0" w:type="auto"/>
            <w:gridSpan w:val="3"/>
            <w:shd w:val="clear" w:color="auto" w:fill="FFFF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9/1/22 through 9/30/22</w:t>
            </w: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3,869,178 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28.60 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3,869,178 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577,554,615 </w:t>
            </w:r>
          </w:p>
        </w:tc>
        <w:tc>
          <w:tcPr>
            <w:tcW w:w="0" w:type="auto"/>
            <w:shd w:val="clear" w:color="auto" w:fill="FFFFFF"/>
            <w:tcMar>
              <w:top w:w="30" w:type="dxa"/>
              <w:left w:w="0" w:type="dxa"/>
              <w:bottom w:w="30" w:type="dxa"/>
              <w:right w:w="20" w:type="dxa"/>
            </w:tcMar>
            <w:vAlign w:val="bottom"/>
            <w:hideMark/>
          </w:tcPr>
          <w:p w:rsidR="00000000" w:rsidRDefault="00C56D69">
            <w:pPr>
              <w:spacing w:after="100"/>
              <w:jc w:val="right"/>
              <w:rPr>
                <w:rFonts w:eastAsia="Times New Roman"/>
              </w:rPr>
            </w:pPr>
          </w:p>
        </w:tc>
      </w:tr>
      <w:tr w:rsidR="00000000">
        <w:trPr>
          <w:divId w:val="836576839"/>
        </w:trPr>
        <w:tc>
          <w:tcPr>
            <w:tcW w:w="0" w:type="auto"/>
            <w:gridSpan w:val="3"/>
            <w:shd w:val="clear" w:color="auto" w:fill="CCEEFF"/>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6,979,854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color w:val="000000"/>
                <w:sz w:val="20"/>
                <w:szCs w:val="20"/>
              </w:rPr>
              <w:t>28.67 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6,979,854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56D6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56D69">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56D69">
            <w:pPr>
              <w:spacing w:after="100"/>
              <w:jc w:val="right"/>
              <w:rPr>
                <w:rFonts w:eastAsia="Times New Roman"/>
              </w:rPr>
            </w:pPr>
            <w:r>
              <w:rPr>
                <w:rFonts w:eastAsia="Times New Roman"/>
                <w:b/>
                <w:bCs/>
                <w:color w:val="000000"/>
                <w:sz w:val="20"/>
                <w:szCs w:val="20"/>
              </w:rPr>
              <w:t>577,554,615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56D69">
            <w:pPr>
              <w:spacing w:after="100"/>
              <w:jc w:val="right"/>
              <w:rPr>
                <w:rFonts w:eastAsia="Times New Roman"/>
              </w:rPr>
            </w:pPr>
          </w:p>
        </w:tc>
      </w:tr>
    </w:tbl>
    <w:p w:rsidR="00000000" w:rsidRDefault="00C56D69">
      <w:pPr>
        <w:ind w:hanging="360"/>
        <w:divId w:val="2056151938"/>
        <w:rPr>
          <w:rFonts w:eastAsia="Times New Roman"/>
        </w:rPr>
      </w:pPr>
    </w:p>
    <w:p w:rsidR="00000000" w:rsidRDefault="00C56D69">
      <w:pPr>
        <w:divId w:val="537546708"/>
        <w:rPr>
          <w:rFonts w:eastAsia="Times New Roman"/>
        </w:rPr>
      </w:pPr>
      <w:r>
        <w:rPr>
          <w:rFonts w:eastAsia="Times New Roman"/>
          <w:color w:val="000000"/>
          <w:sz w:val="20"/>
          <w:szCs w:val="20"/>
        </w:rPr>
        <w:t xml:space="preserve">See Note 10 to the Notes to Consolidated </w:t>
      </w:r>
      <w:r>
        <w:rPr>
          <w:rFonts w:eastAsia="Times New Roman"/>
          <w:color w:val="000000"/>
          <w:sz w:val="20"/>
          <w:szCs w:val="20"/>
        </w:rPr>
        <w:t>Financial Statements for ASR transaction detail during the three months ended September 30, 2022.</w:t>
      </w:r>
    </w:p>
    <w:p w:rsidR="00000000" w:rsidRDefault="00C56D69">
      <w:pPr>
        <w:divId w:val="452480255"/>
        <w:rPr>
          <w:rFonts w:eastAsia="Times New Roman"/>
        </w:rPr>
      </w:pPr>
      <w:r>
        <w:rPr>
          <w:rFonts w:eastAsia="Times New Roman"/>
          <w:b/>
          <w:bCs/>
          <w:color w:val="000000"/>
          <w:sz w:val="20"/>
          <w:szCs w:val="20"/>
        </w:rPr>
        <w:t xml:space="preserve">Item 3.     Defaults Upon Senior Securities </w:t>
      </w:r>
    </w:p>
    <w:p w:rsidR="00000000" w:rsidRDefault="00C56D69">
      <w:pPr>
        <w:ind w:firstLine="360"/>
        <w:divId w:val="1963294702"/>
        <w:rPr>
          <w:rFonts w:eastAsia="Times New Roman"/>
        </w:rPr>
      </w:pPr>
      <w:r>
        <w:rPr>
          <w:rFonts w:eastAsia="Times New Roman"/>
          <w:color w:val="000000"/>
          <w:sz w:val="20"/>
          <w:szCs w:val="20"/>
        </w:rPr>
        <w:t>None.</w:t>
      </w:r>
    </w:p>
    <w:p w:rsidR="00000000" w:rsidRDefault="00C56D69">
      <w:pPr>
        <w:divId w:val="1944607134"/>
        <w:rPr>
          <w:rFonts w:eastAsia="Times New Roman"/>
        </w:rPr>
      </w:pPr>
      <w:r>
        <w:rPr>
          <w:rFonts w:eastAsia="Times New Roman"/>
          <w:b/>
          <w:bCs/>
          <w:color w:val="000000"/>
          <w:sz w:val="20"/>
          <w:szCs w:val="20"/>
        </w:rPr>
        <w:t xml:space="preserve">Item 4.     Mine Safety Disclosures </w:t>
      </w:r>
    </w:p>
    <w:p w:rsidR="00000000" w:rsidRDefault="00C56D69">
      <w:pPr>
        <w:ind w:firstLine="360"/>
        <w:divId w:val="543909363"/>
        <w:rPr>
          <w:rFonts w:eastAsia="Times New Roman"/>
        </w:rPr>
      </w:pPr>
      <w:r>
        <w:rPr>
          <w:rFonts w:eastAsia="Times New Roman"/>
          <w:color w:val="000000"/>
          <w:sz w:val="20"/>
          <w:szCs w:val="20"/>
        </w:rPr>
        <w:t>Not applicable.</w:t>
      </w:r>
    </w:p>
    <w:p w:rsidR="00000000" w:rsidRDefault="00C56D69">
      <w:pPr>
        <w:divId w:val="799151921"/>
        <w:rPr>
          <w:rFonts w:eastAsia="Times New Roman"/>
        </w:rPr>
      </w:pPr>
      <w:r>
        <w:rPr>
          <w:rFonts w:eastAsia="Times New Roman"/>
          <w:b/>
          <w:bCs/>
          <w:color w:val="000000"/>
          <w:sz w:val="20"/>
          <w:szCs w:val="20"/>
        </w:rPr>
        <w:t xml:space="preserve">Item 5.      Other Information </w:t>
      </w:r>
    </w:p>
    <w:p w:rsidR="00000000" w:rsidRDefault="00C56D69">
      <w:pPr>
        <w:ind w:firstLine="360"/>
        <w:divId w:val="1097678331"/>
        <w:rPr>
          <w:rFonts w:eastAsia="Times New Roman"/>
        </w:rPr>
      </w:pPr>
      <w:r>
        <w:rPr>
          <w:rFonts w:eastAsia="Times New Roman"/>
          <w:color w:val="000000"/>
          <w:sz w:val="20"/>
          <w:szCs w:val="20"/>
        </w:rPr>
        <w:t>None.</w:t>
      </w:r>
    </w:p>
    <w:p w:rsidR="00000000" w:rsidRDefault="00C56D69">
      <w:pPr>
        <w:jc w:val="center"/>
        <w:divId w:val="1521578429"/>
        <w:rPr>
          <w:rFonts w:eastAsia="Times New Roman"/>
        </w:rPr>
      </w:pPr>
      <w:r>
        <w:rPr>
          <w:rFonts w:eastAsia="Times New Roman"/>
          <w:color w:val="000000"/>
          <w:sz w:val="20"/>
          <w:szCs w:val="20"/>
        </w:rPr>
        <w:t>114</w:t>
      </w:r>
    </w:p>
    <w:p w:rsidR="00000000" w:rsidRDefault="00C56D69">
      <w:pPr>
        <w:rPr>
          <w:rFonts w:eastAsia="Times New Roman"/>
        </w:rPr>
      </w:pPr>
      <w:r>
        <w:rPr>
          <w:rFonts w:eastAsia="Times New Roman"/>
        </w:rPr>
        <w:pict>
          <v:rect id="_x0000_i1140" style="width:0;height:1.5pt" o:hralign="center" o:hrstd="t" o:hr="t" fillcolor="#a0a0a0" stroked="f"/>
        </w:pict>
      </w:r>
    </w:p>
    <w:p w:rsidR="00000000" w:rsidRDefault="00C56D69">
      <w:pPr>
        <w:divId w:val="1029339348"/>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divId w:val="1235819593"/>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9"/>
        <w:gridCol w:w="7189"/>
        <w:gridCol w:w="38"/>
        <w:gridCol w:w="36"/>
      </w:tblGrid>
      <w:tr w:rsidR="00000000">
        <w:trPr>
          <w:divId w:val="1742485487"/>
        </w:trPr>
        <w:tc>
          <w:tcPr>
            <w:tcW w:w="50" w:type="pct"/>
            <w:vAlign w:val="center"/>
            <w:hideMark/>
          </w:tcPr>
          <w:p w:rsidR="00000000" w:rsidRDefault="00C56D69">
            <w:pPr>
              <w:rPr>
                <w:rFonts w:eastAsia="Times New Roman"/>
              </w:rPr>
            </w:pPr>
          </w:p>
        </w:tc>
        <w:tc>
          <w:tcPr>
            <w:tcW w:w="412"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70"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439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0" w:type="auto"/>
            <w:vAlign w:val="center"/>
            <w:hideMark/>
          </w:tcPr>
          <w:p w:rsidR="00000000" w:rsidRDefault="00C56D69">
            <w:pPr>
              <w:spacing w:after="100"/>
              <w:rPr>
                <w:rFonts w:eastAsia="Times New Roman"/>
                <w:sz w:val="20"/>
                <w:szCs w:val="20"/>
              </w:rPr>
            </w:pPr>
          </w:p>
        </w:tc>
      </w:tr>
      <w:tr w:rsidR="00000000">
        <w:trPr>
          <w:divId w:val="1742485487"/>
        </w:trPr>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jc w:val="center"/>
              <w:rPr>
                <w:rFonts w:eastAsia="Times New Roman"/>
              </w:rPr>
            </w:pPr>
            <w:r>
              <w:rPr>
                <w:rFonts w:eastAsia="Times New Roman"/>
                <w:b/>
                <w:bCs/>
                <w:color w:val="000000"/>
                <w:sz w:val="16"/>
                <w:szCs w:val="16"/>
              </w:rPr>
              <w:t>Description and Method of Filing</w:t>
            </w:r>
          </w:p>
        </w:tc>
        <w:tc>
          <w:tcPr>
            <w:tcW w:w="0" w:type="auto"/>
            <w:vAlign w:val="center"/>
            <w:hideMark/>
          </w:tcPr>
          <w:p w:rsidR="00000000" w:rsidRDefault="00C56D69">
            <w:pPr>
              <w:spacing w:after="100"/>
              <w:jc w:val="center"/>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577592768"/>
              <w:rPr>
                <w:rFonts w:eastAsia="Times New Roman"/>
              </w:rPr>
            </w:pPr>
            <w:hyperlink r:id="rId6"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Master Transaction Agreement, dated as of August 16, 2022 among Equitable Financial Life Insurance Company and First Allmerica Financial Life Insurance Company (redacted)</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985160722"/>
              <w:rPr>
                <w:rFonts w:eastAsia="Times New Roman"/>
              </w:rPr>
            </w:pPr>
            <w:hyperlink r:id="rId7"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Coinsurance and Modified Coi</w:t>
            </w:r>
            <w:r>
              <w:rPr>
                <w:rFonts w:eastAsia="Times New Roman"/>
                <w:color w:val="000000"/>
                <w:sz w:val="20"/>
                <w:szCs w:val="20"/>
              </w:rPr>
              <w:t>nsurance Agreement, dated as of October 3, 2023, between Equitable Financial Life Insurance Company and First Allmerica Financial Life Insurance Company (redacted)</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1406613164"/>
              <w:rPr>
                <w:rFonts w:eastAsia="Times New Roman"/>
              </w:rPr>
            </w:pPr>
            <w:hyperlink r:id="rId8"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1867214190"/>
              <w:rPr>
                <w:rFonts w:eastAsia="Times New Roman"/>
              </w:rPr>
            </w:pPr>
            <w:hyperlink r:id="rId9"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 xml:space="preserve">Certification of the Registrant’s Chief Financial Officer pursuant to Section 302 </w:t>
            </w:r>
            <w:r>
              <w:rPr>
                <w:rFonts w:eastAsia="Times New Roman"/>
                <w:color w:val="000000"/>
                <w:sz w:val="20"/>
                <w:szCs w:val="20"/>
              </w:rPr>
              <w:t>of the Sarbanes-Oxley Act of 2002</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1095709825"/>
              <w:rPr>
                <w:rFonts w:eastAsia="Times New Roman"/>
              </w:rPr>
            </w:pPr>
            <w:hyperlink r:id="rId10"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divId w:val="1380323380"/>
              <w:rPr>
                <w:rFonts w:eastAsia="Times New Roman"/>
              </w:rPr>
            </w:pPr>
            <w:hyperlink r:id="rId11"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Certification of the Registrant’s Chief Financial Officer pursuant to Section 906 of the Sarbanes-Oxley Act of 200</w:t>
            </w:r>
            <w:r>
              <w:rPr>
                <w:rFonts w:eastAsia="Times New Roman"/>
                <w:color w:val="000000"/>
                <w:sz w:val="20"/>
                <w:szCs w:val="20"/>
              </w:rPr>
              <w:t>2</w:t>
            </w:r>
          </w:p>
        </w:tc>
        <w:tc>
          <w:tcPr>
            <w:tcW w:w="0" w:type="auto"/>
            <w:vAlign w:val="center"/>
            <w:hideMark/>
          </w:tcPr>
          <w:p w:rsidR="00000000" w:rsidRDefault="00C56D69">
            <w:pPr>
              <w:spacing w:after="100"/>
              <w:jc w:val="both"/>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Inline XBRL Taxonomy Extension Schema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Inline XBRL Taxonomy Extension Label Linkbase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Inline XBRL Taxonomy Extension Definition Linkbase Document</w:t>
            </w:r>
          </w:p>
        </w:tc>
        <w:tc>
          <w:tcPr>
            <w:tcW w:w="0" w:type="auto"/>
            <w:vAlign w:val="center"/>
            <w:hideMark/>
          </w:tcPr>
          <w:p w:rsidR="00000000" w:rsidRDefault="00C56D69">
            <w:pPr>
              <w:spacing w:after="100"/>
              <w:rPr>
                <w:rFonts w:eastAsia="Times New Roman"/>
              </w:rPr>
            </w:pPr>
          </w:p>
        </w:tc>
      </w:tr>
      <w:tr w:rsidR="00000000">
        <w:trPr>
          <w:divId w:val="1742485487"/>
        </w:trPr>
        <w:tc>
          <w:tcPr>
            <w:tcW w:w="0" w:type="auto"/>
            <w:gridSpan w:val="3"/>
            <w:tcMar>
              <w:top w:w="30" w:type="dxa"/>
              <w:left w:w="20" w:type="dxa"/>
              <w:bottom w:w="30" w:type="dxa"/>
              <w:right w:w="20" w:type="dxa"/>
            </w:tcMar>
            <w:hideMark/>
          </w:tcPr>
          <w:p w:rsidR="00000000" w:rsidRDefault="00C56D69">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C56D6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C56D69">
            <w:pPr>
              <w:spacing w:after="100"/>
              <w:rPr>
                <w:rFonts w:eastAsia="Times New Roman"/>
              </w:rPr>
            </w:pPr>
          </w:p>
        </w:tc>
      </w:tr>
    </w:tbl>
    <w:p w:rsidR="00000000" w:rsidRDefault="00C56D69">
      <w:pPr>
        <w:ind w:hanging="360"/>
        <w:divId w:val="1793666454"/>
        <w:rPr>
          <w:rFonts w:eastAsia="Times New Roman"/>
        </w:rPr>
      </w:pPr>
      <w:r>
        <w:rPr>
          <w:rFonts w:eastAsia="Times New Roman"/>
          <w:color w:val="000000"/>
          <w:sz w:val="18"/>
          <w:szCs w:val="18"/>
        </w:rPr>
        <w:t>______________</w:t>
      </w:r>
    </w:p>
    <w:p w:rsidR="00000000" w:rsidRDefault="00C56D69">
      <w:pPr>
        <w:ind w:hanging="360"/>
        <w:divId w:val="1825582893"/>
        <w:rPr>
          <w:rFonts w:eastAsia="Times New Roman"/>
        </w:rPr>
      </w:pPr>
      <w:r>
        <w:rPr>
          <w:rFonts w:eastAsia="Times New Roman"/>
          <w:color w:val="000000"/>
          <w:sz w:val="18"/>
          <w:szCs w:val="18"/>
        </w:rPr>
        <w:t>#    Filed herewith.</w:t>
      </w:r>
    </w:p>
    <w:p w:rsidR="00000000" w:rsidRDefault="00C56D69">
      <w:pPr>
        <w:jc w:val="center"/>
        <w:divId w:val="1640914832"/>
        <w:rPr>
          <w:rFonts w:eastAsia="Times New Roman"/>
        </w:rPr>
      </w:pPr>
      <w:r>
        <w:rPr>
          <w:rFonts w:eastAsia="Times New Roman"/>
          <w:b/>
          <w:bCs/>
          <w:color w:val="000000"/>
          <w:sz w:val="20"/>
          <w:szCs w:val="20"/>
        </w:rPr>
        <w:t>GLOSSARY</w:t>
      </w:r>
    </w:p>
    <w:p w:rsidR="00000000" w:rsidRDefault="00C56D69">
      <w:pPr>
        <w:divId w:val="1283882114"/>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1292518578"/>
          <w:jc w:val="center"/>
        </w:trPr>
        <w:tc>
          <w:tcPr>
            <w:tcW w:w="50" w:type="pct"/>
            <w:vAlign w:val="center"/>
            <w:hideMark/>
          </w:tcPr>
          <w:p w:rsidR="00000000" w:rsidRDefault="00C56D69">
            <w:pP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C56D69">
            <w:pPr>
              <w:spacing w:after="100"/>
              <w:divId w:val="689381270"/>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w:t>
            </w:r>
            <w:r>
              <w:rPr>
                <w:rFonts w:eastAsia="Times New Roman"/>
                <w:color w:val="000000"/>
                <w:sz w:val="20"/>
                <w:szCs w:val="20"/>
              </w:rPr>
              <w:t>n businesses. Total AUM reflects exclusions between segments to avoid double counting.</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Calculated as the overall aggregate RBC ratio for the Company’</w:t>
            </w:r>
            <w:r>
              <w:rPr>
                <w:rFonts w:eastAsia="Times New Roman"/>
                <w:color w:val="000000"/>
                <w:sz w:val="20"/>
                <w:szCs w:val="20"/>
              </w:rPr>
              <w:t>s insurance subsidiaries including capital held for its life insurance and variable annuity liabilities and non-variable annuity insurance liabilities.</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C56D69">
            <w:pPr>
              <w:spacing w:after="100"/>
              <w:divId w:val="1449853542"/>
              <w:rPr>
                <w:rFonts w:eastAsia="Times New Roman"/>
              </w:rPr>
            </w:pPr>
            <w:r>
              <w:rPr>
                <w:rFonts w:eastAsia="Times New Roman"/>
                <w:color w:val="000000"/>
                <w:sz w:val="20"/>
                <w:szCs w:val="20"/>
              </w:rPr>
              <w:t>Calculated as the average amount of total assets requir</w:t>
            </w:r>
            <w:r>
              <w:rPr>
                <w:rFonts w:eastAsia="Times New Roman"/>
                <w:color w:val="000000"/>
                <w:sz w:val="20"/>
                <w:szCs w:val="20"/>
              </w:rPr>
              <w:t xml:space="preserve">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2518578"/>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292518578"/>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1971550770"/>
        <w:rPr>
          <w:rFonts w:eastAsia="Times New Roman"/>
        </w:rPr>
      </w:pPr>
      <w:r>
        <w:rPr>
          <w:rFonts w:eastAsia="Times New Roman"/>
          <w:color w:val="000000"/>
          <w:sz w:val="20"/>
          <w:szCs w:val="20"/>
        </w:rPr>
        <w:t>115</w:t>
      </w:r>
    </w:p>
    <w:p w:rsidR="00000000" w:rsidRDefault="00C56D69">
      <w:pPr>
        <w:rPr>
          <w:rFonts w:eastAsia="Times New Roman"/>
        </w:rPr>
      </w:pPr>
      <w:r>
        <w:rPr>
          <w:rFonts w:eastAsia="Times New Roman"/>
        </w:rPr>
        <w:pict>
          <v:rect id="_x0000_i1141" style="width:0;height:1.5pt" o:hralign="center" o:hrstd="t" o:hr="t" fillcolor="#a0a0a0" stroked="f"/>
        </w:pict>
      </w:r>
    </w:p>
    <w:p w:rsidR="00000000" w:rsidRDefault="00C56D69">
      <w:pPr>
        <w:divId w:val="60059125"/>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673217277"/>
          <w:jc w:val="center"/>
        </w:trPr>
        <w:tc>
          <w:tcPr>
            <w:tcW w:w="50" w:type="pct"/>
            <w:vAlign w:val="center"/>
            <w:hideMark/>
          </w:tcPr>
          <w:p w:rsidR="00000000" w:rsidRDefault="00C56D69">
            <w:pP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673217277"/>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Represent amounts that are credited to a policyholder’s account balance that are higher than the expected crediting rates on similar contracts without such an inducement and that are an incentive to purchase a contract and also meet the accounting criteria</w:t>
            </w:r>
            <w:r>
              <w:rPr>
                <w:rFonts w:eastAsia="Times New Roman"/>
                <w:color w:val="000000"/>
                <w:sz w:val="20"/>
                <w:szCs w:val="20"/>
              </w:rPr>
              <w:t xml:space="preserve"> to be deferred as an asset that is amortized over the life of the contract.</w:t>
            </w:r>
          </w:p>
        </w:tc>
      </w:tr>
      <w:tr w:rsidR="00000000">
        <w:trPr>
          <w:divId w:val="673217277"/>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673217277"/>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673217277"/>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673217277"/>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Revenue from fees and related items, including policy charges </w:t>
            </w:r>
            <w:r>
              <w:rPr>
                <w:rFonts w:eastAsia="Times New Roman"/>
                <w:color w:val="000000"/>
                <w:sz w:val="20"/>
                <w:szCs w:val="20"/>
              </w:rPr>
              <w:t>and fee income, premiums, investment management and service fees, and other income.</w:t>
            </w:r>
          </w:p>
        </w:tc>
      </w:tr>
      <w:tr w:rsidR="00000000">
        <w:trPr>
          <w:divId w:val="673217277"/>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673217277"/>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C56D69">
            <w:pPr>
              <w:jc w:val="cente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Equals the aggregate value of Policyholders’ account balances and Future poli</w:t>
            </w:r>
            <w:r>
              <w:rPr>
                <w:rFonts w:eastAsia="Times New Roman"/>
                <w:color w:val="000000"/>
                <w:sz w:val="20"/>
                <w:szCs w:val="20"/>
              </w:rPr>
              <w:t>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w:t>
            </w:r>
            <w:r>
              <w:rPr>
                <w:rFonts w:eastAsia="Times New Roman"/>
                <w:color w:val="000000"/>
                <w:sz w:val="20"/>
                <w:szCs w:val="20"/>
              </w:rPr>
              <w:t>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Refers to individuals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The process of converting an annuity investment into a series of periodic income payments, generally for life.</w:t>
            </w:r>
          </w:p>
        </w:tc>
      </w:tr>
    </w:tbl>
    <w:p w:rsidR="00000000" w:rsidRDefault="00C56D69">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jc w:val="center"/>
        </w:trPr>
        <w:tc>
          <w:tcPr>
            <w:tcW w:w="50" w:type="pct"/>
            <w:vAlign w:val="center"/>
            <w:hideMark/>
          </w:tcPr>
          <w:p w:rsidR="00000000" w:rsidRDefault="00C56D69">
            <w:pPr>
              <w:jc w:val="cente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The a</w:t>
            </w:r>
            <w:r>
              <w:rPr>
                <w:rFonts w:eastAsia="Times New Roman"/>
                <w:color w:val="000000"/>
                <w:sz w:val="20"/>
                <w:szCs w:val="20"/>
              </w:rPr>
              <w:t>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1581864565"/>
        <w:rPr>
          <w:rFonts w:eastAsia="Times New Roman"/>
        </w:rPr>
      </w:pPr>
      <w:r>
        <w:rPr>
          <w:rFonts w:eastAsia="Times New Roman"/>
          <w:color w:val="000000"/>
          <w:sz w:val="20"/>
          <w:szCs w:val="20"/>
        </w:rPr>
        <w:t>116</w:t>
      </w:r>
    </w:p>
    <w:p w:rsidR="00000000" w:rsidRDefault="00C56D69">
      <w:pPr>
        <w:rPr>
          <w:rFonts w:eastAsia="Times New Roman"/>
        </w:rPr>
      </w:pPr>
      <w:r>
        <w:rPr>
          <w:rFonts w:eastAsia="Times New Roman"/>
        </w:rPr>
        <w:pict>
          <v:rect id="_x0000_i1142" style="width:0;height:1.5pt" o:hralign="center" o:hrstd="t" o:hr="t" fillcolor="#a0a0a0" stroked="f"/>
        </w:pict>
      </w:r>
    </w:p>
    <w:p w:rsidR="00000000" w:rsidRDefault="00C56D69">
      <w:pPr>
        <w:divId w:val="1989628506"/>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7"/>
        <w:gridCol w:w="69"/>
        <w:gridCol w:w="5197"/>
        <w:gridCol w:w="38"/>
      </w:tblGrid>
      <w:tr w:rsidR="00000000">
        <w:trPr>
          <w:jc w:val="center"/>
        </w:trPr>
        <w:tc>
          <w:tcPr>
            <w:tcW w:w="50" w:type="pct"/>
            <w:vAlign w:val="center"/>
            <w:hideMark/>
          </w:tcPr>
          <w:p w:rsidR="00000000" w:rsidRDefault="00C56D69">
            <w:pP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general reference to all forms of variable annuity guaranteed benefits, including guaranteed minimum living benefits, or GMLBs (such as GMIBs, GMWBs and GMABs), and guaranteed minimum death benefits, or GMDBs (inclusive of return of premium death benefit</w:t>
            </w:r>
            <w:r>
              <w:rPr>
                <w:rFonts w:eastAsia="Times New Roman"/>
                <w:color w:val="000000"/>
                <w:sz w:val="20"/>
                <w:szCs w:val="20"/>
              </w:rPr>
              <w:t xml:space="preserve">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w:t>
            </w:r>
            <w:r>
              <w:rPr>
                <w:rFonts w:eastAsia="Times New Roman"/>
                <w:color w:val="000000"/>
                <w:sz w:val="20"/>
                <w:szCs w:val="20"/>
              </w:rPr>
              <w:t xml:space="preserve"> triggered if and when the contract AV falls to zero.</w:t>
            </w:r>
          </w:p>
        </w:tc>
      </w:tr>
    </w:tbl>
    <w:p w:rsidR="00000000" w:rsidRDefault="00C56D69">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C56D69">
            <w:pPr>
              <w:jc w:val="cente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w:t>
            </w:r>
            <w:r>
              <w:rPr>
                <w:rFonts w:eastAsia="Times New Roman"/>
                <w:color w:val="000000"/>
                <w:sz w:val="20"/>
                <w:szCs w:val="20"/>
              </w:rPr>
              <w:t>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minimum income benefits (“GMIB”)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minimum living</w:t>
            </w:r>
            <w:r>
              <w:rPr>
                <w:rFonts w:eastAsia="Times New Roman"/>
                <w:color w:val="000000"/>
                <w:sz w:val="20"/>
                <w:szCs w:val="20"/>
              </w:rPr>
              <w:t xml:space="preserve">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Optional benefits (available at an additional cost) that guarantee 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fee charged by insurance companies</w:t>
            </w:r>
            <w:r>
              <w:rPr>
                <w:rFonts w:eastAsia="Times New Roman"/>
                <w:color w:val="000000"/>
                <w:sz w:val="20"/>
                <w:szCs w:val="20"/>
              </w:rPr>
              <w:t xml:space="preserve"> to compensate for the risk they take by issuing life insurance and variable annuity contracts.</w:t>
            </w:r>
          </w:p>
        </w:tc>
      </w:tr>
    </w:tbl>
    <w:p w:rsidR="00000000" w:rsidRDefault="00C56D69">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C56D69">
            <w:pPr>
              <w:jc w:val="cente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C56D69">
            <w:pPr>
              <w:spacing w:after="100"/>
              <w:divId w:val="699207266"/>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rsidR="00000000" w:rsidRDefault="00C56D69">
            <w:pPr>
              <w:spacing w:after="100"/>
              <w:divId w:val="1405910465"/>
              <w:rPr>
                <w:rFonts w:eastAsia="Times New Roman"/>
              </w:rPr>
            </w:pPr>
            <w:r>
              <w:rPr>
                <w:rFonts w:eastAsia="Times New Roman"/>
                <w:color w:val="000000"/>
                <w:sz w:val="12"/>
                <w:szCs w:val="12"/>
              </w:rPr>
              <w:t> </w:t>
            </w:r>
          </w:p>
          <w:p w:rsidR="00000000" w:rsidRDefault="00C56D69">
            <w:pPr>
              <w:spacing w:after="100"/>
              <w:divId w:val="2037540250"/>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w:t>
            </w:r>
            <w:r>
              <w:rPr>
                <w:rFonts w:eastAsia="Times New Roman"/>
                <w:color w:val="000000"/>
                <w:sz w:val="20"/>
                <w:szCs w:val="20"/>
              </w:rPr>
              <w:t>rest is credited to the policyholder’s account at interest rates we determine which are influenced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bl>
    <w:p w:rsidR="00000000" w:rsidRDefault="00C56D69">
      <w:pPr>
        <w:jc w:val="center"/>
        <w:divId w:val="323703362"/>
        <w:rPr>
          <w:rFonts w:eastAsia="Times New Roman"/>
        </w:rPr>
      </w:pPr>
      <w:r>
        <w:rPr>
          <w:rFonts w:eastAsia="Times New Roman"/>
          <w:color w:val="000000"/>
          <w:sz w:val="20"/>
          <w:szCs w:val="20"/>
        </w:rPr>
        <w:t>117</w:t>
      </w:r>
    </w:p>
    <w:p w:rsidR="00000000" w:rsidRDefault="00C56D69">
      <w:pPr>
        <w:rPr>
          <w:rFonts w:eastAsia="Times New Roman"/>
        </w:rPr>
      </w:pPr>
      <w:r>
        <w:rPr>
          <w:rFonts w:eastAsia="Times New Roman"/>
        </w:rPr>
        <w:pict>
          <v:rect id="_x0000_i1143" style="width:0;height:1.5pt" o:hralign="center" o:hrstd="t" o:hr="t" fillcolor="#a0a0a0" stroked="f"/>
        </w:pict>
      </w:r>
    </w:p>
    <w:p w:rsidR="00000000" w:rsidRDefault="00C56D69">
      <w:pPr>
        <w:divId w:val="1181550145"/>
        <w:rPr>
          <w:rFonts w:eastAsia="Times New Roman"/>
        </w:rPr>
      </w:pPr>
      <w:hyperlink w:anchor="i91a10deab42d4ca59e2a2b17dc17e22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jc w:val="center"/>
        </w:trPr>
        <w:tc>
          <w:tcPr>
            <w:tcW w:w="50" w:type="pct"/>
            <w:vAlign w:val="center"/>
            <w:hideMark/>
          </w:tcPr>
          <w:p w:rsidR="00000000" w:rsidRDefault="00C56D69">
            <w:pP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C56D69">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C56D69">
            <w:pPr>
              <w:jc w:val="center"/>
              <w:rPr>
                <w:rFonts w:eastAsia="Times New Roman"/>
              </w:rPr>
            </w:pPr>
          </w:p>
        </w:tc>
        <w:tc>
          <w:tcPr>
            <w:tcW w:w="1753"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3136"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related to specific costs, which may change over time. To the extent that the policyholder chooses to pay more than the charges</w:t>
            </w:r>
            <w:r>
              <w:rPr>
                <w:rFonts w:eastAsia="Times New Roman"/>
                <w:color w:val="000000"/>
                <w:sz w:val="20"/>
                <w:szCs w:val="20"/>
              </w:rPr>
              <w:t xml:space="preserve"> required in any given year to keep the policy in-force, the excess premium will be placed into the AV of the policy and credited with a stated interest rate on a monthly basis.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type of annuity that offers guaranteed periodic</w:t>
            </w:r>
            <w:r>
              <w:rPr>
                <w:rFonts w:eastAsia="Times New Roman"/>
                <w:color w:val="000000"/>
                <w:sz w:val="20"/>
                <w:szCs w:val="20"/>
              </w:rPr>
              <w:t xml:space="preserve"> payments for a defined period of time or for life and gives purchasers the ability to invest in various markets though the underlying investment options, which may result in potentially higher, but variable,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w:t>
            </w:r>
            <w:r>
              <w:rPr>
                <w:rFonts w:eastAsia="Times New Roman"/>
                <w:color w:val="000000"/>
                <w:sz w:val="20"/>
                <w:szCs w:val="20"/>
              </w:rPr>
              <w:t>er bears the entire risk and returns of the investment results.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C56D69">
      <w:pPr>
        <w:jc w:val="center"/>
        <w:rPr>
          <w:rFonts w:eastAsia="Times New Roman"/>
        </w:rPr>
      </w:pPr>
    </w:p>
    <w:p w:rsidR="00000000" w:rsidRDefault="00C56D69">
      <w:pPr>
        <w:jc w:val="center"/>
        <w:divId w:val="1723626699"/>
        <w:rPr>
          <w:rFonts w:eastAsia="Times New Roman"/>
        </w:rPr>
      </w:pPr>
      <w:r>
        <w:rPr>
          <w:rFonts w:eastAsia="Times New Roman"/>
          <w:color w:val="000000"/>
          <w:sz w:val="20"/>
          <w:szCs w:val="20"/>
        </w:rPr>
        <w:t>118</w:t>
      </w:r>
    </w:p>
    <w:p w:rsidR="00000000" w:rsidRDefault="00C56D69">
      <w:pPr>
        <w:rPr>
          <w:rFonts w:eastAsia="Times New Roman"/>
        </w:rPr>
      </w:pPr>
      <w:r>
        <w:rPr>
          <w:rFonts w:eastAsia="Times New Roman"/>
        </w:rPr>
        <w:pict>
          <v:rect id="_x0000_i1144" style="width:0;height:1.5pt" o:hralign="center" o:hrstd="t" o:hr="t" fillcolor="#a0a0a0" stroked="f"/>
        </w:pict>
      </w:r>
    </w:p>
    <w:p w:rsidR="00000000" w:rsidRDefault="00C56D69">
      <w:pPr>
        <w:divId w:val="157064857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jc w:val="center"/>
        <w:divId w:val="1814254385"/>
        <w:rPr>
          <w:rFonts w:eastAsia="Times New Roman"/>
        </w:rPr>
      </w:pPr>
      <w:r>
        <w:rPr>
          <w:rFonts w:eastAsia="Times New Roman"/>
          <w:b/>
          <w:bCs/>
          <w:color w:val="000000"/>
          <w:sz w:val="20"/>
          <w:szCs w:val="20"/>
        </w:rPr>
        <w:t>ACRONYMS</w:t>
      </w:r>
    </w:p>
    <w:p w:rsidR="00000000" w:rsidRDefault="00C56D69">
      <w:pPr>
        <w:ind w:hanging="360"/>
        <w:jc w:val="both"/>
        <w:textAlignment w:val="top"/>
        <w:divId w:val="416370803"/>
        <w:rPr>
          <w:rFonts w:eastAsia="Times New Roman"/>
        </w:rPr>
      </w:pPr>
      <w:r>
        <w:rPr>
          <w:rFonts w:eastAsia="Times New Roman"/>
          <w:color w:val="000000"/>
          <w:sz w:val="20"/>
          <w:szCs w:val="20"/>
        </w:rPr>
        <w:t>•“AB” or “AllianceBernstein” means AB Holding and ABLP</w:t>
      </w:r>
    </w:p>
    <w:p w:rsidR="00000000" w:rsidRDefault="00C56D69">
      <w:pPr>
        <w:ind w:hanging="360"/>
        <w:jc w:val="both"/>
        <w:textAlignment w:val="top"/>
        <w:divId w:val="1915431794"/>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C56D69">
      <w:pPr>
        <w:ind w:hanging="360"/>
        <w:jc w:val="both"/>
        <w:textAlignment w:val="top"/>
        <w:divId w:val="1123495924"/>
        <w:rPr>
          <w:rFonts w:eastAsia="Times New Roman"/>
        </w:rPr>
      </w:pPr>
      <w:r>
        <w:rPr>
          <w:rFonts w:eastAsia="Times New Roman"/>
          <w:color w:val="000000"/>
          <w:sz w:val="20"/>
          <w:szCs w:val="20"/>
        </w:rPr>
        <w:t xml:space="preserve">•“AB Holding Units” </w:t>
      </w:r>
      <w:r>
        <w:rPr>
          <w:rFonts w:eastAsia="Times New Roman"/>
          <w:color w:val="000000"/>
          <w:sz w:val="20"/>
          <w:szCs w:val="20"/>
        </w:rPr>
        <w:t>means units representing assignments of beneficial ownership of limited partnership interests in AB Holding</w:t>
      </w:r>
    </w:p>
    <w:p w:rsidR="00000000" w:rsidRDefault="00C56D69">
      <w:pPr>
        <w:ind w:hanging="360"/>
        <w:jc w:val="both"/>
        <w:textAlignment w:val="top"/>
        <w:divId w:val="1216115374"/>
        <w:rPr>
          <w:rFonts w:eastAsia="Times New Roman"/>
        </w:rPr>
      </w:pPr>
      <w:r>
        <w:rPr>
          <w:rFonts w:eastAsia="Times New Roman"/>
          <w:color w:val="000000"/>
          <w:sz w:val="20"/>
          <w:szCs w:val="20"/>
        </w:rPr>
        <w:t>•“AB Units” means units of limited partnership interests in ABLP</w:t>
      </w:r>
    </w:p>
    <w:p w:rsidR="00000000" w:rsidRDefault="00C56D69">
      <w:pPr>
        <w:ind w:hanging="360"/>
        <w:jc w:val="both"/>
        <w:textAlignment w:val="top"/>
        <w:divId w:val="790979113"/>
        <w:rPr>
          <w:rFonts w:eastAsia="Times New Roman"/>
        </w:rPr>
      </w:pPr>
      <w:r>
        <w:rPr>
          <w:rFonts w:eastAsia="Times New Roman"/>
          <w:color w:val="000000"/>
          <w:sz w:val="20"/>
          <w:szCs w:val="20"/>
        </w:rPr>
        <w:t>•“ABLP” means AllianceBernstein L.P., a Delaware limited partnership and the operat</w:t>
      </w:r>
      <w:r>
        <w:rPr>
          <w:rFonts w:eastAsia="Times New Roman"/>
          <w:color w:val="000000"/>
          <w:sz w:val="20"/>
          <w:szCs w:val="20"/>
        </w:rPr>
        <w:t>ing partnership for the AB business</w:t>
      </w:r>
    </w:p>
    <w:p w:rsidR="00000000" w:rsidRDefault="00C56D69">
      <w:pPr>
        <w:textAlignment w:val="top"/>
        <w:divId w:val="1446535571"/>
        <w:rPr>
          <w:rFonts w:eastAsia="Times New Roman"/>
        </w:rPr>
      </w:pPr>
      <w:r>
        <w:rPr>
          <w:rFonts w:eastAsia="Times New Roman"/>
          <w:color w:val="000000"/>
          <w:sz w:val="20"/>
          <w:szCs w:val="20"/>
        </w:rPr>
        <w:t>•“AFS” means available-for-sale</w:t>
      </w:r>
    </w:p>
    <w:p w:rsidR="00000000" w:rsidRDefault="00C56D69">
      <w:pPr>
        <w:ind w:hanging="360"/>
        <w:textAlignment w:val="top"/>
        <w:divId w:val="2058044813"/>
        <w:rPr>
          <w:rFonts w:eastAsia="Times New Roman"/>
        </w:rPr>
      </w:pPr>
      <w:r>
        <w:rPr>
          <w:rFonts w:eastAsia="Times New Roman"/>
          <w:color w:val="000000"/>
          <w:sz w:val="20"/>
          <w:szCs w:val="20"/>
        </w:rPr>
        <w:t>•“AOCI” means accumulated other comprehensive income</w:t>
      </w:r>
    </w:p>
    <w:p w:rsidR="00000000" w:rsidRDefault="00C56D69">
      <w:pPr>
        <w:ind w:hanging="360"/>
        <w:textAlignment w:val="top"/>
        <w:divId w:val="1259026082"/>
        <w:rPr>
          <w:rFonts w:eastAsia="Times New Roman"/>
        </w:rPr>
      </w:pPr>
      <w:r>
        <w:rPr>
          <w:rFonts w:eastAsia="Times New Roman"/>
          <w:color w:val="000000"/>
          <w:sz w:val="20"/>
          <w:szCs w:val="20"/>
        </w:rPr>
        <w:t>•“ASC” means Accounting Standards Codification</w:t>
      </w:r>
    </w:p>
    <w:p w:rsidR="00000000" w:rsidRDefault="00C56D69">
      <w:pPr>
        <w:ind w:hanging="360"/>
        <w:textAlignment w:val="top"/>
        <w:divId w:val="127282519"/>
        <w:rPr>
          <w:rFonts w:eastAsia="Times New Roman"/>
        </w:rPr>
      </w:pPr>
      <w:r>
        <w:rPr>
          <w:rFonts w:eastAsia="Times New Roman"/>
          <w:color w:val="000000"/>
          <w:sz w:val="20"/>
          <w:szCs w:val="20"/>
        </w:rPr>
        <w:t>•“ASR” means accelerated share repurchase</w:t>
      </w:r>
    </w:p>
    <w:p w:rsidR="00000000" w:rsidRDefault="00C56D69">
      <w:pPr>
        <w:ind w:firstLine="360"/>
        <w:textAlignment w:val="top"/>
        <w:divId w:val="124353689"/>
        <w:rPr>
          <w:rFonts w:eastAsia="Times New Roman"/>
        </w:rPr>
      </w:pPr>
      <w:r>
        <w:rPr>
          <w:rFonts w:eastAsia="Times New Roman"/>
          <w:color w:val="000000"/>
          <w:sz w:val="20"/>
          <w:szCs w:val="20"/>
        </w:rPr>
        <w:t>•“ASU” means Accounting Standards Update</w:t>
      </w:r>
    </w:p>
    <w:p w:rsidR="00000000" w:rsidRDefault="00C56D69">
      <w:pPr>
        <w:ind w:hanging="360"/>
        <w:jc w:val="both"/>
        <w:textAlignment w:val="top"/>
        <w:divId w:val="741684575"/>
        <w:rPr>
          <w:rFonts w:eastAsia="Times New Roman"/>
        </w:rPr>
      </w:pPr>
      <w:r>
        <w:rPr>
          <w:rFonts w:eastAsia="Times New Roman"/>
          <w:color w:val="000000"/>
          <w:sz w:val="20"/>
          <w:szCs w:val="20"/>
        </w:rPr>
        <w:t>•“AUM</w:t>
      </w:r>
      <w:r>
        <w:rPr>
          <w:rFonts w:eastAsia="Times New Roman"/>
          <w:color w:val="000000"/>
          <w:sz w:val="20"/>
          <w:szCs w:val="20"/>
        </w:rPr>
        <w:t xml:space="preserve">” means assets under management </w:t>
      </w:r>
    </w:p>
    <w:p w:rsidR="00000000" w:rsidRDefault="00C56D69">
      <w:pPr>
        <w:ind w:hanging="360"/>
        <w:jc w:val="both"/>
        <w:textAlignment w:val="top"/>
        <w:divId w:val="382339574"/>
        <w:rPr>
          <w:rFonts w:eastAsia="Times New Roman"/>
        </w:rPr>
      </w:pPr>
      <w:r>
        <w:rPr>
          <w:rFonts w:eastAsia="Times New Roman"/>
          <w:color w:val="000000"/>
          <w:sz w:val="20"/>
          <w:szCs w:val="20"/>
        </w:rPr>
        <w:t>•“AUA” means assets under administration</w:t>
      </w:r>
    </w:p>
    <w:p w:rsidR="00000000" w:rsidRDefault="00C56D69">
      <w:pPr>
        <w:textAlignment w:val="top"/>
        <w:divId w:val="471480773"/>
        <w:rPr>
          <w:rFonts w:eastAsia="Times New Roman"/>
        </w:rPr>
      </w:pPr>
      <w:r>
        <w:rPr>
          <w:rFonts w:eastAsia="Times New Roman"/>
          <w:color w:val="000000"/>
          <w:sz w:val="20"/>
          <w:szCs w:val="20"/>
        </w:rPr>
        <w:t>•“AV” means Account Value</w:t>
      </w:r>
    </w:p>
    <w:p w:rsidR="00000000" w:rsidRDefault="00C56D69">
      <w:pPr>
        <w:ind w:hanging="360"/>
        <w:jc w:val="both"/>
        <w:textAlignment w:val="top"/>
        <w:divId w:val="1214195442"/>
        <w:rPr>
          <w:rFonts w:eastAsia="Times New Roman"/>
        </w:rPr>
      </w:pPr>
      <w:r>
        <w:rPr>
          <w:rFonts w:eastAsia="Times New Roman"/>
          <w:color w:val="000000"/>
          <w:sz w:val="20"/>
          <w:szCs w:val="20"/>
        </w:rPr>
        <w:t>•“AXA” means AXA S.A., a société anonyme organized under the laws of France, and formerly our controlling stockholder</w:t>
      </w:r>
    </w:p>
    <w:p w:rsidR="00000000" w:rsidRDefault="00C56D69">
      <w:pPr>
        <w:ind w:hanging="360"/>
        <w:textAlignment w:val="top"/>
        <w:divId w:val="796946500"/>
        <w:rPr>
          <w:rFonts w:eastAsia="Times New Roman"/>
        </w:rPr>
      </w:pPr>
      <w:r>
        <w:rPr>
          <w:rFonts w:eastAsia="Times New Roman"/>
          <w:color w:val="000000"/>
          <w:sz w:val="20"/>
          <w:szCs w:val="20"/>
        </w:rPr>
        <w:t xml:space="preserve">•“BPs” means basis points </w:t>
      </w:r>
    </w:p>
    <w:p w:rsidR="00000000" w:rsidRDefault="00C56D69">
      <w:pPr>
        <w:ind w:hanging="360"/>
        <w:textAlignment w:val="top"/>
        <w:divId w:val="366296604"/>
        <w:rPr>
          <w:rFonts w:eastAsia="Times New Roman"/>
        </w:rPr>
      </w:pPr>
      <w:r>
        <w:rPr>
          <w:rFonts w:eastAsia="Times New Roman"/>
          <w:color w:val="000000"/>
          <w:sz w:val="20"/>
          <w:szCs w:val="20"/>
        </w:rPr>
        <w:t>•“CDS” mean</w:t>
      </w:r>
      <w:r>
        <w:rPr>
          <w:rFonts w:eastAsia="Times New Roman"/>
          <w:color w:val="000000"/>
          <w:sz w:val="20"/>
          <w:szCs w:val="20"/>
        </w:rPr>
        <w:t>s credit default swaps</w:t>
      </w:r>
    </w:p>
    <w:p w:rsidR="00000000" w:rsidRDefault="00C56D69">
      <w:pPr>
        <w:ind w:hanging="360"/>
        <w:textAlignment w:val="top"/>
        <w:divId w:val="1217815159"/>
        <w:rPr>
          <w:rFonts w:eastAsia="Times New Roman"/>
        </w:rPr>
      </w:pPr>
      <w:r>
        <w:rPr>
          <w:rFonts w:eastAsia="Times New Roman"/>
          <w:color w:val="000000"/>
          <w:sz w:val="20"/>
          <w:szCs w:val="20"/>
        </w:rPr>
        <w:t>•“CLO” means collateralized loan obligation</w:t>
      </w:r>
    </w:p>
    <w:p w:rsidR="00000000" w:rsidRDefault="00C56D69">
      <w:pPr>
        <w:ind w:hanging="360"/>
        <w:textAlignment w:val="top"/>
        <w:divId w:val="469784734"/>
        <w:rPr>
          <w:rFonts w:eastAsia="Times New Roman"/>
        </w:rPr>
      </w:pPr>
      <w:r>
        <w:rPr>
          <w:rFonts w:eastAsia="Times New Roman"/>
          <w:color w:val="000000"/>
          <w:sz w:val="20"/>
          <w:szCs w:val="20"/>
        </w:rPr>
        <w:t>•“COI” means cost of insurance</w:t>
      </w:r>
    </w:p>
    <w:p w:rsidR="00000000" w:rsidRDefault="00C56D69">
      <w:pPr>
        <w:textAlignment w:val="top"/>
        <w:divId w:val="1134523049"/>
        <w:rPr>
          <w:rFonts w:eastAsia="Times New Roman"/>
        </w:rPr>
      </w:pPr>
      <w:r>
        <w:rPr>
          <w:rFonts w:eastAsia="Times New Roman"/>
          <w:color w:val="000000"/>
          <w:sz w:val="20"/>
          <w:szCs w:val="20"/>
        </w:rPr>
        <w:t xml:space="preserve">•“COLI” means corporate owned life insurance </w:t>
      </w:r>
    </w:p>
    <w:p w:rsidR="00000000" w:rsidRDefault="00C56D69">
      <w:pPr>
        <w:ind w:hanging="360"/>
        <w:textAlignment w:val="top"/>
        <w:divId w:val="1620185007"/>
        <w:rPr>
          <w:rFonts w:eastAsia="Times New Roman"/>
        </w:rPr>
      </w:pPr>
      <w:r>
        <w:rPr>
          <w:rFonts w:eastAsia="Times New Roman"/>
          <w:color w:val="000000"/>
          <w:sz w:val="20"/>
          <w:szCs w:val="20"/>
        </w:rPr>
        <w:t>•“Company” means Equitable Holdings, Inc. with its consolidated subsidiaries</w:t>
      </w:r>
    </w:p>
    <w:p w:rsidR="00000000" w:rsidRDefault="00C56D69">
      <w:pPr>
        <w:ind w:hanging="360"/>
        <w:jc w:val="both"/>
        <w:textAlignment w:val="top"/>
        <w:divId w:val="1263613706"/>
        <w:rPr>
          <w:rFonts w:eastAsia="Times New Roman"/>
        </w:rPr>
      </w:pPr>
      <w:r>
        <w:rPr>
          <w:rFonts w:eastAsia="Times New Roman"/>
          <w:color w:val="000000"/>
          <w:sz w:val="20"/>
          <w:szCs w:val="20"/>
        </w:rPr>
        <w:t>•“CS Life” means Corporate Solution</w:t>
      </w:r>
      <w:r>
        <w:rPr>
          <w:rFonts w:eastAsia="Times New Roman"/>
          <w:color w:val="000000"/>
          <w:sz w:val="20"/>
          <w:szCs w:val="20"/>
        </w:rPr>
        <w:t>s Life Reinsurance Company, a Delaware corporation and a wholly-owned direct subsidiary of Holdings</w:t>
      </w:r>
    </w:p>
    <w:p w:rsidR="00000000" w:rsidRDefault="00C56D69">
      <w:pPr>
        <w:ind w:hanging="360"/>
        <w:jc w:val="both"/>
        <w:textAlignment w:val="top"/>
        <w:divId w:val="95103869"/>
        <w:rPr>
          <w:rFonts w:eastAsia="Times New Roman"/>
        </w:rPr>
      </w:pPr>
      <w:r>
        <w:rPr>
          <w:rFonts w:eastAsia="Times New Roman"/>
          <w:color w:val="000000"/>
          <w:sz w:val="20"/>
          <w:szCs w:val="20"/>
        </w:rPr>
        <w:t>•“CS Life RE” means CS Life RE Company, an Arizona corporation and a wholly-owned indirect subsidiary of Holdings</w:t>
      </w:r>
    </w:p>
    <w:p w:rsidR="00000000" w:rsidRDefault="00C56D69">
      <w:pPr>
        <w:ind w:firstLine="360"/>
        <w:textAlignment w:val="top"/>
        <w:divId w:val="2073385211"/>
        <w:rPr>
          <w:rFonts w:eastAsia="Times New Roman"/>
        </w:rPr>
      </w:pPr>
      <w:r>
        <w:rPr>
          <w:rFonts w:eastAsia="Times New Roman"/>
          <w:color w:val="000000"/>
          <w:sz w:val="20"/>
          <w:szCs w:val="20"/>
        </w:rPr>
        <w:t>•“CSA” means credit support annex</w:t>
      </w:r>
    </w:p>
    <w:p w:rsidR="00000000" w:rsidRDefault="00C56D69">
      <w:pPr>
        <w:ind w:hanging="360"/>
        <w:textAlignment w:val="top"/>
        <w:divId w:val="1103763194"/>
        <w:rPr>
          <w:rFonts w:eastAsia="Times New Roman"/>
        </w:rPr>
      </w:pPr>
      <w:r>
        <w:rPr>
          <w:rFonts w:eastAsia="Times New Roman"/>
          <w:color w:val="000000"/>
          <w:sz w:val="20"/>
          <w:szCs w:val="20"/>
        </w:rPr>
        <w:t xml:space="preserve">•“CTE” </w:t>
      </w:r>
      <w:r>
        <w:rPr>
          <w:rFonts w:eastAsia="Times New Roman"/>
          <w:color w:val="000000"/>
          <w:sz w:val="20"/>
          <w:szCs w:val="20"/>
        </w:rPr>
        <w:t>means conditional tail expectation</w:t>
      </w:r>
    </w:p>
    <w:p w:rsidR="00000000" w:rsidRDefault="00C56D69">
      <w:pPr>
        <w:textAlignment w:val="top"/>
        <w:divId w:val="2900683"/>
        <w:rPr>
          <w:rFonts w:eastAsia="Times New Roman"/>
        </w:rPr>
      </w:pPr>
      <w:r>
        <w:rPr>
          <w:rFonts w:eastAsia="Times New Roman"/>
          <w:color w:val="000000"/>
          <w:sz w:val="20"/>
          <w:szCs w:val="20"/>
        </w:rPr>
        <w:t>•“DAC” means deferred policy acquisition costs</w:t>
      </w:r>
    </w:p>
    <w:p w:rsidR="00000000" w:rsidRDefault="00C56D69">
      <w:pPr>
        <w:textAlignment w:val="top"/>
        <w:divId w:val="128597275"/>
        <w:rPr>
          <w:rFonts w:eastAsia="Times New Roman"/>
        </w:rPr>
      </w:pPr>
      <w:r>
        <w:rPr>
          <w:rFonts w:eastAsia="Times New Roman"/>
          <w:color w:val="000000"/>
          <w:sz w:val="20"/>
          <w:szCs w:val="20"/>
        </w:rPr>
        <w:t xml:space="preserve">•“DI” means disability income </w:t>
      </w:r>
    </w:p>
    <w:p w:rsidR="00000000" w:rsidRDefault="00C56D69">
      <w:pPr>
        <w:ind w:firstLine="360"/>
        <w:textAlignment w:val="top"/>
        <w:divId w:val="1533611183"/>
        <w:rPr>
          <w:rFonts w:eastAsia="Times New Roman"/>
        </w:rPr>
      </w:pPr>
      <w:r>
        <w:rPr>
          <w:rFonts w:eastAsia="Times New Roman"/>
          <w:color w:val="000000"/>
          <w:sz w:val="20"/>
          <w:szCs w:val="20"/>
        </w:rPr>
        <w:t>•“DOL” means U.S. Department of Labor</w:t>
      </w:r>
    </w:p>
    <w:p w:rsidR="00000000" w:rsidRDefault="00C56D69">
      <w:pPr>
        <w:ind w:hanging="360"/>
        <w:jc w:val="both"/>
        <w:textAlignment w:val="top"/>
        <w:divId w:val="245071857"/>
        <w:rPr>
          <w:rFonts w:eastAsia="Times New Roman"/>
        </w:rPr>
      </w:pPr>
      <w:r>
        <w:rPr>
          <w:rFonts w:eastAsia="Times New Roman"/>
          <w:color w:val="000000"/>
          <w:sz w:val="20"/>
          <w:szCs w:val="20"/>
        </w:rPr>
        <w:t>•“DSC” means debt service coverage</w:t>
      </w:r>
    </w:p>
    <w:p w:rsidR="00000000" w:rsidRDefault="00C56D69">
      <w:pPr>
        <w:ind w:hanging="360"/>
        <w:textAlignment w:val="top"/>
        <w:divId w:val="1620455132"/>
        <w:rPr>
          <w:rFonts w:eastAsia="Times New Roman"/>
        </w:rPr>
      </w:pPr>
      <w:r>
        <w:rPr>
          <w:rFonts w:eastAsia="Times New Roman"/>
          <w:color w:val="000000"/>
          <w:sz w:val="20"/>
          <w:szCs w:val="20"/>
        </w:rPr>
        <w:t>•“DSI” means deferred sales inducement</w:t>
      </w:r>
    </w:p>
    <w:p w:rsidR="00000000" w:rsidRDefault="00C56D69">
      <w:pPr>
        <w:ind w:hanging="360"/>
        <w:textAlignment w:val="top"/>
        <w:divId w:val="1330057351"/>
        <w:rPr>
          <w:rFonts w:eastAsia="Times New Roman"/>
        </w:rPr>
      </w:pPr>
      <w:r>
        <w:rPr>
          <w:rFonts w:eastAsia="Times New Roman"/>
          <w:color w:val="000000"/>
          <w:sz w:val="20"/>
          <w:szCs w:val="20"/>
        </w:rPr>
        <w:t>•“EAFE” means European, Austral</w:t>
      </w:r>
      <w:r>
        <w:rPr>
          <w:rFonts w:eastAsia="Times New Roman"/>
          <w:color w:val="000000"/>
          <w:sz w:val="20"/>
          <w:szCs w:val="20"/>
        </w:rPr>
        <w:t>asia, and Far East</w:t>
      </w:r>
    </w:p>
    <w:p w:rsidR="00000000" w:rsidRDefault="00C56D69">
      <w:pPr>
        <w:ind w:hanging="360"/>
        <w:textAlignment w:val="top"/>
        <w:divId w:val="704059082"/>
        <w:rPr>
          <w:rFonts w:eastAsia="Times New Roman"/>
        </w:rPr>
      </w:pPr>
      <w:r>
        <w:rPr>
          <w:rFonts w:eastAsia="Times New Roman"/>
          <w:color w:val="000000"/>
          <w:sz w:val="20"/>
          <w:szCs w:val="20"/>
        </w:rPr>
        <w:t>•“EB” means Employee Benefits</w:t>
      </w:r>
    </w:p>
    <w:p w:rsidR="00000000" w:rsidRDefault="00C56D69">
      <w:pPr>
        <w:ind w:hanging="360"/>
        <w:jc w:val="both"/>
        <w:textAlignment w:val="top"/>
        <w:divId w:val="973102801"/>
        <w:rPr>
          <w:rFonts w:eastAsia="Times New Roman"/>
        </w:rPr>
      </w:pPr>
      <w:r>
        <w:rPr>
          <w:rFonts w:eastAsia="Times New Roman"/>
          <w:color w:val="000000"/>
          <w:sz w:val="20"/>
          <w:szCs w:val="20"/>
        </w:rPr>
        <w:t>•“EFS” means Equitable Financial Services, LLC, a Delaware corporation and a wholly-owned direct subsidiary of Holdings</w:t>
      </w:r>
    </w:p>
    <w:p w:rsidR="00000000" w:rsidRDefault="00C56D69">
      <w:pPr>
        <w:textAlignment w:val="top"/>
        <w:divId w:val="510147086"/>
        <w:rPr>
          <w:rFonts w:eastAsia="Times New Roman"/>
        </w:rPr>
      </w:pPr>
      <w:r>
        <w:rPr>
          <w:rFonts w:eastAsia="Times New Roman"/>
          <w:color w:val="000000"/>
          <w:sz w:val="20"/>
          <w:szCs w:val="20"/>
        </w:rPr>
        <w:t>•“EPS” means earnings per share</w:t>
      </w:r>
    </w:p>
    <w:p w:rsidR="00000000" w:rsidRDefault="00C56D69">
      <w:pPr>
        <w:ind w:hanging="360"/>
        <w:jc w:val="both"/>
        <w:textAlignment w:val="top"/>
        <w:divId w:val="1428192497"/>
        <w:rPr>
          <w:rFonts w:eastAsia="Times New Roman"/>
        </w:rPr>
      </w:pPr>
      <w:r>
        <w:rPr>
          <w:rFonts w:eastAsia="Times New Roman"/>
          <w:color w:val="000000"/>
          <w:sz w:val="20"/>
          <w:szCs w:val="20"/>
        </w:rPr>
        <w:t>•“EIMG” means Equitable Investment Management Group, LL</w:t>
      </w:r>
      <w:r>
        <w:rPr>
          <w:rFonts w:eastAsia="Times New Roman"/>
          <w:color w:val="000000"/>
          <w:sz w:val="20"/>
          <w:szCs w:val="20"/>
        </w:rPr>
        <w:t>C, a Delaware limited liability company and a wholly-owned indirect subsidiary of Holdings.</w:t>
      </w:r>
    </w:p>
    <w:p w:rsidR="00000000" w:rsidRDefault="00C56D69">
      <w:pPr>
        <w:ind w:hanging="360"/>
        <w:jc w:val="both"/>
        <w:textAlignment w:val="top"/>
        <w:divId w:val="1760524583"/>
        <w:rPr>
          <w:rFonts w:eastAsia="Times New Roman"/>
        </w:rPr>
      </w:pPr>
      <w:r>
        <w:rPr>
          <w:rFonts w:eastAsia="Times New Roman"/>
          <w:color w:val="000000"/>
          <w:sz w:val="20"/>
          <w:szCs w:val="20"/>
        </w:rPr>
        <w:t xml:space="preserve">•“EIM” means Equitable Investment Management, LLC, a Delaware limited liability company and wholly-owned indirect subsidiary of Holdings. </w:t>
      </w:r>
    </w:p>
    <w:p w:rsidR="00000000" w:rsidRDefault="00C56D69">
      <w:pPr>
        <w:ind w:hanging="360"/>
        <w:jc w:val="both"/>
        <w:textAlignment w:val="top"/>
        <w:divId w:val="1837964309"/>
        <w:rPr>
          <w:rFonts w:eastAsia="Times New Roman"/>
        </w:rPr>
      </w:pPr>
      <w:r>
        <w:rPr>
          <w:rFonts w:eastAsia="Times New Roman"/>
          <w:color w:val="000000"/>
          <w:sz w:val="20"/>
          <w:szCs w:val="20"/>
        </w:rPr>
        <w:t>•“Equitable Advisors” mea</w:t>
      </w:r>
      <w:r>
        <w:rPr>
          <w:rFonts w:eastAsia="Times New Roman"/>
          <w:color w:val="000000"/>
          <w:sz w:val="20"/>
          <w:szCs w:val="20"/>
        </w:rPr>
        <w:t>ns Equitable Advisors, LLC, a Delaware limited liability company, our retail broker/dealer for our retirement and protection businesses and a wholly-owned indirect subsidiary of Holdings</w:t>
      </w:r>
    </w:p>
    <w:p w:rsidR="00000000" w:rsidRDefault="00C56D69">
      <w:pPr>
        <w:ind w:hanging="360"/>
        <w:jc w:val="both"/>
        <w:textAlignment w:val="top"/>
        <w:divId w:val="1867785780"/>
        <w:rPr>
          <w:rFonts w:eastAsia="Times New Roman"/>
        </w:rPr>
      </w:pPr>
      <w:r>
        <w:rPr>
          <w:rFonts w:eastAsia="Times New Roman"/>
          <w:color w:val="000000"/>
          <w:sz w:val="20"/>
          <w:szCs w:val="20"/>
        </w:rPr>
        <w:t>•“Equitable America” means Equitable Financial Life Insurance Company</w:t>
      </w:r>
      <w:r>
        <w:rPr>
          <w:rFonts w:eastAsia="Times New Roman"/>
          <w:color w:val="000000"/>
          <w:sz w:val="20"/>
          <w:szCs w:val="20"/>
        </w:rPr>
        <w:t xml:space="preserve"> of America (f/k/a MONY Life Insurance Company of America), an Arizona corporation and a wholly-owned indirect subsidiary of Holdings</w:t>
      </w:r>
    </w:p>
    <w:p w:rsidR="00000000" w:rsidRDefault="00C56D69">
      <w:pPr>
        <w:ind w:hanging="360"/>
        <w:jc w:val="both"/>
        <w:textAlignment w:val="top"/>
        <w:divId w:val="790784326"/>
        <w:rPr>
          <w:rFonts w:eastAsia="Times New Roman"/>
        </w:rPr>
      </w:pPr>
      <w:r>
        <w:rPr>
          <w:rFonts w:eastAsia="Times New Roman"/>
          <w:color w:val="000000"/>
          <w:sz w:val="20"/>
          <w:szCs w:val="20"/>
        </w:rPr>
        <w:t xml:space="preserve">•“Equitable Financial” means Equitable Financial Life Insurance Company, a New York corporation, a life insurance company </w:t>
      </w:r>
      <w:r>
        <w:rPr>
          <w:rFonts w:eastAsia="Times New Roman"/>
          <w:color w:val="000000"/>
          <w:sz w:val="20"/>
          <w:szCs w:val="20"/>
        </w:rPr>
        <w:t>and a wholly-owned subsidiary of EFS</w:t>
      </w:r>
    </w:p>
    <w:p w:rsidR="00000000" w:rsidRDefault="00C56D69">
      <w:pPr>
        <w:ind w:hanging="360"/>
        <w:jc w:val="both"/>
        <w:textAlignment w:val="top"/>
        <w:divId w:val="1188567949"/>
        <w:rPr>
          <w:rFonts w:eastAsia="Times New Roman"/>
        </w:rPr>
      </w:pPr>
      <w:r>
        <w:rPr>
          <w:rFonts w:eastAsia="Times New Roman"/>
          <w:color w:val="000000"/>
          <w:sz w:val="20"/>
          <w:szCs w:val="20"/>
        </w:rPr>
        <w:t>•“EQ AZ Life Re” means EQ AZ Life Re Company, an Arizona corporation and a wholly-owned indirect subsidiary of Holdings.</w:t>
      </w:r>
    </w:p>
    <w:p w:rsidR="00000000" w:rsidRDefault="00C56D69">
      <w:pPr>
        <w:ind w:hanging="360"/>
        <w:textAlignment w:val="top"/>
        <w:divId w:val="1893271122"/>
        <w:rPr>
          <w:rFonts w:eastAsia="Times New Roman"/>
        </w:rPr>
      </w:pPr>
      <w:r>
        <w:rPr>
          <w:rFonts w:eastAsia="Times New Roman"/>
          <w:color w:val="000000"/>
          <w:sz w:val="20"/>
          <w:szCs w:val="20"/>
        </w:rPr>
        <w:t>•“ERISA” means Employee Retirement Income Security Act of 1974</w:t>
      </w:r>
    </w:p>
    <w:p w:rsidR="00000000" w:rsidRDefault="00C56D69">
      <w:pPr>
        <w:ind w:hanging="360"/>
        <w:jc w:val="both"/>
        <w:textAlignment w:val="top"/>
        <w:divId w:val="8455846"/>
        <w:rPr>
          <w:rFonts w:eastAsia="Times New Roman"/>
        </w:rPr>
      </w:pPr>
      <w:r>
        <w:rPr>
          <w:rFonts w:eastAsia="Times New Roman"/>
          <w:color w:val="000000"/>
          <w:sz w:val="20"/>
          <w:szCs w:val="20"/>
        </w:rPr>
        <w:t xml:space="preserve">•“ESG” means environmental, social </w:t>
      </w:r>
      <w:r>
        <w:rPr>
          <w:rFonts w:eastAsia="Times New Roman"/>
          <w:color w:val="000000"/>
          <w:sz w:val="20"/>
          <w:szCs w:val="20"/>
        </w:rPr>
        <w:t>and governance</w:t>
      </w:r>
    </w:p>
    <w:p w:rsidR="00000000" w:rsidRDefault="00C56D69">
      <w:pPr>
        <w:ind w:firstLine="360"/>
        <w:textAlignment w:val="top"/>
        <w:divId w:val="637222946"/>
        <w:rPr>
          <w:rFonts w:eastAsia="Times New Roman"/>
        </w:rPr>
      </w:pPr>
      <w:r>
        <w:rPr>
          <w:rFonts w:eastAsia="Times New Roman"/>
          <w:color w:val="000000"/>
          <w:sz w:val="20"/>
          <w:szCs w:val="20"/>
        </w:rPr>
        <w:t>•“ETF” means exchange traded funds</w:t>
      </w:r>
    </w:p>
    <w:p w:rsidR="00000000" w:rsidRDefault="00C56D69">
      <w:pPr>
        <w:ind w:firstLine="360"/>
        <w:jc w:val="both"/>
        <w:textAlignment w:val="top"/>
        <w:divId w:val="2024552158"/>
        <w:rPr>
          <w:rFonts w:eastAsia="Times New Roman"/>
        </w:rPr>
      </w:pPr>
      <w:r>
        <w:rPr>
          <w:rFonts w:eastAsia="Times New Roman"/>
          <w:color w:val="000000"/>
          <w:sz w:val="20"/>
          <w:szCs w:val="20"/>
        </w:rPr>
        <w:t>•“ETR” means effective tax rate</w:t>
      </w:r>
    </w:p>
    <w:p w:rsidR="00000000" w:rsidRDefault="00C56D69">
      <w:pPr>
        <w:ind w:hanging="360"/>
        <w:textAlignment w:val="top"/>
        <w:divId w:val="153423080"/>
        <w:rPr>
          <w:rFonts w:eastAsia="Times New Roman"/>
        </w:rPr>
      </w:pPr>
      <w:r>
        <w:rPr>
          <w:rFonts w:eastAsia="Times New Roman"/>
          <w:color w:val="000000"/>
          <w:sz w:val="20"/>
          <w:szCs w:val="20"/>
        </w:rPr>
        <w:t>•“Exchange Act” means Securities Exchange Act of 1934, as amended</w:t>
      </w:r>
    </w:p>
    <w:p w:rsidR="00000000" w:rsidRDefault="00C56D69">
      <w:pPr>
        <w:ind w:hanging="360"/>
        <w:textAlignment w:val="top"/>
        <w:divId w:val="637146978"/>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C56D69">
      <w:pPr>
        <w:ind w:hanging="360"/>
        <w:textAlignment w:val="top"/>
        <w:divId w:val="603684123"/>
        <w:rPr>
          <w:rFonts w:eastAsia="Times New Roman"/>
        </w:rPr>
      </w:pPr>
      <w:r>
        <w:rPr>
          <w:rFonts w:eastAsia="Times New Roman"/>
          <w:color w:val="000000"/>
          <w:sz w:val="20"/>
          <w:szCs w:val="20"/>
        </w:rPr>
        <w:t>•“FASB” means Financial Accounting Standards Board</w:t>
      </w:r>
    </w:p>
    <w:p w:rsidR="00000000" w:rsidRDefault="00C56D69">
      <w:pPr>
        <w:ind w:firstLine="360"/>
        <w:textAlignment w:val="top"/>
        <w:divId w:val="726031782"/>
        <w:rPr>
          <w:rFonts w:eastAsia="Times New Roman"/>
        </w:rPr>
      </w:pPr>
      <w:r>
        <w:rPr>
          <w:rFonts w:eastAsia="Times New Roman"/>
          <w:color w:val="000000"/>
          <w:sz w:val="20"/>
          <w:szCs w:val="20"/>
        </w:rPr>
        <w:t>•“F</w:t>
      </w:r>
      <w:r>
        <w:rPr>
          <w:rFonts w:eastAsia="Times New Roman"/>
          <w:color w:val="000000"/>
          <w:sz w:val="20"/>
          <w:szCs w:val="20"/>
        </w:rPr>
        <w:t>HLB” means Federal Home Loan Bank</w:t>
      </w:r>
    </w:p>
    <w:p w:rsidR="00000000" w:rsidRDefault="00C56D69">
      <w:pPr>
        <w:ind w:hanging="360"/>
        <w:jc w:val="both"/>
        <w:textAlignment w:val="top"/>
        <w:divId w:val="1539853628"/>
        <w:rPr>
          <w:rFonts w:eastAsia="Times New Roman"/>
        </w:rPr>
      </w:pPr>
      <w:r>
        <w:rPr>
          <w:rFonts w:eastAsia="Times New Roman"/>
          <w:color w:val="000000"/>
          <w:sz w:val="20"/>
          <w:szCs w:val="20"/>
        </w:rPr>
        <w:t>•“FYP” means first year premium and deposits</w:t>
      </w:r>
    </w:p>
    <w:p w:rsidR="00000000" w:rsidRDefault="00C56D69">
      <w:pPr>
        <w:ind w:hanging="360"/>
        <w:jc w:val="both"/>
        <w:textAlignment w:val="top"/>
        <w:divId w:val="158270838"/>
        <w:rPr>
          <w:rFonts w:eastAsia="Times New Roman"/>
        </w:rPr>
      </w:pPr>
      <w:r>
        <w:rPr>
          <w:rFonts w:eastAsia="Times New Roman"/>
          <w:color w:val="000000"/>
          <w:sz w:val="20"/>
          <w:szCs w:val="20"/>
        </w:rPr>
        <w:t xml:space="preserve">•“General Partner” </w:t>
      </w:r>
      <w:r>
        <w:rPr>
          <w:rFonts w:eastAsia="Times New Roman"/>
          <w:color w:val="000000"/>
          <w:sz w:val="20"/>
          <w:szCs w:val="20"/>
        </w:rPr>
        <w:t>means AllianceBernstein Corporation, a Delaware corporation and the general partner of AB Holding and ABLP</w:t>
      </w:r>
    </w:p>
    <w:p w:rsidR="00000000" w:rsidRDefault="00C56D69">
      <w:pPr>
        <w:textAlignment w:val="top"/>
        <w:divId w:val="382682380"/>
        <w:rPr>
          <w:rFonts w:eastAsia="Times New Roman"/>
        </w:rPr>
      </w:pPr>
      <w:r>
        <w:rPr>
          <w:rFonts w:eastAsia="Times New Roman"/>
          <w:color w:val="000000"/>
          <w:sz w:val="20"/>
          <w:szCs w:val="20"/>
        </w:rPr>
        <w:t>•“GUL” means guaranteed universal life</w:t>
      </w:r>
    </w:p>
    <w:p w:rsidR="00000000" w:rsidRDefault="00C56D69">
      <w:pPr>
        <w:textAlignment w:val="top"/>
        <w:divId w:val="2013294168"/>
        <w:rPr>
          <w:rFonts w:eastAsia="Times New Roman"/>
        </w:rPr>
      </w:pPr>
      <w:r>
        <w:rPr>
          <w:rFonts w:eastAsia="Times New Roman"/>
          <w:color w:val="000000"/>
          <w:sz w:val="20"/>
          <w:szCs w:val="20"/>
        </w:rPr>
        <w:t>•“HFS” means held-for-sale</w:t>
      </w:r>
    </w:p>
    <w:p w:rsidR="00000000" w:rsidRDefault="00C56D69">
      <w:pPr>
        <w:textAlignment w:val="top"/>
        <w:divId w:val="1283657924"/>
        <w:rPr>
          <w:rFonts w:eastAsia="Times New Roman"/>
        </w:rPr>
      </w:pPr>
      <w:r>
        <w:rPr>
          <w:rFonts w:eastAsia="Times New Roman"/>
          <w:color w:val="000000"/>
          <w:sz w:val="20"/>
          <w:szCs w:val="20"/>
        </w:rPr>
        <w:t xml:space="preserve">•“Holdings” means Equitable Holdings, Inc. </w:t>
      </w:r>
    </w:p>
    <w:p w:rsidR="00000000" w:rsidRDefault="00C56D69">
      <w:pPr>
        <w:textAlignment w:val="top"/>
        <w:divId w:val="1219897617"/>
        <w:rPr>
          <w:rFonts w:eastAsia="Times New Roman"/>
        </w:rPr>
      </w:pPr>
      <w:r>
        <w:rPr>
          <w:rFonts w:eastAsia="Times New Roman"/>
          <w:color w:val="000000"/>
          <w:sz w:val="20"/>
          <w:szCs w:val="20"/>
        </w:rPr>
        <w:t>•“HTM” means held-to-maturity</w:t>
      </w:r>
    </w:p>
    <w:p w:rsidR="00000000" w:rsidRDefault="00C56D69">
      <w:pPr>
        <w:textAlignment w:val="top"/>
        <w:divId w:val="89858087"/>
        <w:rPr>
          <w:rFonts w:eastAsia="Times New Roman"/>
        </w:rPr>
      </w:pPr>
      <w:r>
        <w:rPr>
          <w:rFonts w:eastAsia="Times New Roman"/>
          <w:color w:val="000000"/>
          <w:sz w:val="20"/>
          <w:szCs w:val="20"/>
        </w:rPr>
        <w:t>•“IPO” me</w:t>
      </w:r>
      <w:r>
        <w:rPr>
          <w:rFonts w:eastAsia="Times New Roman"/>
          <w:color w:val="000000"/>
          <w:sz w:val="20"/>
          <w:szCs w:val="20"/>
        </w:rPr>
        <w:t>ans initial public offering</w:t>
      </w:r>
    </w:p>
    <w:p w:rsidR="00000000" w:rsidRDefault="00C56D69">
      <w:pPr>
        <w:jc w:val="center"/>
        <w:divId w:val="1646155184"/>
        <w:rPr>
          <w:rFonts w:eastAsia="Times New Roman"/>
        </w:rPr>
      </w:pPr>
      <w:r>
        <w:rPr>
          <w:rFonts w:eastAsia="Times New Roman"/>
          <w:color w:val="000000"/>
          <w:sz w:val="20"/>
          <w:szCs w:val="20"/>
        </w:rPr>
        <w:t>119</w:t>
      </w:r>
    </w:p>
    <w:p w:rsidR="00000000" w:rsidRDefault="00C56D69">
      <w:pPr>
        <w:rPr>
          <w:rFonts w:eastAsia="Times New Roman"/>
        </w:rPr>
      </w:pPr>
      <w:r>
        <w:rPr>
          <w:rFonts w:eastAsia="Times New Roman"/>
        </w:rPr>
        <w:pict>
          <v:rect id="_x0000_i1145" style="width:0;height:1.5pt" o:hralign="center" o:hrstd="t" o:hr="t" fillcolor="#a0a0a0" stroked="f"/>
        </w:pict>
      </w:r>
    </w:p>
    <w:p w:rsidR="00000000" w:rsidRDefault="00C56D69">
      <w:pPr>
        <w:divId w:val="332143497"/>
        <w:rPr>
          <w:rFonts w:eastAsia="Times New Roman"/>
        </w:rPr>
      </w:pPr>
      <w:hyperlink w:anchor="i91a10deab42d4ca59e2a2b17dc17e22e_10" w:history="1">
        <w:r>
          <w:rPr>
            <w:rStyle w:val="a3"/>
            <w:rFonts w:eastAsia="Times New Roman"/>
            <w:b/>
            <w:bCs/>
            <w:sz w:val="20"/>
            <w:szCs w:val="20"/>
          </w:rPr>
          <w:t>Table of Contents</w:t>
        </w:r>
      </w:hyperlink>
    </w:p>
    <w:p w:rsidR="00000000" w:rsidRDefault="00C56D69">
      <w:pPr>
        <w:ind w:hanging="360"/>
        <w:textAlignment w:val="top"/>
        <w:divId w:val="260649621"/>
        <w:rPr>
          <w:rFonts w:eastAsia="Times New Roman"/>
        </w:rPr>
      </w:pPr>
      <w:r>
        <w:rPr>
          <w:rFonts w:eastAsia="Times New Roman"/>
          <w:color w:val="000000"/>
          <w:sz w:val="20"/>
          <w:szCs w:val="20"/>
        </w:rPr>
        <w:t xml:space="preserve">•“ISDA Master Agreement” means International Swaps and Derivatives Association Master Agreement </w:t>
      </w:r>
    </w:p>
    <w:p w:rsidR="00000000" w:rsidRDefault="00C56D69">
      <w:pPr>
        <w:ind w:firstLine="90"/>
        <w:textAlignment w:val="top"/>
        <w:divId w:val="568270494"/>
        <w:rPr>
          <w:rFonts w:eastAsia="Times New Roman"/>
        </w:rPr>
      </w:pPr>
      <w:r>
        <w:rPr>
          <w:rFonts w:eastAsia="Times New Roman"/>
          <w:color w:val="000000"/>
          <w:sz w:val="20"/>
          <w:szCs w:val="20"/>
        </w:rPr>
        <w:t>•“IUL” means i</w:t>
      </w:r>
      <w:r>
        <w:rPr>
          <w:rFonts w:eastAsia="Times New Roman"/>
          <w:color w:val="000000"/>
          <w:sz w:val="20"/>
          <w:szCs w:val="20"/>
        </w:rPr>
        <w:t>ndexed universal life</w:t>
      </w:r>
    </w:p>
    <w:p w:rsidR="00000000" w:rsidRDefault="00C56D69">
      <w:pPr>
        <w:ind w:firstLine="90"/>
        <w:textAlignment w:val="top"/>
        <w:divId w:val="559559350"/>
        <w:rPr>
          <w:rFonts w:eastAsia="Times New Roman"/>
        </w:rPr>
      </w:pPr>
      <w:r>
        <w:rPr>
          <w:rFonts w:eastAsia="Times New Roman"/>
          <w:color w:val="000000"/>
          <w:sz w:val="20"/>
          <w:szCs w:val="20"/>
        </w:rPr>
        <w:t xml:space="preserve">•“IUS” means Investments Under Surveillance </w:t>
      </w:r>
    </w:p>
    <w:p w:rsidR="00000000" w:rsidRDefault="00C56D69">
      <w:pPr>
        <w:ind w:firstLine="90"/>
        <w:textAlignment w:val="top"/>
        <w:divId w:val="124348618"/>
        <w:rPr>
          <w:rFonts w:eastAsia="Times New Roman"/>
        </w:rPr>
      </w:pPr>
      <w:r>
        <w:rPr>
          <w:rFonts w:eastAsia="Times New Roman"/>
          <w:color w:val="000000"/>
          <w:sz w:val="20"/>
          <w:szCs w:val="20"/>
        </w:rPr>
        <w:t>•“LIBOR” means London Interbank Offered Rate</w:t>
      </w:r>
    </w:p>
    <w:p w:rsidR="00000000" w:rsidRDefault="00C56D69">
      <w:pPr>
        <w:ind w:firstLine="90"/>
        <w:jc w:val="both"/>
        <w:textAlignment w:val="top"/>
        <w:divId w:val="580988477"/>
        <w:rPr>
          <w:rFonts w:eastAsia="Times New Roman"/>
        </w:rPr>
      </w:pPr>
      <w:r>
        <w:rPr>
          <w:rFonts w:eastAsia="Times New Roman"/>
          <w:color w:val="000000"/>
          <w:sz w:val="20"/>
          <w:szCs w:val="20"/>
        </w:rPr>
        <w:t>•“LTV” means loan-to-value</w:t>
      </w:r>
    </w:p>
    <w:p w:rsidR="00000000" w:rsidRDefault="00C56D69">
      <w:pPr>
        <w:ind w:hanging="360"/>
        <w:textAlignment w:val="top"/>
        <w:divId w:val="2098749804"/>
        <w:rPr>
          <w:rFonts w:eastAsia="Times New Roman"/>
        </w:rPr>
      </w:pPr>
      <w:r>
        <w:rPr>
          <w:rFonts w:eastAsia="Times New Roman"/>
          <w:color w:val="000000"/>
          <w:sz w:val="20"/>
          <w:szCs w:val="20"/>
        </w:rPr>
        <w:t>•“MD&amp;A” means Management’s Discussion and Analysis of Financial Condition and Results of Operations</w:t>
      </w:r>
    </w:p>
    <w:p w:rsidR="00000000" w:rsidRDefault="00C56D69">
      <w:pPr>
        <w:textAlignment w:val="top"/>
        <w:divId w:val="180514744"/>
        <w:rPr>
          <w:rFonts w:eastAsia="Times New Roman"/>
        </w:rPr>
      </w:pPr>
      <w:r>
        <w:rPr>
          <w:rFonts w:eastAsia="Times New Roman"/>
          <w:color w:val="000000"/>
          <w:sz w:val="20"/>
          <w:szCs w:val="20"/>
        </w:rPr>
        <w:t>•“MRBs” means mar</w:t>
      </w:r>
      <w:r>
        <w:rPr>
          <w:rFonts w:eastAsia="Times New Roman"/>
          <w:color w:val="000000"/>
          <w:sz w:val="20"/>
          <w:szCs w:val="20"/>
        </w:rPr>
        <w:t>ket risk benefits</w:t>
      </w:r>
    </w:p>
    <w:p w:rsidR="00000000" w:rsidRDefault="00C56D69">
      <w:pPr>
        <w:textAlignment w:val="top"/>
        <w:divId w:val="18048548"/>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C56D69">
      <w:pPr>
        <w:textAlignment w:val="top"/>
        <w:divId w:val="407001078"/>
        <w:rPr>
          <w:rFonts w:eastAsia="Times New Roman"/>
        </w:rPr>
      </w:pPr>
      <w:r>
        <w:rPr>
          <w:rFonts w:eastAsia="Times New Roman"/>
          <w:color w:val="000000"/>
          <w:sz w:val="20"/>
          <w:szCs w:val="20"/>
        </w:rPr>
        <w:t>•“MTA” means Master Transaction Agreement</w:t>
      </w:r>
    </w:p>
    <w:p w:rsidR="00000000" w:rsidRDefault="00C56D69">
      <w:pPr>
        <w:ind w:hanging="360"/>
        <w:textAlignment w:val="top"/>
        <w:divId w:val="193925282"/>
        <w:rPr>
          <w:rFonts w:eastAsia="Times New Roman"/>
        </w:rPr>
      </w:pPr>
      <w:r>
        <w:rPr>
          <w:rFonts w:eastAsia="Times New Roman"/>
          <w:color w:val="000000"/>
          <w:sz w:val="20"/>
          <w:szCs w:val="20"/>
        </w:rPr>
        <w:t>•“NAIC” means National Association of Insurance Commissioners</w:t>
      </w:r>
    </w:p>
    <w:p w:rsidR="00000000" w:rsidRDefault="00C56D69">
      <w:pPr>
        <w:textAlignment w:val="top"/>
        <w:divId w:val="307632609"/>
        <w:rPr>
          <w:rFonts w:eastAsia="Times New Roman"/>
        </w:rPr>
      </w:pPr>
      <w:r>
        <w:rPr>
          <w:rFonts w:eastAsia="Times New Roman"/>
          <w:color w:val="000000"/>
          <w:sz w:val="20"/>
          <w:szCs w:val="20"/>
        </w:rPr>
        <w:t>•“NAR” means net amount at risk</w:t>
      </w:r>
    </w:p>
    <w:p w:rsidR="00000000" w:rsidRDefault="00C56D69">
      <w:pPr>
        <w:textAlignment w:val="top"/>
        <w:divId w:val="1477263331"/>
        <w:rPr>
          <w:rFonts w:eastAsia="Times New Roman"/>
        </w:rPr>
      </w:pPr>
      <w:r>
        <w:rPr>
          <w:rFonts w:eastAsia="Times New Roman"/>
          <w:color w:val="000000"/>
          <w:sz w:val="20"/>
          <w:szCs w:val="20"/>
        </w:rPr>
        <w:t>•“NAV” means net asset value</w:t>
      </w:r>
    </w:p>
    <w:p w:rsidR="00000000" w:rsidRDefault="00C56D69">
      <w:pPr>
        <w:textAlignment w:val="top"/>
        <w:divId w:val="2050259528"/>
        <w:rPr>
          <w:rFonts w:eastAsia="Times New Roman"/>
        </w:rPr>
      </w:pPr>
      <w:r>
        <w:rPr>
          <w:rFonts w:eastAsia="Times New Roman"/>
          <w:color w:val="000000"/>
          <w:sz w:val="20"/>
          <w:szCs w:val="20"/>
        </w:rPr>
        <w:t>•“NLG” means no-lapse guarantee</w:t>
      </w:r>
    </w:p>
    <w:p w:rsidR="00000000" w:rsidRDefault="00C56D69">
      <w:pPr>
        <w:ind w:hanging="360"/>
        <w:textAlignment w:val="top"/>
        <w:divId w:val="955913040"/>
        <w:rPr>
          <w:rFonts w:eastAsia="Times New Roman"/>
        </w:rPr>
      </w:pPr>
      <w:r>
        <w:rPr>
          <w:rFonts w:eastAsia="Times New Roman"/>
          <w:color w:val="000000"/>
          <w:sz w:val="20"/>
          <w:szCs w:val="20"/>
        </w:rPr>
        <w:t>•“</w:t>
      </w:r>
      <w:r>
        <w:rPr>
          <w:rFonts w:eastAsia="Times New Roman"/>
          <w:color w:val="000000"/>
          <w:sz w:val="20"/>
          <w:szCs w:val="20"/>
        </w:rPr>
        <w:t>NYDFS” means New York State Department of Financial Services</w:t>
      </w:r>
    </w:p>
    <w:p w:rsidR="00000000" w:rsidRDefault="00C56D69">
      <w:pPr>
        <w:ind w:firstLine="360"/>
        <w:textAlignment w:val="top"/>
        <w:divId w:val="2050716765"/>
        <w:rPr>
          <w:rFonts w:eastAsia="Times New Roman"/>
        </w:rPr>
      </w:pPr>
      <w:r>
        <w:rPr>
          <w:rFonts w:eastAsia="Times New Roman"/>
          <w:color w:val="000000"/>
          <w:sz w:val="20"/>
          <w:szCs w:val="20"/>
        </w:rPr>
        <w:t>•“OCI” means other comprehensive income</w:t>
      </w:r>
    </w:p>
    <w:p w:rsidR="00000000" w:rsidRDefault="00C56D69">
      <w:pPr>
        <w:ind w:firstLine="360"/>
        <w:textAlignment w:val="top"/>
        <w:divId w:val="835849865"/>
        <w:rPr>
          <w:rFonts w:eastAsia="Times New Roman"/>
        </w:rPr>
      </w:pPr>
      <w:r>
        <w:rPr>
          <w:rFonts w:eastAsia="Times New Roman"/>
          <w:color w:val="000000"/>
          <w:sz w:val="20"/>
          <w:szCs w:val="20"/>
        </w:rPr>
        <w:t>•“OTC” means over-the-counter</w:t>
      </w:r>
    </w:p>
    <w:p w:rsidR="00000000" w:rsidRDefault="00C56D69">
      <w:pPr>
        <w:ind w:firstLine="360"/>
        <w:textAlignment w:val="top"/>
        <w:divId w:val="711539547"/>
        <w:rPr>
          <w:rFonts w:eastAsia="Times New Roman"/>
        </w:rPr>
      </w:pPr>
      <w:r>
        <w:rPr>
          <w:rFonts w:eastAsia="Times New Roman"/>
          <w:color w:val="000000"/>
          <w:sz w:val="20"/>
          <w:szCs w:val="20"/>
        </w:rPr>
        <w:t>•“PFBL” means profits followed by losses</w:t>
      </w:r>
    </w:p>
    <w:p w:rsidR="00000000" w:rsidRDefault="00C56D69">
      <w:pPr>
        <w:textAlignment w:val="top"/>
        <w:divId w:val="851838278"/>
        <w:rPr>
          <w:rFonts w:eastAsia="Times New Roman"/>
        </w:rPr>
      </w:pPr>
      <w:r>
        <w:rPr>
          <w:rFonts w:eastAsia="Times New Roman"/>
          <w:color w:val="000000"/>
          <w:sz w:val="20"/>
          <w:szCs w:val="20"/>
        </w:rPr>
        <w:t>•“REIT” means real estate investment trusts</w:t>
      </w:r>
    </w:p>
    <w:p w:rsidR="00000000" w:rsidRDefault="00C56D69">
      <w:pPr>
        <w:ind w:hanging="360"/>
        <w:jc w:val="both"/>
        <w:textAlignment w:val="top"/>
        <w:divId w:val="1532573726"/>
        <w:rPr>
          <w:rFonts w:eastAsia="Times New Roman"/>
        </w:rPr>
      </w:pPr>
      <w:r>
        <w:rPr>
          <w:rFonts w:eastAsia="Times New Roman"/>
          <w:color w:val="000000"/>
          <w:sz w:val="20"/>
          <w:szCs w:val="20"/>
        </w:rPr>
        <w:t xml:space="preserve">•“SCB LLC” means Sanford C. Bernstein &amp; </w:t>
      </w:r>
      <w:r>
        <w:rPr>
          <w:rFonts w:eastAsia="Times New Roman"/>
          <w:color w:val="000000"/>
          <w:sz w:val="20"/>
          <w:szCs w:val="20"/>
        </w:rPr>
        <w:t>Co., LLC, a registered investment adviser and broker-dealer.</w:t>
      </w:r>
    </w:p>
    <w:p w:rsidR="00000000" w:rsidRDefault="00C56D69">
      <w:pPr>
        <w:ind w:hanging="360"/>
        <w:textAlignment w:val="top"/>
        <w:divId w:val="1996255674"/>
        <w:rPr>
          <w:rFonts w:eastAsia="Times New Roman"/>
        </w:rPr>
      </w:pPr>
      <w:r>
        <w:rPr>
          <w:rFonts w:eastAsia="Times New Roman"/>
          <w:color w:val="000000"/>
          <w:sz w:val="20"/>
          <w:szCs w:val="20"/>
        </w:rPr>
        <w:t>•“SCS” means Structured Capital Strategies</w:t>
      </w:r>
    </w:p>
    <w:p w:rsidR="00000000" w:rsidRDefault="00C56D69">
      <w:pPr>
        <w:ind w:hanging="360"/>
        <w:jc w:val="both"/>
        <w:textAlignment w:val="top"/>
        <w:divId w:val="475071531"/>
        <w:rPr>
          <w:rFonts w:eastAsia="Times New Roman"/>
        </w:rPr>
      </w:pPr>
      <w:r>
        <w:rPr>
          <w:rFonts w:eastAsia="Times New Roman"/>
          <w:color w:val="000000"/>
          <w:sz w:val="20"/>
          <w:szCs w:val="20"/>
        </w:rPr>
        <w:t>•“SEC” means U.S. Securities and Exchange Commission</w:t>
      </w:r>
    </w:p>
    <w:p w:rsidR="00000000" w:rsidRDefault="00C56D69">
      <w:pPr>
        <w:ind w:hanging="360"/>
        <w:textAlignment w:val="top"/>
        <w:divId w:val="2084134777"/>
        <w:rPr>
          <w:rFonts w:eastAsia="Times New Roman"/>
        </w:rPr>
      </w:pPr>
      <w:r>
        <w:rPr>
          <w:rFonts w:eastAsia="Times New Roman"/>
          <w:color w:val="000000"/>
          <w:sz w:val="20"/>
          <w:szCs w:val="20"/>
        </w:rPr>
        <w:t xml:space="preserve">•“Series A Preferred Stock” means Holdings’ </w:t>
      </w:r>
      <w:r>
        <w:rPr>
          <w:rFonts w:eastAsia="Times New Roman"/>
          <w:color w:val="000000"/>
          <w:sz w:val="20"/>
          <w:szCs w:val="20"/>
        </w:rPr>
        <w:t>Series A Fixed Rate Noncumulative Perpetual Preferred Stock</w:t>
      </w:r>
    </w:p>
    <w:p w:rsidR="00000000" w:rsidRDefault="00C56D69">
      <w:pPr>
        <w:ind w:hanging="360"/>
        <w:textAlignment w:val="top"/>
        <w:divId w:val="1292512941"/>
        <w:rPr>
          <w:rFonts w:eastAsia="Times New Roman"/>
        </w:rPr>
      </w:pPr>
      <w:r>
        <w:rPr>
          <w:rFonts w:eastAsia="Times New Roman"/>
          <w:color w:val="000000"/>
          <w:sz w:val="20"/>
          <w:szCs w:val="20"/>
        </w:rPr>
        <w:t>•“Series B Preferred Stock” means Holdings’ Series B Fixed Rate Reset Noncumulative Perpetual Preferred Stock</w:t>
      </w:r>
    </w:p>
    <w:p w:rsidR="00000000" w:rsidRDefault="00C56D69">
      <w:pPr>
        <w:ind w:hanging="360"/>
        <w:textAlignment w:val="top"/>
        <w:divId w:val="1024330030"/>
        <w:rPr>
          <w:rFonts w:eastAsia="Times New Roman"/>
        </w:rPr>
      </w:pPr>
      <w:r>
        <w:rPr>
          <w:rFonts w:eastAsia="Times New Roman"/>
          <w:color w:val="000000"/>
          <w:sz w:val="20"/>
          <w:szCs w:val="20"/>
        </w:rPr>
        <w:t>•“Series C Preferred Stock” means Holdings’ Series C Fixed Rate Reset Noncumulative Pe</w:t>
      </w:r>
      <w:r>
        <w:rPr>
          <w:rFonts w:eastAsia="Times New Roman"/>
          <w:color w:val="000000"/>
          <w:sz w:val="20"/>
          <w:szCs w:val="20"/>
        </w:rPr>
        <w:t>rpetual Preferred Stock</w:t>
      </w:r>
    </w:p>
    <w:p w:rsidR="00000000" w:rsidRDefault="00C56D69">
      <w:pPr>
        <w:ind w:hanging="360"/>
        <w:jc w:val="both"/>
        <w:textAlignment w:val="top"/>
        <w:divId w:val="958150783"/>
        <w:rPr>
          <w:rFonts w:eastAsia="Times New Roman"/>
        </w:rPr>
      </w:pPr>
      <w:r>
        <w:rPr>
          <w:rFonts w:eastAsia="Times New Roman"/>
          <w:color w:val="000000"/>
          <w:sz w:val="20"/>
          <w:szCs w:val="20"/>
        </w:rPr>
        <w:t>•“SIO” means structured investment option</w:t>
      </w:r>
    </w:p>
    <w:p w:rsidR="00000000" w:rsidRDefault="00C56D69">
      <w:pPr>
        <w:ind w:hanging="360"/>
        <w:textAlignment w:val="top"/>
        <w:divId w:val="1947692529"/>
        <w:rPr>
          <w:rFonts w:eastAsia="Times New Roman"/>
        </w:rPr>
      </w:pPr>
      <w:r>
        <w:rPr>
          <w:rFonts w:eastAsia="Times New Roman"/>
          <w:color w:val="000000"/>
          <w:sz w:val="20"/>
          <w:szCs w:val="20"/>
        </w:rPr>
        <w:t xml:space="preserve">•“SPE” means special purpose entity </w:t>
      </w:r>
    </w:p>
    <w:p w:rsidR="00000000" w:rsidRDefault="00C56D69">
      <w:pPr>
        <w:ind w:firstLine="360"/>
        <w:textAlignment w:val="top"/>
        <w:divId w:val="1866357576"/>
        <w:rPr>
          <w:rFonts w:eastAsia="Times New Roman"/>
        </w:rPr>
      </w:pPr>
      <w:r>
        <w:rPr>
          <w:rFonts w:eastAsia="Times New Roman"/>
          <w:color w:val="000000"/>
          <w:sz w:val="20"/>
          <w:szCs w:val="20"/>
        </w:rPr>
        <w:t>•“SVO” means Securities Valuation Office</w:t>
      </w:r>
    </w:p>
    <w:p w:rsidR="00000000" w:rsidRDefault="00C56D69">
      <w:pPr>
        <w:textAlignment w:val="top"/>
        <w:divId w:val="252057657"/>
        <w:rPr>
          <w:rFonts w:eastAsia="Times New Roman"/>
        </w:rPr>
      </w:pPr>
      <w:r>
        <w:rPr>
          <w:rFonts w:eastAsia="Times New Roman"/>
          <w:color w:val="000000"/>
          <w:sz w:val="20"/>
          <w:szCs w:val="20"/>
        </w:rPr>
        <w:t>•“TDRs” means troubled debt restructurings</w:t>
      </w:r>
    </w:p>
    <w:p w:rsidR="00000000" w:rsidRDefault="00C56D69">
      <w:pPr>
        <w:ind w:hanging="360"/>
        <w:textAlignment w:val="top"/>
        <w:divId w:val="1274170547"/>
        <w:rPr>
          <w:rFonts w:eastAsia="Times New Roman"/>
        </w:rPr>
      </w:pPr>
      <w:r>
        <w:rPr>
          <w:rFonts w:eastAsia="Times New Roman"/>
          <w:color w:val="000000"/>
          <w:sz w:val="20"/>
          <w:szCs w:val="20"/>
        </w:rPr>
        <w:t>•“TIPS” means treasury inflation-protected securities</w:t>
      </w:r>
    </w:p>
    <w:p w:rsidR="00000000" w:rsidRDefault="00C56D69">
      <w:pPr>
        <w:ind w:hanging="360"/>
        <w:textAlignment w:val="top"/>
        <w:divId w:val="361371352"/>
        <w:rPr>
          <w:rFonts w:eastAsia="Times New Roman"/>
        </w:rPr>
      </w:pPr>
      <w:r>
        <w:rPr>
          <w:rFonts w:eastAsia="Times New Roman"/>
          <w:color w:val="000000"/>
          <w:sz w:val="20"/>
          <w:szCs w:val="20"/>
        </w:rPr>
        <w:t>•“U.S. GAAP” me</w:t>
      </w:r>
      <w:r>
        <w:rPr>
          <w:rFonts w:eastAsia="Times New Roman"/>
          <w:color w:val="000000"/>
          <w:sz w:val="20"/>
          <w:szCs w:val="20"/>
        </w:rPr>
        <w:t>ans accounting principles generally accepted in the United States of America</w:t>
      </w:r>
    </w:p>
    <w:p w:rsidR="00000000" w:rsidRDefault="00C56D69">
      <w:pPr>
        <w:ind w:hanging="360"/>
        <w:jc w:val="both"/>
        <w:textAlignment w:val="top"/>
        <w:divId w:val="1704793547"/>
        <w:rPr>
          <w:rFonts w:eastAsia="Times New Roman"/>
        </w:rPr>
      </w:pPr>
      <w:r>
        <w:rPr>
          <w:rFonts w:eastAsia="Times New Roman"/>
          <w:color w:val="000000"/>
          <w:sz w:val="20"/>
          <w:szCs w:val="20"/>
        </w:rPr>
        <w:t>•“UL” means universal life</w:t>
      </w:r>
    </w:p>
    <w:p w:rsidR="00000000" w:rsidRDefault="00C56D69">
      <w:pPr>
        <w:ind w:hanging="360"/>
        <w:textAlignment w:val="top"/>
        <w:divId w:val="232813098"/>
        <w:rPr>
          <w:rFonts w:eastAsia="Times New Roman"/>
        </w:rPr>
      </w:pPr>
      <w:r>
        <w:rPr>
          <w:rFonts w:eastAsia="Times New Roman"/>
          <w:color w:val="000000"/>
          <w:sz w:val="20"/>
          <w:szCs w:val="20"/>
        </w:rPr>
        <w:t>•“ULSG” means universal life products with secondary guarantee</w:t>
      </w:r>
    </w:p>
    <w:p w:rsidR="00000000" w:rsidRDefault="00C56D69">
      <w:pPr>
        <w:ind w:hanging="360"/>
        <w:textAlignment w:val="top"/>
        <w:divId w:val="1736902241"/>
        <w:rPr>
          <w:rFonts w:eastAsia="Times New Roman"/>
        </w:rPr>
      </w:pPr>
      <w:r>
        <w:rPr>
          <w:rFonts w:eastAsia="Times New Roman"/>
          <w:color w:val="000000"/>
          <w:sz w:val="20"/>
          <w:szCs w:val="20"/>
        </w:rPr>
        <w:t>•“USFL” means U.S. Financial Life Insurance Company</w:t>
      </w:r>
    </w:p>
    <w:p w:rsidR="00000000" w:rsidRDefault="00C56D69">
      <w:pPr>
        <w:ind w:hanging="360"/>
        <w:textAlignment w:val="top"/>
        <w:divId w:val="1111972253"/>
        <w:rPr>
          <w:rFonts w:eastAsia="Times New Roman"/>
        </w:rPr>
      </w:pPr>
      <w:r>
        <w:rPr>
          <w:rFonts w:eastAsia="Times New Roman"/>
          <w:color w:val="000000"/>
          <w:sz w:val="20"/>
          <w:szCs w:val="20"/>
        </w:rPr>
        <w:t>•“Venerable” means Venerable Holdings</w:t>
      </w:r>
      <w:r>
        <w:rPr>
          <w:rFonts w:eastAsia="Times New Roman"/>
          <w:color w:val="000000"/>
          <w:sz w:val="20"/>
          <w:szCs w:val="20"/>
        </w:rPr>
        <w:t>, Inc.</w:t>
      </w:r>
    </w:p>
    <w:p w:rsidR="00000000" w:rsidRDefault="00C56D69">
      <w:pPr>
        <w:ind w:hanging="360"/>
        <w:textAlignment w:val="top"/>
        <w:divId w:val="2074038033"/>
        <w:rPr>
          <w:rFonts w:eastAsia="Times New Roman"/>
        </w:rPr>
      </w:pPr>
      <w:r>
        <w:rPr>
          <w:rFonts w:eastAsia="Times New Roman"/>
          <w:color w:val="000000"/>
          <w:sz w:val="20"/>
          <w:szCs w:val="20"/>
        </w:rPr>
        <w:t>•“VIAC” means Venerable Insurance and Annuity Company</w:t>
      </w:r>
    </w:p>
    <w:p w:rsidR="00000000" w:rsidRDefault="00C56D69">
      <w:pPr>
        <w:textAlignment w:val="top"/>
        <w:divId w:val="1765564147"/>
        <w:rPr>
          <w:rFonts w:eastAsia="Times New Roman"/>
        </w:rPr>
      </w:pPr>
      <w:r>
        <w:rPr>
          <w:rFonts w:eastAsia="Times New Roman"/>
          <w:color w:val="000000"/>
          <w:sz w:val="20"/>
          <w:szCs w:val="20"/>
        </w:rPr>
        <w:t>•“VIE” means variable interest entity</w:t>
      </w:r>
    </w:p>
    <w:p w:rsidR="00000000" w:rsidRDefault="00C56D69">
      <w:pPr>
        <w:textAlignment w:val="top"/>
        <w:divId w:val="951863203"/>
        <w:rPr>
          <w:rFonts w:eastAsia="Times New Roman"/>
        </w:rPr>
      </w:pPr>
      <w:r>
        <w:rPr>
          <w:rFonts w:eastAsia="Times New Roman"/>
          <w:color w:val="000000"/>
          <w:sz w:val="20"/>
          <w:szCs w:val="20"/>
        </w:rPr>
        <w:t>•“VISL” means variable interest-sensitive life</w:t>
      </w:r>
    </w:p>
    <w:p w:rsidR="00000000" w:rsidRDefault="00C56D69">
      <w:pPr>
        <w:textAlignment w:val="top"/>
        <w:divId w:val="1676414809"/>
        <w:rPr>
          <w:rFonts w:eastAsia="Times New Roman"/>
        </w:rPr>
      </w:pPr>
      <w:r>
        <w:rPr>
          <w:rFonts w:eastAsia="Times New Roman"/>
          <w:color w:val="000000"/>
          <w:sz w:val="20"/>
          <w:szCs w:val="20"/>
        </w:rPr>
        <w:t>•“VOE” means voting interest entity</w:t>
      </w:r>
    </w:p>
    <w:p w:rsidR="00000000" w:rsidRDefault="00C56D69">
      <w:pPr>
        <w:ind w:hanging="360"/>
        <w:textAlignment w:val="top"/>
        <w:divId w:val="1393770581"/>
        <w:rPr>
          <w:rFonts w:eastAsia="Times New Roman"/>
        </w:rPr>
      </w:pPr>
      <w:r>
        <w:rPr>
          <w:rFonts w:eastAsia="Times New Roman"/>
          <w:color w:val="000000"/>
          <w:sz w:val="20"/>
          <w:szCs w:val="20"/>
        </w:rPr>
        <w:t>•“VUL” means variable universal life</w:t>
      </w:r>
    </w:p>
    <w:p w:rsidR="00000000" w:rsidRDefault="00C56D69">
      <w:pPr>
        <w:jc w:val="center"/>
        <w:divId w:val="153379299"/>
        <w:rPr>
          <w:rFonts w:eastAsia="Times New Roman"/>
        </w:rPr>
      </w:pPr>
      <w:r>
        <w:rPr>
          <w:rFonts w:eastAsia="Times New Roman"/>
          <w:color w:val="000000"/>
          <w:sz w:val="20"/>
          <w:szCs w:val="20"/>
        </w:rPr>
        <w:t>120</w:t>
      </w:r>
    </w:p>
    <w:p w:rsidR="00000000" w:rsidRDefault="00C56D69">
      <w:pPr>
        <w:rPr>
          <w:rFonts w:eastAsia="Times New Roman"/>
        </w:rPr>
      </w:pPr>
      <w:r>
        <w:rPr>
          <w:rFonts w:eastAsia="Times New Roman"/>
        </w:rPr>
        <w:pict>
          <v:rect id="_x0000_i1146" style="width:0;height:1.5pt" o:hralign="center" o:hrstd="t" o:hr="t" fillcolor="#a0a0a0" stroked="f"/>
        </w:pict>
      </w:r>
    </w:p>
    <w:p w:rsidR="00000000" w:rsidRDefault="00C56D69">
      <w:pPr>
        <w:jc w:val="center"/>
        <w:divId w:val="1719935230"/>
        <w:rPr>
          <w:rFonts w:eastAsia="Times New Roman"/>
        </w:rPr>
      </w:pPr>
      <w:r>
        <w:rPr>
          <w:rFonts w:eastAsia="Times New Roman"/>
          <w:b/>
          <w:bCs/>
          <w:color w:val="000000"/>
          <w:sz w:val="20"/>
          <w:szCs w:val="20"/>
        </w:rPr>
        <w:t>SIGNATURES</w:t>
      </w:r>
    </w:p>
    <w:p w:rsidR="00000000" w:rsidRDefault="00C56D69">
      <w:pPr>
        <w:ind w:firstLine="360"/>
        <w:divId w:val="1264144974"/>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1296832812"/>
        </w:trPr>
        <w:tc>
          <w:tcPr>
            <w:tcW w:w="50" w:type="pct"/>
            <w:vAlign w:val="center"/>
            <w:hideMark/>
          </w:tcPr>
          <w:p w:rsidR="00000000" w:rsidRDefault="00C56D69">
            <w:pPr>
              <w:ind w:firstLine="360"/>
              <w:rPr>
                <w:rFonts w:eastAsia="Times New Roman"/>
              </w:rPr>
            </w:pPr>
          </w:p>
        </w:tc>
        <w:tc>
          <w:tcPr>
            <w:tcW w:w="158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157"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8"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c>
          <w:tcPr>
            <w:tcW w:w="50" w:type="pct"/>
            <w:vAlign w:val="center"/>
            <w:hideMark/>
          </w:tcPr>
          <w:p w:rsidR="00000000" w:rsidRDefault="00C56D69">
            <w:pPr>
              <w:spacing w:after="100"/>
              <w:rPr>
                <w:rFonts w:eastAsia="Times New Roman"/>
                <w:sz w:val="20"/>
                <w:szCs w:val="20"/>
              </w:rPr>
            </w:pPr>
          </w:p>
        </w:tc>
        <w:tc>
          <w:tcPr>
            <w:tcW w:w="2755" w:type="pct"/>
            <w:vAlign w:val="center"/>
            <w:hideMark/>
          </w:tcPr>
          <w:p w:rsidR="00000000" w:rsidRDefault="00C56D69">
            <w:pPr>
              <w:spacing w:after="100"/>
              <w:rPr>
                <w:rFonts w:eastAsia="Times New Roman"/>
                <w:sz w:val="20"/>
                <w:szCs w:val="20"/>
              </w:rPr>
            </w:pPr>
          </w:p>
        </w:tc>
        <w:tc>
          <w:tcPr>
            <w:tcW w:w="5" w:type="pct"/>
            <w:vAlign w:val="center"/>
            <w:hideMark/>
          </w:tcPr>
          <w:p w:rsidR="00000000" w:rsidRDefault="00C56D69">
            <w:pPr>
              <w:spacing w:after="100"/>
              <w:rPr>
                <w:rFonts w:eastAsia="Times New Roman"/>
                <w:sz w:val="20"/>
                <w:szCs w:val="20"/>
              </w:rPr>
            </w:pPr>
          </w:p>
        </w:tc>
      </w:tr>
      <w:tr w:rsidR="00000000">
        <w:trPr>
          <w:divId w:val="1296832812"/>
        </w:trPr>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Date: November 3, 2022</w:t>
            </w:r>
          </w:p>
        </w:tc>
        <w:tc>
          <w:tcPr>
            <w:tcW w:w="0" w:type="auto"/>
            <w:gridSpan w:val="9"/>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EQUITABLE HOLDINGS, INC.</w:t>
            </w:r>
          </w:p>
        </w:tc>
      </w:tr>
      <w:tr w:rsidR="00000000">
        <w:trPr>
          <w:divId w:val="1296832812"/>
          <w:trHeight w:val="30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683281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56D69">
            <w:pPr>
              <w:spacing w:after="100"/>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C56D69">
            <w:pPr>
              <w:spacing w:after="100"/>
              <w:jc w:val="both"/>
              <w:rPr>
                <w:rFonts w:eastAsia="Times New Roman"/>
              </w:rPr>
            </w:pPr>
            <w:r>
              <w:rPr>
                <w:rFonts w:eastAsia="Times New Roman"/>
                <w:color w:val="000000"/>
                <w:sz w:val="20"/>
                <w:szCs w:val="20"/>
              </w:rPr>
              <w:t>/s/ Robin M. Raju</w:t>
            </w:r>
          </w:p>
        </w:tc>
      </w:tr>
      <w:tr w:rsidR="00000000">
        <w:trPr>
          <w:divId w:val="1296832812"/>
        </w:trPr>
        <w:tc>
          <w:tcPr>
            <w:tcW w:w="0" w:type="auto"/>
            <w:gridSpan w:val="3"/>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20"/>
                <w:szCs w:val="20"/>
              </w:rPr>
              <w:t>Robin M. Raju</w:t>
            </w:r>
          </w:p>
        </w:tc>
      </w:tr>
      <w:tr w:rsidR="00000000">
        <w:trPr>
          <w:divId w:val="1296832812"/>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C56D69">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t>(Principal Financial Officer)</w:t>
            </w:r>
          </w:p>
        </w:tc>
      </w:tr>
      <w:tr w:rsidR="00000000">
        <w:trPr>
          <w:divId w:val="1296832812"/>
          <w:trHeight w:val="300"/>
        </w:trPr>
        <w:tc>
          <w:tcPr>
            <w:tcW w:w="0" w:type="auto"/>
            <w:gridSpan w:val="3"/>
            <w:tcMar>
              <w:top w:w="0" w:type="dxa"/>
              <w:left w:w="20" w:type="dxa"/>
              <w:bottom w:w="0" w:type="dxa"/>
              <w:right w:w="20" w:type="dxa"/>
            </w:tcMar>
            <w:vAlign w:val="center"/>
            <w:hideMark/>
          </w:tcPr>
          <w:p w:rsidR="00000000" w:rsidRDefault="00C56D6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56D69">
            <w:pPr>
              <w:spacing w:after="100"/>
              <w:rPr>
                <w:rFonts w:eastAsia="Times New Roman"/>
                <w:sz w:val="20"/>
                <w:szCs w:val="20"/>
              </w:rPr>
            </w:pPr>
          </w:p>
        </w:tc>
      </w:tr>
      <w:tr w:rsidR="00000000">
        <w:trPr>
          <w:divId w:val="1296832812"/>
        </w:trPr>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Date: November 3, 2022</w:t>
            </w: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C56D69">
            <w:pPr>
              <w:spacing w:after="100"/>
              <w:jc w:val="both"/>
              <w:rPr>
                <w:rFonts w:eastAsia="Times New Roman"/>
              </w:rPr>
            </w:pPr>
            <w:r>
              <w:rPr>
                <w:rFonts w:eastAsia="Times New Roman"/>
                <w:color w:val="000000"/>
                <w:sz w:val="20"/>
                <w:szCs w:val="20"/>
              </w:rPr>
              <w:t>/s/ William Eckert</w:t>
            </w:r>
          </w:p>
        </w:tc>
      </w:tr>
      <w:tr w:rsidR="00000000">
        <w:trPr>
          <w:divId w:val="1296832812"/>
        </w:trPr>
        <w:tc>
          <w:tcPr>
            <w:tcW w:w="0" w:type="auto"/>
            <w:gridSpan w:val="3"/>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56D69">
            <w:pPr>
              <w:spacing w:after="100"/>
              <w:jc w:val="both"/>
              <w:rPr>
                <w:rFonts w:eastAsia="Times New Roman"/>
              </w:rPr>
            </w:pPr>
            <w:r>
              <w:rPr>
                <w:rFonts w:eastAsia="Times New Roman"/>
                <w:color w:val="000000"/>
                <w:sz w:val="20"/>
                <w:szCs w:val="20"/>
              </w:rPr>
              <w:t>William Eckert</w:t>
            </w:r>
          </w:p>
        </w:tc>
      </w:tr>
      <w:tr w:rsidR="00000000">
        <w:trPr>
          <w:divId w:val="1296832812"/>
        </w:trPr>
        <w:tc>
          <w:tcPr>
            <w:tcW w:w="0" w:type="auto"/>
            <w:gridSpan w:val="3"/>
            <w:tcMar>
              <w:top w:w="0" w:type="dxa"/>
              <w:left w:w="20" w:type="dxa"/>
              <w:bottom w:w="0" w:type="dxa"/>
              <w:right w:w="20" w:type="dxa"/>
            </w:tcMar>
            <w:vAlign w:val="center"/>
            <w:hideMark/>
          </w:tcPr>
          <w:p w:rsidR="00000000" w:rsidRDefault="00C56D69">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C56D6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56D69">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C56D69">
            <w:pPr>
              <w:spacing w:after="100"/>
              <w:jc w:val="both"/>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bl>
    <w:p w:rsidR="00C56D69" w:rsidRDefault="00C56D69">
      <w:pPr>
        <w:divId w:val="1285037733"/>
        <w:rPr>
          <w:rFonts w:eastAsia="Times New Roman"/>
        </w:rPr>
      </w:pPr>
    </w:p>
    <w:sectPr w:rsidR="00C56D6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6D69"/>
    <w:rsid w:val="00C56D69"/>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3/iso4217"/>
  <w:attachedSchema w:val="http://fasb.org/srt/2022"/>
  <w:attachedSchema w:val="http://www.w3.org/1999/xlink"/>
  <w:attachedSchema w:val="http://www.xbrl.org/2003/linkbase"/>
  <w:attachedSchema w:val="http://www.sec.gov/inlineXBRL/transformation/2015-08-31"/>
  <w:attachedSchema w:val="http://www.equitable.com/20220930"/>
  <w:attachedSchema w:val="http://fasb.org/us-gaap/2022"/>
  <w:attachedSchema w:val="http://www.xbrl.org/2013/inlineXBRL"/>
  <w:attachedSchema w:val="http://www.xbrl.org/inlineXBRL/transformation/2020-02-12"/>
  <w:attachedSchema w:val="http://xbrl.sec.gov/stpr/2022"/>
  <w:attachedSchema w:val="http://www.xbrl.org/2003/instance"/>
  <w:attachedSchema w:val="http://xbrl.sec.gov/dei/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382">
      <w:marLeft w:val="0"/>
      <w:marRight w:val="0"/>
      <w:marTop w:val="0"/>
      <w:marBottom w:val="180"/>
      <w:divBdr>
        <w:top w:val="none" w:sz="0" w:space="0" w:color="auto"/>
        <w:left w:val="none" w:sz="0" w:space="0" w:color="auto"/>
        <w:bottom w:val="none" w:sz="0" w:space="0" w:color="auto"/>
        <w:right w:val="none" w:sz="0" w:space="0" w:color="auto"/>
      </w:divBdr>
    </w:div>
    <w:div w:id="1709907">
      <w:marLeft w:val="0"/>
      <w:marRight w:val="0"/>
      <w:marTop w:val="100"/>
      <w:marBottom w:val="180"/>
      <w:divBdr>
        <w:top w:val="none" w:sz="0" w:space="0" w:color="auto"/>
        <w:left w:val="none" w:sz="0" w:space="0" w:color="auto"/>
        <w:bottom w:val="none" w:sz="0" w:space="0" w:color="auto"/>
        <w:right w:val="none" w:sz="0" w:space="0" w:color="auto"/>
      </w:divBdr>
    </w:div>
    <w:div w:id="6181875">
      <w:marLeft w:val="0"/>
      <w:marRight w:val="0"/>
      <w:marTop w:val="120"/>
      <w:marBottom w:val="120"/>
      <w:divBdr>
        <w:top w:val="none" w:sz="0" w:space="0" w:color="auto"/>
        <w:left w:val="none" w:sz="0" w:space="0" w:color="auto"/>
        <w:bottom w:val="none" w:sz="0" w:space="0" w:color="auto"/>
        <w:right w:val="none" w:sz="0" w:space="0" w:color="auto"/>
      </w:divBdr>
    </w:div>
    <w:div w:id="7564237">
      <w:marLeft w:val="0"/>
      <w:marRight w:val="0"/>
      <w:marTop w:val="0"/>
      <w:marBottom w:val="240"/>
      <w:divBdr>
        <w:top w:val="none" w:sz="0" w:space="0" w:color="auto"/>
        <w:left w:val="none" w:sz="0" w:space="0" w:color="auto"/>
        <w:bottom w:val="none" w:sz="0" w:space="0" w:color="auto"/>
        <w:right w:val="none" w:sz="0" w:space="0" w:color="auto"/>
      </w:divBdr>
    </w:div>
    <w:div w:id="7607486">
      <w:marLeft w:val="0"/>
      <w:marRight w:val="0"/>
      <w:marTop w:val="0"/>
      <w:marBottom w:val="0"/>
      <w:divBdr>
        <w:top w:val="none" w:sz="0" w:space="0" w:color="auto"/>
        <w:left w:val="none" w:sz="0" w:space="0" w:color="auto"/>
        <w:bottom w:val="none" w:sz="0" w:space="0" w:color="auto"/>
        <w:right w:val="none" w:sz="0" w:space="0" w:color="auto"/>
      </w:divBdr>
    </w:div>
    <w:div w:id="8141985">
      <w:marLeft w:val="0"/>
      <w:marRight w:val="0"/>
      <w:marTop w:val="0"/>
      <w:marBottom w:val="0"/>
      <w:divBdr>
        <w:top w:val="none" w:sz="0" w:space="0" w:color="auto"/>
        <w:left w:val="none" w:sz="0" w:space="0" w:color="auto"/>
        <w:bottom w:val="none" w:sz="0" w:space="0" w:color="auto"/>
        <w:right w:val="none" w:sz="0" w:space="0" w:color="auto"/>
      </w:divBdr>
      <w:divsChild>
        <w:div w:id="433937521">
          <w:marLeft w:val="0"/>
          <w:marRight w:val="0"/>
          <w:marTop w:val="0"/>
          <w:marBottom w:val="0"/>
          <w:divBdr>
            <w:top w:val="none" w:sz="0" w:space="0" w:color="auto"/>
            <w:left w:val="none" w:sz="0" w:space="0" w:color="auto"/>
            <w:bottom w:val="none" w:sz="0" w:space="0" w:color="auto"/>
            <w:right w:val="none" w:sz="0" w:space="0" w:color="auto"/>
          </w:divBdr>
        </w:div>
      </w:divsChild>
    </w:div>
    <w:div w:id="8265015">
      <w:marLeft w:val="0"/>
      <w:marRight w:val="0"/>
      <w:marTop w:val="0"/>
      <w:marBottom w:val="240"/>
      <w:divBdr>
        <w:top w:val="none" w:sz="0" w:space="0" w:color="auto"/>
        <w:left w:val="none" w:sz="0" w:space="0" w:color="auto"/>
        <w:bottom w:val="none" w:sz="0" w:space="0" w:color="auto"/>
        <w:right w:val="none" w:sz="0" w:space="0" w:color="auto"/>
      </w:divBdr>
    </w:div>
    <w:div w:id="8338368">
      <w:marLeft w:val="0"/>
      <w:marRight w:val="0"/>
      <w:marTop w:val="0"/>
      <w:marBottom w:val="0"/>
      <w:divBdr>
        <w:top w:val="none" w:sz="0" w:space="0" w:color="auto"/>
        <w:left w:val="none" w:sz="0" w:space="0" w:color="auto"/>
        <w:bottom w:val="none" w:sz="0" w:space="0" w:color="auto"/>
        <w:right w:val="none" w:sz="0" w:space="0" w:color="auto"/>
      </w:divBdr>
    </w:div>
    <w:div w:id="8534776">
      <w:marLeft w:val="0"/>
      <w:marRight w:val="0"/>
      <w:marTop w:val="100"/>
      <w:marBottom w:val="0"/>
      <w:divBdr>
        <w:top w:val="none" w:sz="0" w:space="0" w:color="auto"/>
        <w:left w:val="none" w:sz="0" w:space="0" w:color="auto"/>
        <w:bottom w:val="none" w:sz="0" w:space="0" w:color="auto"/>
        <w:right w:val="none" w:sz="0" w:space="0" w:color="auto"/>
      </w:divBdr>
    </w:div>
    <w:div w:id="8604766">
      <w:marLeft w:val="0"/>
      <w:marRight w:val="0"/>
      <w:marTop w:val="180"/>
      <w:marBottom w:val="180"/>
      <w:divBdr>
        <w:top w:val="none" w:sz="0" w:space="0" w:color="auto"/>
        <w:left w:val="none" w:sz="0" w:space="0" w:color="auto"/>
        <w:bottom w:val="none" w:sz="0" w:space="0" w:color="auto"/>
        <w:right w:val="none" w:sz="0" w:space="0" w:color="auto"/>
      </w:divBdr>
    </w:div>
    <w:div w:id="12348101">
      <w:marLeft w:val="0"/>
      <w:marRight w:val="0"/>
      <w:marTop w:val="240"/>
      <w:marBottom w:val="180"/>
      <w:divBdr>
        <w:top w:val="none" w:sz="0" w:space="0" w:color="auto"/>
        <w:left w:val="none" w:sz="0" w:space="0" w:color="auto"/>
        <w:bottom w:val="none" w:sz="0" w:space="0" w:color="auto"/>
        <w:right w:val="none" w:sz="0" w:space="0" w:color="auto"/>
      </w:divBdr>
    </w:div>
    <w:div w:id="13239524">
      <w:marLeft w:val="0"/>
      <w:marRight w:val="0"/>
      <w:marTop w:val="0"/>
      <w:marBottom w:val="0"/>
      <w:divBdr>
        <w:top w:val="none" w:sz="0" w:space="0" w:color="auto"/>
        <w:left w:val="none" w:sz="0" w:space="0" w:color="auto"/>
        <w:bottom w:val="none" w:sz="0" w:space="0" w:color="auto"/>
        <w:right w:val="none" w:sz="0" w:space="0" w:color="auto"/>
      </w:divBdr>
      <w:divsChild>
        <w:div w:id="1563904128">
          <w:marLeft w:val="0"/>
          <w:marRight w:val="0"/>
          <w:marTop w:val="0"/>
          <w:marBottom w:val="0"/>
          <w:divBdr>
            <w:top w:val="none" w:sz="0" w:space="0" w:color="auto"/>
            <w:left w:val="none" w:sz="0" w:space="0" w:color="auto"/>
            <w:bottom w:val="none" w:sz="0" w:space="0" w:color="auto"/>
            <w:right w:val="none" w:sz="0" w:space="0" w:color="auto"/>
          </w:divBdr>
        </w:div>
      </w:divsChild>
    </w:div>
    <w:div w:id="13968849">
      <w:marLeft w:val="0"/>
      <w:marRight w:val="0"/>
      <w:marTop w:val="120"/>
      <w:marBottom w:val="120"/>
      <w:divBdr>
        <w:top w:val="none" w:sz="0" w:space="0" w:color="auto"/>
        <w:left w:val="none" w:sz="0" w:space="0" w:color="auto"/>
        <w:bottom w:val="none" w:sz="0" w:space="0" w:color="auto"/>
        <w:right w:val="none" w:sz="0" w:space="0" w:color="auto"/>
      </w:divBdr>
    </w:div>
    <w:div w:id="15884968">
      <w:marLeft w:val="0"/>
      <w:marRight w:val="0"/>
      <w:marTop w:val="0"/>
      <w:marBottom w:val="0"/>
      <w:divBdr>
        <w:top w:val="none" w:sz="0" w:space="0" w:color="auto"/>
        <w:left w:val="none" w:sz="0" w:space="0" w:color="auto"/>
        <w:bottom w:val="none" w:sz="0" w:space="0" w:color="auto"/>
        <w:right w:val="none" w:sz="0" w:space="0" w:color="auto"/>
      </w:divBdr>
    </w:div>
    <w:div w:id="18823627">
      <w:marLeft w:val="0"/>
      <w:marRight w:val="0"/>
      <w:marTop w:val="0"/>
      <w:marBottom w:val="240"/>
      <w:divBdr>
        <w:top w:val="none" w:sz="0" w:space="0" w:color="auto"/>
        <w:left w:val="none" w:sz="0" w:space="0" w:color="auto"/>
        <w:bottom w:val="none" w:sz="0" w:space="0" w:color="auto"/>
        <w:right w:val="none" w:sz="0" w:space="0" w:color="auto"/>
      </w:divBdr>
    </w:div>
    <w:div w:id="19867584">
      <w:marLeft w:val="0"/>
      <w:marRight w:val="0"/>
      <w:marTop w:val="0"/>
      <w:marBottom w:val="240"/>
      <w:divBdr>
        <w:top w:val="none" w:sz="0" w:space="0" w:color="auto"/>
        <w:left w:val="none" w:sz="0" w:space="0" w:color="auto"/>
        <w:bottom w:val="none" w:sz="0" w:space="0" w:color="auto"/>
        <w:right w:val="none" w:sz="0" w:space="0" w:color="auto"/>
      </w:divBdr>
    </w:div>
    <w:div w:id="22368063">
      <w:marLeft w:val="0"/>
      <w:marRight w:val="0"/>
      <w:marTop w:val="180"/>
      <w:marBottom w:val="180"/>
      <w:divBdr>
        <w:top w:val="none" w:sz="0" w:space="0" w:color="auto"/>
        <w:left w:val="none" w:sz="0" w:space="0" w:color="auto"/>
        <w:bottom w:val="none" w:sz="0" w:space="0" w:color="auto"/>
        <w:right w:val="none" w:sz="0" w:space="0" w:color="auto"/>
      </w:divBdr>
    </w:div>
    <w:div w:id="22748086">
      <w:marLeft w:val="0"/>
      <w:marRight w:val="0"/>
      <w:marTop w:val="100"/>
      <w:marBottom w:val="0"/>
      <w:divBdr>
        <w:top w:val="none" w:sz="0" w:space="0" w:color="auto"/>
        <w:left w:val="none" w:sz="0" w:space="0" w:color="auto"/>
        <w:bottom w:val="none" w:sz="0" w:space="0" w:color="auto"/>
        <w:right w:val="none" w:sz="0" w:space="0" w:color="auto"/>
      </w:divBdr>
    </w:div>
    <w:div w:id="23750241">
      <w:marLeft w:val="0"/>
      <w:marRight w:val="0"/>
      <w:marTop w:val="0"/>
      <w:marBottom w:val="240"/>
      <w:divBdr>
        <w:top w:val="none" w:sz="0" w:space="0" w:color="auto"/>
        <w:left w:val="none" w:sz="0" w:space="0" w:color="auto"/>
        <w:bottom w:val="none" w:sz="0" w:space="0" w:color="auto"/>
        <w:right w:val="none" w:sz="0" w:space="0" w:color="auto"/>
      </w:divBdr>
    </w:div>
    <w:div w:id="24065945">
      <w:marLeft w:val="0"/>
      <w:marRight w:val="0"/>
      <w:marTop w:val="0"/>
      <w:marBottom w:val="240"/>
      <w:divBdr>
        <w:top w:val="none" w:sz="0" w:space="0" w:color="auto"/>
        <w:left w:val="none" w:sz="0" w:space="0" w:color="auto"/>
        <w:bottom w:val="none" w:sz="0" w:space="0" w:color="auto"/>
        <w:right w:val="none" w:sz="0" w:space="0" w:color="auto"/>
      </w:divBdr>
    </w:div>
    <w:div w:id="26222756">
      <w:marLeft w:val="0"/>
      <w:marRight w:val="0"/>
      <w:marTop w:val="120"/>
      <w:marBottom w:val="120"/>
      <w:divBdr>
        <w:top w:val="none" w:sz="0" w:space="0" w:color="auto"/>
        <w:left w:val="none" w:sz="0" w:space="0" w:color="auto"/>
        <w:bottom w:val="none" w:sz="0" w:space="0" w:color="auto"/>
        <w:right w:val="none" w:sz="0" w:space="0" w:color="auto"/>
      </w:divBdr>
    </w:div>
    <w:div w:id="26368978">
      <w:marLeft w:val="0"/>
      <w:marRight w:val="0"/>
      <w:marTop w:val="0"/>
      <w:marBottom w:val="240"/>
      <w:divBdr>
        <w:top w:val="none" w:sz="0" w:space="0" w:color="auto"/>
        <w:left w:val="none" w:sz="0" w:space="0" w:color="auto"/>
        <w:bottom w:val="none" w:sz="0" w:space="0" w:color="auto"/>
        <w:right w:val="none" w:sz="0" w:space="0" w:color="auto"/>
      </w:divBdr>
    </w:div>
    <w:div w:id="26755572">
      <w:marLeft w:val="0"/>
      <w:marRight w:val="0"/>
      <w:marTop w:val="0"/>
      <w:marBottom w:val="240"/>
      <w:divBdr>
        <w:top w:val="none" w:sz="0" w:space="0" w:color="auto"/>
        <w:left w:val="none" w:sz="0" w:space="0" w:color="auto"/>
        <w:bottom w:val="none" w:sz="0" w:space="0" w:color="auto"/>
        <w:right w:val="none" w:sz="0" w:space="0" w:color="auto"/>
      </w:divBdr>
    </w:div>
    <w:div w:id="27536552">
      <w:marLeft w:val="0"/>
      <w:marRight w:val="0"/>
      <w:marTop w:val="120"/>
      <w:marBottom w:val="120"/>
      <w:divBdr>
        <w:top w:val="none" w:sz="0" w:space="0" w:color="auto"/>
        <w:left w:val="none" w:sz="0" w:space="0" w:color="auto"/>
        <w:bottom w:val="none" w:sz="0" w:space="0" w:color="auto"/>
        <w:right w:val="none" w:sz="0" w:space="0" w:color="auto"/>
      </w:divBdr>
    </w:div>
    <w:div w:id="28797590">
      <w:marLeft w:val="0"/>
      <w:marRight w:val="0"/>
      <w:marTop w:val="0"/>
      <w:marBottom w:val="0"/>
      <w:divBdr>
        <w:top w:val="none" w:sz="0" w:space="0" w:color="auto"/>
        <w:left w:val="none" w:sz="0" w:space="0" w:color="auto"/>
        <w:bottom w:val="none" w:sz="0" w:space="0" w:color="auto"/>
        <w:right w:val="none" w:sz="0" w:space="0" w:color="auto"/>
      </w:divBdr>
    </w:div>
    <w:div w:id="30737871">
      <w:marLeft w:val="0"/>
      <w:marRight w:val="0"/>
      <w:marTop w:val="180"/>
      <w:marBottom w:val="180"/>
      <w:divBdr>
        <w:top w:val="none" w:sz="0" w:space="0" w:color="auto"/>
        <w:left w:val="none" w:sz="0" w:space="0" w:color="auto"/>
        <w:bottom w:val="none" w:sz="0" w:space="0" w:color="auto"/>
        <w:right w:val="none" w:sz="0" w:space="0" w:color="auto"/>
      </w:divBdr>
    </w:div>
    <w:div w:id="31467116">
      <w:marLeft w:val="0"/>
      <w:marRight w:val="0"/>
      <w:marTop w:val="180"/>
      <w:marBottom w:val="180"/>
      <w:divBdr>
        <w:top w:val="none" w:sz="0" w:space="0" w:color="auto"/>
        <w:left w:val="none" w:sz="0" w:space="0" w:color="auto"/>
        <w:bottom w:val="none" w:sz="0" w:space="0" w:color="auto"/>
        <w:right w:val="none" w:sz="0" w:space="0" w:color="auto"/>
      </w:divBdr>
    </w:div>
    <w:div w:id="32967865">
      <w:marLeft w:val="0"/>
      <w:marRight w:val="0"/>
      <w:marTop w:val="180"/>
      <w:marBottom w:val="180"/>
      <w:divBdr>
        <w:top w:val="none" w:sz="0" w:space="0" w:color="auto"/>
        <w:left w:val="none" w:sz="0" w:space="0" w:color="auto"/>
        <w:bottom w:val="none" w:sz="0" w:space="0" w:color="auto"/>
        <w:right w:val="none" w:sz="0" w:space="0" w:color="auto"/>
      </w:divBdr>
    </w:div>
    <w:div w:id="33770546">
      <w:marLeft w:val="0"/>
      <w:marRight w:val="0"/>
      <w:marTop w:val="20"/>
      <w:marBottom w:val="120"/>
      <w:divBdr>
        <w:top w:val="none" w:sz="0" w:space="0" w:color="auto"/>
        <w:left w:val="none" w:sz="0" w:space="0" w:color="auto"/>
        <w:bottom w:val="none" w:sz="0" w:space="0" w:color="auto"/>
        <w:right w:val="none" w:sz="0" w:space="0" w:color="auto"/>
      </w:divBdr>
    </w:div>
    <w:div w:id="33971530">
      <w:marLeft w:val="0"/>
      <w:marRight w:val="0"/>
      <w:marTop w:val="0"/>
      <w:marBottom w:val="0"/>
      <w:divBdr>
        <w:top w:val="none" w:sz="0" w:space="0" w:color="auto"/>
        <w:left w:val="none" w:sz="0" w:space="0" w:color="auto"/>
        <w:bottom w:val="none" w:sz="0" w:space="0" w:color="auto"/>
        <w:right w:val="none" w:sz="0" w:space="0" w:color="auto"/>
      </w:divBdr>
    </w:div>
    <w:div w:id="35087124">
      <w:marLeft w:val="0"/>
      <w:marRight w:val="0"/>
      <w:marTop w:val="0"/>
      <w:marBottom w:val="0"/>
      <w:divBdr>
        <w:top w:val="none" w:sz="0" w:space="0" w:color="auto"/>
        <w:left w:val="none" w:sz="0" w:space="0" w:color="auto"/>
        <w:bottom w:val="none" w:sz="0" w:space="0" w:color="auto"/>
        <w:right w:val="none" w:sz="0" w:space="0" w:color="auto"/>
      </w:divBdr>
      <w:divsChild>
        <w:div w:id="1035697164">
          <w:marLeft w:val="0"/>
          <w:marRight w:val="0"/>
          <w:marTop w:val="0"/>
          <w:marBottom w:val="0"/>
          <w:divBdr>
            <w:top w:val="none" w:sz="0" w:space="0" w:color="auto"/>
            <w:left w:val="none" w:sz="0" w:space="0" w:color="auto"/>
            <w:bottom w:val="none" w:sz="0" w:space="0" w:color="auto"/>
            <w:right w:val="none" w:sz="0" w:space="0" w:color="auto"/>
          </w:divBdr>
        </w:div>
      </w:divsChild>
    </w:div>
    <w:div w:id="35586549">
      <w:marLeft w:val="0"/>
      <w:marRight w:val="0"/>
      <w:marTop w:val="0"/>
      <w:marBottom w:val="240"/>
      <w:divBdr>
        <w:top w:val="none" w:sz="0" w:space="0" w:color="auto"/>
        <w:left w:val="none" w:sz="0" w:space="0" w:color="auto"/>
        <w:bottom w:val="none" w:sz="0" w:space="0" w:color="auto"/>
        <w:right w:val="none" w:sz="0" w:space="0" w:color="auto"/>
      </w:divBdr>
    </w:div>
    <w:div w:id="35979630">
      <w:marLeft w:val="0"/>
      <w:marRight w:val="0"/>
      <w:marTop w:val="180"/>
      <w:marBottom w:val="180"/>
      <w:divBdr>
        <w:top w:val="none" w:sz="0" w:space="0" w:color="auto"/>
        <w:left w:val="none" w:sz="0" w:space="0" w:color="auto"/>
        <w:bottom w:val="none" w:sz="0" w:space="0" w:color="auto"/>
        <w:right w:val="none" w:sz="0" w:space="0" w:color="auto"/>
      </w:divBdr>
    </w:div>
    <w:div w:id="41249482">
      <w:marLeft w:val="0"/>
      <w:marRight w:val="0"/>
      <w:marTop w:val="120"/>
      <w:marBottom w:val="120"/>
      <w:divBdr>
        <w:top w:val="none" w:sz="0" w:space="0" w:color="auto"/>
        <w:left w:val="none" w:sz="0" w:space="0" w:color="auto"/>
        <w:bottom w:val="none" w:sz="0" w:space="0" w:color="auto"/>
        <w:right w:val="none" w:sz="0" w:space="0" w:color="auto"/>
      </w:divBdr>
    </w:div>
    <w:div w:id="41367069">
      <w:marLeft w:val="0"/>
      <w:marRight w:val="0"/>
      <w:marTop w:val="0"/>
      <w:marBottom w:val="0"/>
      <w:divBdr>
        <w:top w:val="none" w:sz="0" w:space="0" w:color="auto"/>
        <w:left w:val="none" w:sz="0" w:space="0" w:color="auto"/>
        <w:bottom w:val="none" w:sz="0" w:space="0" w:color="auto"/>
        <w:right w:val="none" w:sz="0" w:space="0" w:color="auto"/>
      </w:divBdr>
      <w:divsChild>
        <w:div w:id="473908459">
          <w:marLeft w:val="0"/>
          <w:marRight w:val="0"/>
          <w:marTop w:val="0"/>
          <w:marBottom w:val="0"/>
          <w:divBdr>
            <w:top w:val="none" w:sz="0" w:space="0" w:color="auto"/>
            <w:left w:val="none" w:sz="0" w:space="0" w:color="auto"/>
            <w:bottom w:val="none" w:sz="0" w:space="0" w:color="auto"/>
            <w:right w:val="none" w:sz="0" w:space="0" w:color="auto"/>
          </w:divBdr>
        </w:div>
      </w:divsChild>
    </w:div>
    <w:div w:id="42296082">
      <w:marLeft w:val="0"/>
      <w:marRight w:val="0"/>
      <w:marTop w:val="0"/>
      <w:marBottom w:val="180"/>
      <w:divBdr>
        <w:top w:val="none" w:sz="0" w:space="0" w:color="auto"/>
        <w:left w:val="none" w:sz="0" w:space="0" w:color="auto"/>
        <w:bottom w:val="none" w:sz="0" w:space="0" w:color="auto"/>
        <w:right w:val="none" w:sz="0" w:space="0" w:color="auto"/>
      </w:divBdr>
    </w:div>
    <w:div w:id="42411441">
      <w:marLeft w:val="0"/>
      <w:marRight w:val="0"/>
      <w:marTop w:val="0"/>
      <w:marBottom w:val="180"/>
      <w:divBdr>
        <w:top w:val="none" w:sz="0" w:space="0" w:color="auto"/>
        <w:left w:val="none" w:sz="0" w:space="0" w:color="auto"/>
        <w:bottom w:val="none" w:sz="0" w:space="0" w:color="auto"/>
        <w:right w:val="none" w:sz="0" w:space="0" w:color="auto"/>
      </w:divBdr>
    </w:div>
    <w:div w:id="47650857">
      <w:marLeft w:val="0"/>
      <w:marRight w:val="0"/>
      <w:marTop w:val="180"/>
      <w:marBottom w:val="180"/>
      <w:divBdr>
        <w:top w:val="none" w:sz="0" w:space="0" w:color="auto"/>
        <w:left w:val="none" w:sz="0" w:space="0" w:color="auto"/>
        <w:bottom w:val="none" w:sz="0" w:space="0" w:color="auto"/>
        <w:right w:val="none" w:sz="0" w:space="0" w:color="auto"/>
      </w:divBdr>
    </w:div>
    <w:div w:id="50858719">
      <w:marLeft w:val="0"/>
      <w:marRight w:val="0"/>
      <w:marTop w:val="0"/>
      <w:marBottom w:val="240"/>
      <w:divBdr>
        <w:top w:val="none" w:sz="0" w:space="0" w:color="auto"/>
        <w:left w:val="none" w:sz="0" w:space="0" w:color="auto"/>
        <w:bottom w:val="none" w:sz="0" w:space="0" w:color="auto"/>
        <w:right w:val="none" w:sz="0" w:space="0" w:color="auto"/>
      </w:divBdr>
    </w:div>
    <w:div w:id="51779292">
      <w:marLeft w:val="0"/>
      <w:marRight w:val="0"/>
      <w:marTop w:val="0"/>
      <w:marBottom w:val="180"/>
      <w:divBdr>
        <w:top w:val="none" w:sz="0" w:space="0" w:color="auto"/>
        <w:left w:val="none" w:sz="0" w:space="0" w:color="auto"/>
        <w:bottom w:val="none" w:sz="0" w:space="0" w:color="auto"/>
        <w:right w:val="none" w:sz="0" w:space="0" w:color="auto"/>
      </w:divBdr>
    </w:div>
    <w:div w:id="54548852">
      <w:marLeft w:val="0"/>
      <w:marRight w:val="0"/>
      <w:marTop w:val="0"/>
      <w:marBottom w:val="180"/>
      <w:divBdr>
        <w:top w:val="none" w:sz="0" w:space="0" w:color="auto"/>
        <w:left w:val="none" w:sz="0" w:space="0" w:color="auto"/>
        <w:bottom w:val="none" w:sz="0" w:space="0" w:color="auto"/>
        <w:right w:val="none" w:sz="0" w:space="0" w:color="auto"/>
      </w:divBdr>
    </w:div>
    <w:div w:id="59449895">
      <w:marLeft w:val="0"/>
      <w:marRight w:val="0"/>
      <w:marTop w:val="0"/>
      <w:marBottom w:val="180"/>
      <w:divBdr>
        <w:top w:val="none" w:sz="0" w:space="0" w:color="auto"/>
        <w:left w:val="none" w:sz="0" w:space="0" w:color="auto"/>
        <w:bottom w:val="none" w:sz="0" w:space="0" w:color="auto"/>
        <w:right w:val="none" w:sz="0" w:space="0" w:color="auto"/>
      </w:divBdr>
    </w:div>
    <w:div w:id="63846356">
      <w:marLeft w:val="0"/>
      <w:marRight w:val="0"/>
      <w:marTop w:val="0"/>
      <w:marBottom w:val="0"/>
      <w:divBdr>
        <w:top w:val="none" w:sz="0" w:space="0" w:color="auto"/>
        <w:left w:val="none" w:sz="0" w:space="0" w:color="auto"/>
        <w:bottom w:val="none" w:sz="0" w:space="0" w:color="auto"/>
        <w:right w:val="none" w:sz="0" w:space="0" w:color="auto"/>
      </w:divBdr>
      <w:divsChild>
        <w:div w:id="34743439">
          <w:marLeft w:val="0"/>
          <w:marRight w:val="0"/>
          <w:marTop w:val="0"/>
          <w:marBottom w:val="0"/>
          <w:divBdr>
            <w:top w:val="none" w:sz="0" w:space="0" w:color="auto"/>
            <w:left w:val="none" w:sz="0" w:space="0" w:color="auto"/>
            <w:bottom w:val="none" w:sz="0" w:space="0" w:color="auto"/>
            <w:right w:val="none" w:sz="0" w:space="0" w:color="auto"/>
          </w:divBdr>
        </w:div>
      </w:divsChild>
    </w:div>
    <w:div w:id="65812194">
      <w:marLeft w:val="0"/>
      <w:marRight w:val="0"/>
      <w:marTop w:val="0"/>
      <w:marBottom w:val="0"/>
      <w:divBdr>
        <w:top w:val="none" w:sz="0" w:space="0" w:color="auto"/>
        <w:left w:val="none" w:sz="0" w:space="0" w:color="auto"/>
        <w:bottom w:val="none" w:sz="0" w:space="0" w:color="auto"/>
        <w:right w:val="none" w:sz="0" w:space="0" w:color="auto"/>
      </w:divBdr>
      <w:divsChild>
        <w:div w:id="553393074">
          <w:marLeft w:val="0"/>
          <w:marRight w:val="0"/>
          <w:marTop w:val="0"/>
          <w:marBottom w:val="0"/>
          <w:divBdr>
            <w:top w:val="none" w:sz="0" w:space="0" w:color="auto"/>
            <w:left w:val="none" w:sz="0" w:space="0" w:color="auto"/>
            <w:bottom w:val="none" w:sz="0" w:space="0" w:color="auto"/>
            <w:right w:val="none" w:sz="0" w:space="0" w:color="auto"/>
          </w:divBdr>
        </w:div>
      </w:divsChild>
    </w:div>
    <w:div w:id="66657239">
      <w:marLeft w:val="0"/>
      <w:marRight w:val="0"/>
      <w:marTop w:val="0"/>
      <w:marBottom w:val="180"/>
      <w:divBdr>
        <w:top w:val="none" w:sz="0" w:space="0" w:color="auto"/>
        <w:left w:val="none" w:sz="0" w:space="0" w:color="auto"/>
        <w:bottom w:val="none" w:sz="0" w:space="0" w:color="auto"/>
        <w:right w:val="none" w:sz="0" w:space="0" w:color="auto"/>
      </w:divBdr>
    </w:div>
    <w:div w:id="70086376">
      <w:marLeft w:val="0"/>
      <w:marRight w:val="0"/>
      <w:marTop w:val="120"/>
      <w:marBottom w:val="120"/>
      <w:divBdr>
        <w:top w:val="none" w:sz="0" w:space="0" w:color="auto"/>
        <w:left w:val="none" w:sz="0" w:space="0" w:color="auto"/>
        <w:bottom w:val="none" w:sz="0" w:space="0" w:color="auto"/>
        <w:right w:val="none" w:sz="0" w:space="0" w:color="auto"/>
      </w:divBdr>
    </w:div>
    <w:div w:id="71199010">
      <w:marLeft w:val="0"/>
      <w:marRight w:val="0"/>
      <w:marTop w:val="120"/>
      <w:marBottom w:val="120"/>
      <w:divBdr>
        <w:top w:val="none" w:sz="0" w:space="0" w:color="auto"/>
        <w:left w:val="none" w:sz="0" w:space="0" w:color="auto"/>
        <w:bottom w:val="none" w:sz="0" w:space="0" w:color="auto"/>
        <w:right w:val="none" w:sz="0" w:space="0" w:color="auto"/>
      </w:divBdr>
    </w:div>
    <w:div w:id="75248851">
      <w:marLeft w:val="0"/>
      <w:marRight w:val="0"/>
      <w:marTop w:val="0"/>
      <w:marBottom w:val="240"/>
      <w:divBdr>
        <w:top w:val="none" w:sz="0" w:space="0" w:color="auto"/>
        <w:left w:val="none" w:sz="0" w:space="0" w:color="auto"/>
        <w:bottom w:val="none" w:sz="0" w:space="0" w:color="auto"/>
        <w:right w:val="none" w:sz="0" w:space="0" w:color="auto"/>
      </w:divBdr>
    </w:div>
    <w:div w:id="78522599">
      <w:marLeft w:val="0"/>
      <w:marRight w:val="0"/>
      <w:marTop w:val="180"/>
      <w:marBottom w:val="180"/>
      <w:divBdr>
        <w:top w:val="none" w:sz="0" w:space="0" w:color="auto"/>
        <w:left w:val="none" w:sz="0" w:space="0" w:color="auto"/>
        <w:bottom w:val="none" w:sz="0" w:space="0" w:color="auto"/>
        <w:right w:val="none" w:sz="0" w:space="0" w:color="auto"/>
      </w:divBdr>
    </w:div>
    <w:div w:id="78795591">
      <w:marLeft w:val="0"/>
      <w:marRight w:val="0"/>
      <w:marTop w:val="0"/>
      <w:marBottom w:val="240"/>
      <w:divBdr>
        <w:top w:val="none" w:sz="0" w:space="0" w:color="auto"/>
        <w:left w:val="none" w:sz="0" w:space="0" w:color="auto"/>
        <w:bottom w:val="none" w:sz="0" w:space="0" w:color="auto"/>
        <w:right w:val="none" w:sz="0" w:space="0" w:color="auto"/>
      </w:divBdr>
    </w:div>
    <w:div w:id="80609944">
      <w:marLeft w:val="0"/>
      <w:marRight w:val="0"/>
      <w:marTop w:val="0"/>
      <w:marBottom w:val="240"/>
      <w:divBdr>
        <w:top w:val="none" w:sz="0" w:space="0" w:color="auto"/>
        <w:left w:val="none" w:sz="0" w:space="0" w:color="auto"/>
        <w:bottom w:val="none" w:sz="0" w:space="0" w:color="auto"/>
        <w:right w:val="none" w:sz="0" w:space="0" w:color="auto"/>
      </w:divBdr>
    </w:div>
    <w:div w:id="80764020">
      <w:marLeft w:val="0"/>
      <w:marRight w:val="0"/>
      <w:marTop w:val="0"/>
      <w:marBottom w:val="180"/>
      <w:divBdr>
        <w:top w:val="none" w:sz="0" w:space="0" w:color="auto"/>
        <w:left w:val="none" w:sz="0" w:space="0" w:color="auto"/>
        <w:bottom w:val="none" w:sz="0" w:space="0" w:color="auto"/>
        <w:right w:val="none" w:sz="0" w:space="0" w:color="auto"/>
      </w:divBdr>
    </w:div>
    <w:div w:id="81728892">
      <w:marLeft w:val="0"/>
      <w:marRight w:val="0"/>
      <w:marTop w:val="120"/>
      <w:marBottom w:val="120"/>
      <w:divBdr>
        <w:top w:val="none" w:sz="0" w:space="0" w:color="auto"/>
        <w:left w:val="none" w:sz="0" w:space="0" w:color="auto"/>
        <w:bottom w:val="none" w:sz="0" w:space="0" w:color="auto"/>
        <w:right w:val="none" w:sz="0" w:space="0" w:color="auto"/>
      </w:divBdr>
    </w:div>
    <w:div w:id="84544398">
      <w:marLeft w:val="0"/>
      <w:marRight w:val="0"/>
      <w:marTop w:val="0"/>
      <w:marBottom w:val="240"/>
      <w:divBdr>
        <w:top w:val="none" w:sz="0" w:space="0" w:color="auto"/>
        <w:left w:val="none" w:sz="0" w:space="0" w:color="auto"/>
        <w:bottom w:val="none" w:sz="0" w:space="0" w:color="auto"/>
        <w:right w:val="none" w:sz="0" w:space="0" w:color="auto"/>
      </w:divBdr>
    </w:div>
    <w:div w:id="88042723">
      <w:marLeft w:val="0"/>
      <w:marRight w:val="0"/>
      <w:marTop w:val="0"/>
      <w:marBottom w:val="240"/>
      <w:divBdr>
        <w:top w:val="none" w:sz="0" w:space="0" w:color="auto"/>
        <w:left w:val="none" w:sz="0" w:space="0" w:color="auto"/>
        <w:bottom w:val="none" w:sz="0" w:space="0" w:color="auto"/>
        <w:right w:val="none" w:sz="0" w:space="0" w:color="auto"/>
      </w:divBdr>
    </w:div>
    <w:div w:id="89132414">
      <w:marLeft w:val="0"/>
      <w:marRight w:val="0"/>
      <w:marTop w:val="0"/>
      <w:marBottom w:val="240"/>
      <w:divBdr>
        <w:top w:val="none" w:sz="0" w:space="0" w:color="auto"/>
        <w:left w:val="none" w:sz="0" w:space="0" w:color="auto"/>
        <w:bottom w:val="none" w:sz="0" w:space="0" w:color="auto"/>
        <w:right w:val="none" w:sz="0" w:space="0" w:color="auto"/>
      </w:divBdr>
    </w:div>
    <w:div w:id="90590915">
      <w:marLeft w:val="0"/>
      <w:marRight w:val="0"/>
      <w:marTop w:val="0"/>
      <w:marBottom w:val="240"/>
      <w:divBdr>
        <w:top w:val="none" w:sz="0" w:space="0" w:color="auto"/>
        <w:left w:val="none" w:sz="0" w:space="0" w:color="auto"/>
        <w:bottom w:val="none" w:sz="0" w:space="0" w:color="auto"/>
        <w:right w:val="none" w:sz="0" w:space="0" w:color="auto"/>
      </w:divBdr>
    </w:div>
    <w:div w:id="91560334">
      <w:marLeft w:val="0"/>
      <w:marRight w:val="0"/>
      <w:marTop w:val="0"/>
      <w:marBottom w:val="0"/>
      <w:divBdr>
        <w:top w:val="none" w:sz="0" w:space="0" w:color="auto"/>
        <w:left w:val="none" w:sz="0" w:space="0" w:color="auto"/>
        <w:bottom w:val="none" w:sz="0" w:space="0" w:color="auto"/>
        <w:right w:val="none" w:sz="0" w:space="0" w:color="auto"/>
      </w:divBdr>
    </w:div>
    <w:div w:id="91972797">
      <w:marLeft w:val="0"/>
      <w:marRight w:val="0"/>
      <w:marTop w:val="0"/>
      <w:marBottom w:val="180"/>
      <w:divBdr>
        <w:top w:val="none" w:sz="0" w:space="0" w:color="auto"/>
        <w:left w:val="none" w:sz="0" w:space="0" w:color="auto"/>
        <w:bottom w:val="none" w:sz="0" w:space="0" w:color="auto"/>
        <w:right w:val="none" w:sz="0" w:space="0" w:color="auto"/>
      </w:divBdr>
    </w:div>
    <w:div w:id="92937427">
      <w:marLeft w:val="0"/>
      <w:marRight w:val="0"/>
      <w:marTop w:val="0"/>
      <w:marBottom w:val="240"/>
      <w:divBdr>
        <w:top w:val="none" w:sz="0" w:space="0" w:color="auto"/>
        <w:left w:val="none" w:sz="0" w:space="0" w:color="auto"/>
        <w:bottom w:val="none" w:sz="0" w:space="0" w:color="auto"/>
        <w:right w:val="none" w:sz="0" w:space="0" w:color="auto"/>
      </w:divBdr>
    </w:div>
    <w:div w:id="94600538">
      <w:marLeft w:val="0"/>
      <w:marRight w:val="0"/>
      <w:marTop w:val="180"/>
      <w:marBottom w:val="180"/>
      <w:divBdr>
        <w:top w:val="none" w:sz="0" w:space="0" w:color="auto"/>
        <w:left w:val="none" w:sz="0" w:space="0" w:color="auto"/>
        <w:bottom w:val="none" w:sz="0" w:space="0" w:color="auto"/>
        <w:right w:val="none" w:sz="0" w:space="0" w:color="auto"/>
      </w:divBdr>
    </w:div>
    <w:div w:id="96679501">
      <w:marLeft w:val="0"/>
      <w:marRight w:val="0"/>
      <w:marTop w:val="120"/>
      <w:marBottom w:val="120"/>
      <w:divBdr>
        <w:top w:val="none" w:sz="0" w:space="0" w:color="auto"/>
        <w:left w:val="none" w:sz="0" w:space="0" w:color="auto"/>
        <w:bottom w:val="none" w:sz="0" w:space="0" w:color="auto"/>
        <w:right w:val="none" w:sz="0" w:space="0" w:color="auto"/>
      </w:divBdr>
    </w:div>
    <w:div w:id="97719922">
      <w:marLeft w:val="0"/>
      <w:marRight w:val="0"/>
      <w:marTop w:val="0"/>
      <w:marBottom w:val="0"/>
      <w:divBdr>
        <w:top w:val="none" w:sz="0" w:space="0" w:color="auto"/>
        <w:left w:val="none" w:sz="0" w:space="0" w:color="auto"/>
        <w:bottom w:val="none" w:sz="0" w:space="0" w:color="auto"/>
        <w:right w:val="none" w:sz="0" w:space="0" w:color="auto"/>
      </w:divBdr>
    </w:div>
    <w:div w:id="99449955">
      <w:marLeft w:val="0"/>
      <w:marRight w:val="0"/>
      <w:marTop w:val="0"/>
      <w:marBottom w:val="180"/>
      <w:divBdr>
        <w:top w:val="none" w:sz="0" w:space="0" w:color="auto"/>
        <w:left w:val="none" w:sz="0" w:space="0" w:color="auto"/>
        <w:bottom w:val="none" w:sz="0" w:space="0" w:color="auto"/>
        <w:right w:val="none" w:sz="0" w:space="0" w:color="auto"/>
      </w:divBdr>
    </w:div>
    <w:div w:id="100564641">
      <w:marLeft w:val="0"/>
      <w:marRight w:val="0"/>
      <w:marTop w:val="180"/>
      <w:marBottom w:val="180"/>
      <w:divBdr>
        <w:top w:val="none" w:sz="0" w:space="0" w:color="auto"/>
        <w:left w:val="none" w:sz="0" w:space="0" w:color="auto"/>
        <w:bottom w:val="none" w:sz="0" w:space="0" w:color="auto"/>
        <w:right w:val="none" w:sz="0" w:space="0" w:color="auto"/>
      </w:divBdr>
    </w:div>
    <w:div w:id="101192188">
      <w:marLeft w:val="0"/>
      <w:marRight w:val="0"/>
      <w:marTop w:val="180"/>
      <w:marBottom w:val="180"/>
      <w:divBdr>
        <w:top w:val="none" w:sz="0" w:space="0" w:color="auto"/>
        <w:left w:val="none" w:sz="0" w:space="0" w:color="auto"/>
        <w:bottom w:val="none" w:sz="0" w:space="0" w:color="auto"/>
        <w:right w:val="none" w:sz="0" w:space="0" w:color="auto"/>
      </w:divBdr>
    </w:div>
    <w:div w:id="101728971">
      <w:marLeft w:val="0"/>
      <w:marRight w:val="0"/>
      <w:marTop w:val="180"/>
      <w:marBottom w:val="180"/>
      <w:divBdr>
        <w:top w:val="none" w:sz="0" w:space="0" w:color="auto"/>
        <w:left w:val="none" w:sz="0" w:space="0" w:color="auto"/>
        <w:bottom w:val="none" w:sz="0" w:space="0" w:color="auto"/>
        <w:right w:val="none" w:sz="0" w:space="0" w:color="auto"/>
      </w:divBdr>
    </w:div>
    <w:div w:id="102967697">
      <w:marLeft w:val="0"/>
      <w:marRight w:val="0"/>
      <w:marTop w:val="0"/>
      <w:marBottom w:val="240"/>
      <w:divBdr>
        <w:top w:val="none" w:sz="0" w:space="0" w:color="auto"/>
        <w:left w:val="none" w:sz="0" w:space="0" w:color="auto"/>
        <w:bottom w:val="none" w:sz="0" w:space="0" w:color="auto"/>
        <w:right w:val="none" w:sz="0" w:space="0" w:color="auto"/>
      </w:divBdr>
    </w:div>
    <w:div w:id="106120091">
      <w:marLeft w:val="0"/>
      <w:marRight w:val="0"/>
      <w:marTop w:val="0"/>
      <w:marBottom w:val="0"/>
      <w:divBdr>
        <w:top w:val="none" w:sz="0" w:space="0" w:color="auto"/>
        <w:left w:val="none" w:sz="0" w:space="0" w:color="auto"/>
        <w:bottom w:val="none" w:sz="0" w:space="0" w:color="auto"/>
        <w:right w:val="none" w:sz="0" w:space="0" w:color="auto"/>
      </w:divBdr>
      <w:divsChild>
        <w:div w:id="525683127">
          <w:marLeft w:val="0"/>
          <w:marRight w:val="0"/>
          <w:marTop w:val="0"/>
          <w:marBottom w:val="0"/>
          <w:divBdr>
            <w:top w:val="none" w:sz="0" w:space="0" w:color="auto"/>
            <w:left w:val="none" w:sz="0" w:space="0" w:color="auto"/>
            <w:bottom w:val="none" w:sz="0" w:space="0" w:color="auto"/>
            <w:right w:val="none" w:sz="0" w:space="0" w:color="auto"/>
          </w:divBdr>
        </w:div>
      </w:divsChild>
    </w:div>
    <w:div w:id="107243137">
      <w:marLeft w:val="0"/>
      <w:marRight w:val="0"/>
      <w:marTop w:val="180"/>
      <w:marBottom w:val="180"/>
      <w:divBdr>
        <w:top w:val="none" w:sz="0" w:space="0" w:color="auto"/>
        <w:left w:val="none" w:sz="0" w:space="0" w:color="auto"/>
        <w:bottom w:val="none" w:sz="0" w:space="0" w:color="auto"/>
        <w:right w:val="none" w:sz="0" w:space="0" w:color="auto"/>
      </w:divBdr>
    </w:div>
    <w:div w:id="108665350">
      <w:marLeft w:val="0"/>
      <w:marRight w:val="0"/>
      <w:marTop w:val="0"/>
      <w:marBottom w:val="240"/>
      <w:divBdr>
        <w:top w:val="none" w:sz="0" w:space="0" w:color="auto"/>
        <w:left w:val="none" w:sz="0" w:space="0" w:color="auto"/>
        <w:bottom w:val="none" w:sz="0" w:space="0" w:color="auto"/>
        <w:right w:val="none" w:sz="0" w:space="0" w:color="auto"/>
      </w:divBdr>
    </w:div>
    <w:div w:id="108935220">
      <w:marLeft w:val="0"/>
      <w:marRight w:val="0"/>
      <w:marTop w:val="0"/>
      <w:marBottom w:val="0"/>
      <w:divBdr>
        <w:top w:val="none" w:sz="0" w:space="0" w:color="auto"/>
        <w:left w:val="none" w:sz="0" w:space="0" w:color="auto"/>
        <w:bottom w:val="none" w:sz="0" w:space="0" w:color="auto"/>
        <w:right w:val="none" w:sz="0" w:space="0" w:color="auto"/>
      </w:divBdr>
    </w:div>
    <w:div w:id="111168498">
      <w:marLeft w:val="0"/>
      <w:marRight w:val="0"/>
      <w:marTop w:val="180"/>
      <w:marBottom w:val="180"/>
      <w:divBdr>
        <w:top w:val="none" w:sz="0" w:space="0" w:color="auto"/>
        <w:left w:val="none" w:sz="0" w:space="0" w:color="auto"/>
        <w:bottom w:val="none" w:sz="0" w:space="0" w:color="auto"/>
        <w:right w:val="none" w:sz="0" w:space="0" w:color="auto"/>
      </w:divBdr>
    </w:div>
    <w:div w:id="111827999">
      <w:marLeft w:val="0"/>
      <w:marRight w:val="0"/>
      <w:marTop w:val="100"/>
      <w:marBottom w:val="0"/>
      <w:divBdr>
        <w:top w:val="none" w:sz="0" w:space="0" w:color="auto"/>
        <w:left w:val="none" w:sz="0" w:space="0" w:color="auto"/>
        <w:bottom w:val="none" w:sz="0" w:space="0" w:color="auto"/>
        <w:right w:val="none" w:sz="0" w:space="0" w:color="auto"/>
      </w:divBdr>
    </w:div>
    <w:div w:id="113836567">
      <w:marLeft w:val="0"/>
      <w:marRight w:val="0"/>
      <w:marTop w:val="180"/>
      <w:marBottom w:val="180"/>
      <w:divBdr>
        <w:top w:val="none" w:sz="0" w:space="0" w:color="auto"/>
        <w:left w:val="none" w:sz="0" w:space="0" w:color="auto"/>
        <w:bottom w:val="none" w:sz="0" w:space="0" w:color="auto"/>
        <w:right w:val="none" w:sz="0" w:space="0" w:color="auto"/>
      </w:divBdr>
    </w:div>
    <w:div w:id="114645825">
      <w:marLeft w:val="0"/>
      <w:marRight w:val="0"/>
      <w:marTop w:val="120"/>
      <w:marBottom w:val="120"/>
      <w:divBdr>
        <w:top w:val="none" w:sz="0" w:space="0" w:color="auto"/>
        <w:left w:val="none" w:sz="0" w:space="0" w:color="auto"/>
        <w:bottom w:val="none" w:sz="0" w:space="0" w:color="auto"/>
        <w:right w:val="none" w:sz="0" w:space="0" w:color="auto"/>
      </w:divBdr>
    </w:div>
    <w:div w:id="115411896">
      <w:marLeft w:val="0"/>
      <w:marRight w:val="0"/>
      <w:marTop w:val="180"/>
      <w:marBottom w:val="180"/>
      <w:divBdr>
        <w:top w:val="none" w:sz="0" w:space="0" w:color="auto"/>
        <w:left w:val="none" w:sz="0" w:space="0" w:color="auto"/>
        <w:bottom w:val="none" w:sz="0" w:space="0" w:color="auto"/>
        <w:right w:val="none" w:sz="0" w:space="0" w:color="auto"/>
      </w:divBdr>
    </w:div>
    <w:div w:id="116267907">
      <w:marLeft w:val="0"/>
      <w:marRight w:val="0"/>
      <w:marTop w:val="0"/>
      <w:marBottom w:val="0"/>
      <w:divBdr>
        <w:top w:val="none" w:sz="0" w:space="0" w:color="auto"/>
        <w:left w:val="none" w:sz="0" w:space="0" w:color="auto"/>
        <w:bottom w:val="none" w:sz="0" w:space="0" w:color="auto"/>
        <w:right w:val="none" w:sz="0" w:space="0" w:color="auto"/>
      </w:divBdr>
    </w:div>
    <w:div w:id="116871757">
      <w:marLeft w:val="0"/>
      <w:marRight w:val="0"/>
      <w:marTop w:val="120"/>
      <w:marBottom w:val="120"/>
      <w:divBdr>
        <w:top w:val="none" w:sz="0" w:space="0" w:color="auto"/>
        <w:left w:val="none" w:sz="0" w:space="0" w:color="auto"/>
        <w:bottom w:val="none" w:sz="0" w:space="0" w:color="auto"/>
        <w:right w:val="none" w:sz="0" w:space="0" w:color="auto"/>
      </w:divBdr>
    </w:div>
    <w:div w:id="117451141">
      <w:marLeft w:val="0"/>
      <w:marRight w:val="0"/>
      <w:marTop w:val="0"/>
      <w:marBottom w:val="0"/>
      <w:divBdr>
        <w:top w:val="none" w:sz="0" w:space="0" w:color="auto"/>
        <w:left w:val="none" w:sz="0" w:space="0" w:color="auto"/>
        <w:bottom w:val="none" w:sz="0" w:space="0" w:color="auto"/>
        <w:right w:val="none" w:sz="0" w:space="0" w:color="auto"/>
      </w:divBdr>
    </w:div>
    <w:div w:id="117575082">
      <w:marLeft w:val="0"/>
      <w:marRight w:val="0"/>
      <w:marTop w:val="0"/>
      <w:marBottom w:val="0"/>
      <w:divBdr>
        <w:top w:val="none" w:sz="0" w:space="0" w:color="auto"/>
        <w:left w:val="none" w:sz="0" w:space="0" w:color="auto"/>
        <w:bottom w:val="none" w:sz="0" w:space="0" w:color="auto"/>
        <w:right w:val="none" w:sz="0" w:space="0" w:color="auto"/>
      </w:divBdr>
      <w:divsChild>
        <w:div w:id="57171171">
          <w:marLeft w:val="0"/>
          <w:marRight w:val="0"/>
          <w:marTop w:val="0"/>
          <w:marBottom w:val="0"/>
          <w:divBdr>
            <w:top w:val="none" w:sz="0" w:space="0" w:color="auto"/>
            <w:left w:val="none" w:sz="0" w:space="0" w:color="auto"/>
            <w:bottom w:val="none" w:sz="0" w:space="0" w:color="auto"/>
            <w:right w:val="none" w:sz="0" w:space="0" w:color="auto"/>
          </w:divBdr>
        </w:div>
      </w:divsChild>
    </w:div>
    <w:div w:id="124323204">
      <w:marLeft w:val="0"/>
      <w:marRight w:val="0"/>
      <w:marTop w:val="0"/>
      <w:marBottom w:val="240"/>
      <w:divBdr>
        <w:top w:val="none" w:sz="0" w:space="0" w:color="auto"/>
        <w:left w:val="none" w:sz="0" w:space="0" w:color="auto"/>
        <w:bottom w:val="none" w:sz="0" w:space="0" w:color="auto"/>
        <w:right w:val="none" w:sz="0" w:space="0" w:color="auto"/>
      </w:divBdr>
    </w:div>
    <w:div w:id="127285243">
      <w:marLeft w:val="0"/>
      <w:marRight w:val="0"/>
      <w:marTop w:val="100"/>
      <w:marBottom w:val="0"/>
      <w:divBdr>
        <w:top w:val="none" w:sz="0" w:space="0" w:color="auto"/>
        <w:left w:val="none" w:sz="0" w:space="0" w:color="auto"/>
        <w:bottom w:val="none" w:sz="0" w:space="0" w:color="auto"/>
        <w:right w:val="none" w:sz="0" w:space="0" w:color="auto"/>
      </w:divBdr>
    </w:div>
    <w:div w:id="127355504">
      <w:marLeft w:val="0"/>
      <w:marRight w:val="0"/>
      <w:marTop w:val="180"/>
      <w:marBottom w:val="180"/>
      <w:divBdr>
        <w:top w:val="none" w:sz="0" w:space="0" w:color="auto"/>
        <w:left w:val="none" w:sz="0" w:space="0" w:color="auto"/>
        <w:bottom w:val="none" w:sz="0" w:space="0" w:color="auto"/>
        <w:right w:val="none" w:sz="0" w:space="0" w:color="auto"/>
      </w:divBdr>
    </w:div>
    <w:div w:id="127751061">
      <w:marLeft w:val="0"/>
      <w:marRight w:val="0"/>
      <w:marTop w:val="0"/>
      <w:marBottom w:val="0"/>
      <w:divBdr>
        <w:top w:val="none" w:sz="0" w:space="0" w:color="auto"/>
        <w:left w:val="none" w:sz="0" w:space="0" w:color="auto"/>
        <w:bottom w:val="none" w:sz="0" w:space="0" w:color="auto"/>
        <w:right w:val="none" w:sz="0" w:space="0" w:color="auto"/>
      </w:divBdr>
    </w:div>
    <w:div w:id="128282704">
      <w:marLeft w:val="0"/>
      <w:marRight w:val="0"/>
      <w:marTop w:val="0"/>
      <w:marBottom w:val="240"/>
      <w:divBdr>
        <w:top w:val="none" w:sz="0" w:space="0" w:color="auto"/>
        <w:left w:val="none" w:sz="0" w:space="0" w:color="auto"/>
        <w:bottom w:val="none" w:sz="0" w:space="0" w:color="auto"/>
        <w:right w:val="none" w:sz="0" w:space="0" w:color="auto"/>
      </w:divBdr>
    </w:div>
    <w:div w:id="129711591">
      <w:marLeft w:val="0"/>
      <w:marRight w:val="0"/>
      <w:marTop w:val="0"/>
      <w:marBottom w:val="0"/>
      <w:divBdr>
        <w:top w:val="none" w:sz="0" w:space="0" w:color="auto"/>
        <w:left w:val="none" w:sz="0" w:space="0" w:color="auto"/>
        <w:bottom w:val="none" w:sz="0" w:space="0" w:color="auto"/>
        <w:right w:val="none" w:sz="0" w:space="0" w:color="auto"/>
      </w:divBdr>
      <w:divsChild>
        <w:div w:id="334192553">
          <w:marLeft w:val="0"/>
          <w:marRight w:val="0"/>
          <w:marTop w:val="0"/>
          <w:marBottom w:val="0"/>
          <w:divBdr>
            <w:top w:val="none" w:sz="0" w:space="0" w:color="auto"/>
            <w:left w:val="none" w:sz="0" w:space="0" w:color="auto"/>
            <w:bottom w:val="none" w:sz="0" w:space="0" w:color="auto"/>
            <w:right w:val="none" w:sz="0" w:space="0" w:color="auto"/>
          </w:divBdr>
        </w:div>
      </w:divsChild>
    </w:div>
    <w:div w:id="136070172">
      <w:marLeft w:val="0"/>
      <w:marRight w:val="0"/>
      <w:marTop w:val="180"/>
      <w:marBottom w:val="180"/>
      <w:divBdr>
        <w:top w:val="none" w:sz="0" w:space="0" w:color="auto"/>
        <w:left w:val="none" w:sz="0" w:space="0" w:color="auto"/>
        <w:bottom w:val="none" w:sz="0" w:space="0" w:color="auto"/>
        <w:right w:val="none" w:sz="0" w:space="0" w:color="auto"/>
      </w:divBdr>
    </w:div>
    <w:div w:id="136538187">
      <w:marLeft w:val="0"/>
      <w:marRight w:val="0"/>
      <w:marTop w:val="0"/>
      <w:marBottom w:val="240"/>
      <w:divBdr>
        <w:top w:val="none" w:sz="0" w:space="0" w:color="auto"/>
        <w:left w:val="none" w:sz="0" w:space="0" w:color="auto"/>
        <w:bottom w:val="none" w:sz="0" w:space="0" w:color="auto"/>
        <w:right w:val="none" w:sz="0" w:space="0" w:color="auto"/>
      </w:divBdr>
    </w:div>
    <w:div w:id="141392225">
      <w:marLeft w:val="0"/>
      <w:marRight w:val="0"/>
      <w:marTop w:val="0"/>
      <w:marBottom w:val="240"/>
      <w:divBdr>
        <w:top w:val="none" w:sz="0" w:space="0" w:color="auto"/>
        <w:left w:val="none" w:sz="0" w:space="0" w:color="auto"/>
        <w:bottom w:val="none" w:sz="0" w:space="0" w:color="auto"/>
        <w:right w:val="none" w:sz="0" w:space="0" w:color="auto"/>
      </w:divBdr>
    </w:div>
    <w:div w:id="141434137">
      <w:marLeft w:val="0"/>
      <w:marRight w:val="0"/>
      <w:marTop w:val="180"/>
      <w:marBottom w:val="180"/>
      <w:divBdr>
        <w:top w:val="none" w:sz="0" w:space="0" w:color="auto"/>
        <w:left w:val="none" w:sz="0" w:space="0" w:color="auto"/>
        <w:bottom w:val="none" w:sz="0" w:space="0" w:color="auto"/>
        <w:right w:val="none" w:sz="0" w:space="0" w:color="auto"/>
      </w:divBdr>
    </w:div>
    <w:div w:id="141970385">
      <w:marLeft w:val="0"/>
      <w:marRight w:val="0"/>
      <w:marTop w:val="0"/>
      <w:marBottom w:val="0"/>
      <w:divBdr>
        <w:top w:val="none" w:sz="0" w:space="0" w:color="auto"/>
        <w:left w:val="none" w:sz="0" w:space="0" w:color="auto"/>
        <w:bottom w:val="none" w:sz="0" w:space="0" w:color="auto"/>
        <w:right w:val="none" w:sz="0" w:space="0" w:color="auto"/>
      </w:divBdr>
      <w:divsChild>
        <w:div w:id="1849061150">
          <w:marLeft w:val="0"/>
          <w:marRight w:val="0"/>
          <w:marTop w:val="0"/>
          <w:marBottom w:val="0"/>
          <w:divBdr>
            <w:top w:val="none" w:sz="0" w:space="0" w:color="auto"/>
            <w:left w:val="none" w:sz="0" w:space="0" w:color="auto"/>
            <w:bottom w:val="none" w:sz="0" w:space="0" w:color="auto"/>
            <w:right w:val="none" w:sz="0" w:space="0" w:color="auto"/>
          </w:divBdr>
        </w:div>
      </w:divsChild>
    </w:div>
    <w:div w:id="143816607">
      <w:marLeft w:val="0"/>
      <w:marRight w:val="0"/>
      <w:marTop w:val="0"/>
      <w:marBottom w:val="180"/>
      <w:divBdr>
        <w:top w:val="none" w:sz="0" w:space="0" w:color="auto"/>
        <w:left w:val="none" w:sz="0" w:space="0" w:color="auto"/>
        <w:bottom w:val="none" w:sz="0" w:space="0" w:color="auto"/>
        <w:right w:val="none" w:sz="0" w:space="0" w:color="auto"/>
      </w:divBdr>
    </w:div>
    <w:div w:id="145780260">
      <w:marLeft w:val="0"/>
      <w:marRight w:val="0"/>
      <w:marTop w:val="0"/>
      <w:marBottom w:val="0"/>
      <w:divBdr>
        <w:top w:val="none" w:sz="0" w:space="0" w:color="auto"/>
        <w:left w:val="none" w:sz="0" w:space="0" w:color="auto"/>
        <w:bottom w:val="none" w:sz="0" w:space="0" w:color="auto"/>
        <w:right w:val="none" w:sz="0" w:space="0" w:color="auto"/>
      </w:divBdr>
      <w:divsChild>
        <w:div w:id="624848584">
          <w:marLeft w:val="0"/>
          <w:marRight w:val="0"/>
          <w:marTop w:val="0"/>
          <w:marBottom w:val="0"/>
          <w:divBdr>
            <w:top w:val="none" w:sz="0" w:space="0" w:color="auto"/>
            <w:left w:val="none" w:sz="0" w:space="0" w:color="auto"/>
            <w:bottom w:val="none" w:sz="0" w:space="0" w:color="auto"/>
            <w:right w:val="none" w:sz="0" w:space="0" w:color="auto"/>
          </w:divBdr>
        </w:div>
      </w:divsChild>
    </w:div>
    <w:div w:id="146287010">
      <w:marLeft w:val="0"/>
      <w:marRight w:val="0"/>
      <w:marTop w:val="0"/>
      <w:marBottom w:val="180"/>
      <w:divBdr>
        <w:top w:val="none" w:sz="0" w:space="0" w:color="auto"/>
        <w:left w:val="none" w:sz="0" w:space="0" w:color="auto"/>
        <w:bottom w:val="none" w:sz="0" w:space="0" w:color="auto"/>
        <w:right w:val="none" w:sz="0" w:space="0" w:color="auto"/>
      </w:divBdr>
    </w:div>
    <w:div w:id="147593194">
      <w:marLeft w:val="0"/>
      <w:marRight w:val="0"/>
      <w:marTop w:val="0"/>
      <w:marBottom w:val="180"/>
      <w:divBdr>
        <w:top w:val="none" w:sz="0" w:space="0" w:color="auto"/>
        <w:left w:val="none" w:sz="0" w:space="0" w:color="auto"/>
        <w:bottom w:val="none" w:sz="0" w:space="0" w:color="auto"/>
        <w:right w:val="none" w:sz="0" w:space="0" w:color="auto"/>
      </w:divBdr>
    </w:div>
    <w:div w:id="148131331">
      <w:marLeft w:val="0"/>
      <w:marRight w:val="0"/>
      <w:marTop w:val="180"/>
      <w:marBottom w:val="180"/>
      <w:divBdr>
        <w:top w:val="none" w:sz="0" w:space="0" w:color="auto"/>
        <w:left w:val="none" w:sz="0" w:space="0" w:color="auto"/>
        <w:bottom w:val="none" w:sz="0" w:space="0" w:color="auto"/>
        <w:right w:val="none" w:sz="0" w:space="0" w:color="auto"/>
      </w:divBdr>
    </w:div>
    <w:div w:id="148252908">
      <w:marLeft w:val="0"/>
      <w:marRight w:val="0"/>
      <w:marTop w:val="0"/>
      <w:marBottom w:val="0"/>
      <w:divBdr>
        <w:top w:val="none" w:sz="0" w:space="0" w:color="auto"/>
        <w:left w:val="none" w:sz="0" w:space="0" w:color="auto"/>
        <w:bottom w:val="none" w:sz="0" w:space="0" w:color="auto"/>
        <w:right w:val="none" w:sz="0" w:space="0" w:color="auto"/>
      </w:divBdr>
    </w:div>
    <w:div w:id="148256158">
      <w:marLeft w:val="0"/>
      <w:marRight w:val="0"/>
      <w:marTop w:val="0"/>
      <w:marBottom w:val="0"/>
      <w:divBdr>
        <w:top w:val="none" w:sz="0" w:space="0" w:color="auto"/>
        <w:left w:val="none" w:sz="0" w:space="0" w:color="auto"/>
        <w:bottom w:val="none" w:sz="0" w:space="0" w:color="auto"/>
        <w:right w:val="none" w:sz="0" w:space="0" w:color="auto"/>
      </w:divBdr>
    </w:div>
    <w:div w:id="148906502">
      <w:marLeft w:val="0"/>
      <w:marRight w:val="0"/>
      <w:marTop w:val="0"/>
      <w:marBottom w:val="0"/>
      <w:divBdr>
        <w:top w:val="none" w:sz="0" w:space="0" w:color="auto"/>
        <w:left w:val="none" w:sz="0" w:space="0" w:color="auto"/>
        <w:bottom w:val="none" w:sz="0" w:space="0" w:color="auto"/>
        <w:right w:val="none" w:sz="0" w:space="0" w:color="auto"/>
      </w:divBdr>
    </w:div>
    <w:div w:id="151681139">
      <w:marLeft w:val="0"/>
      <w:marRight w:val="0"/>
      <w:marTop w:val="0"/>
      <w:marBottom w:val="0"/>
      <w:divBdr>
        <w:top w:val="none" w:sz="0" w:space="0" w:color="auto"/>
        <w:left w:val="none" w:sz="0" w:space="0" w:color="auto"/>
        <w:bottom w:val="none" w:sz="0" w:space="0" w:color="auto"/>
        <w:right w:val="none" w:sz="0" w:space="0" w:color="auto"/>
      </w:divBdr>
      <w:divsChild>
        <w:div w:id="460735530">
          <w:marLeft w:val="0"/>
          <w:marRight w:val="0"/>
          <w:marTop w:val="0"/>
          <w:marBottom w:val="0"/>
          <w:divBdr>
            <w:top w:val="none" w:sz="0" w:space="0" w:color="auto"/>
            <w:left w:val="none" w:sz="0" w:space="0" w:color="auto"/>
            <w:bottom w:val="none" w:sz="0" w:space="0" w:color="auto"/>
            <w:right w:val="none" w:sz="0" w:space="0" w:color="auto"/>
          </w:divBdr>
        </w:div>
      </w:divsChild>
    </w:div>
    <w:div w:id="151794786">
      <w:marLeft w:val="0"/>
      <w:marRight w:val="0"/>
      <w:marTop w:val="0"/>
      <w:marBottom w:val="180"/>
      <w:divBdr>
        <w:top w:val="none" w:sz="0" w:space="0" w:color="auto"/>
        <w:left w:val="none" w:sz="0" w:space="0" w:color="auto"/>
        <w:bottom w:val="none" w:sz="0" w:space="0" w:color="auto"/>
        <w:right w:val="none" w:sz="0" w:space="0" w:color="auto"/>
      </w:divBdr>
    </w:div>
    <w:div w:id="152063622">
      <w:marLeft w:val="0"/>
      <w:marRight w:val="0"/>
      <w:marTop w:val="0"/>
      <w:marBottom w:val="180"/>
      <w:divBdr>
        <w:top w:val="none" w:sz="0" w:space="0" w:color="auto"/>
        <w:left w:val="none" w:sz="0" w:space="0" w:color="auto"/>
        <w:bottom w:val="none" w:sz="0" w:space="0" w:color="auto"/>
        <w:right w:val="none" w:sz="0" w:space="0" w:color="auto"/>
      </w:divBdr>
    </w:div>
    <w:div w:id="152071408">
      <w:marLeft w:val="0"/>
      <w:marRight w:val="0"/>
      <w:marTop w:val="0"/>
      <w:marBottom w:val="0"/>
      <w:divBdr>
        <w:top w:val="none" w:sz="0" w:space="0" w:color="auto"/>
        <w:left w:val="none" w:sz="0" w:space="0" w:color="auto"/>
        <w:bottom w:val="none" w:sz="0" w:space="0" w:color="auto"/>
        <w:right w:val="none" w:sz="0" w:space="0" w:color="auto"/>
      </w:divBdr>
    </w:div>
    <w:div w:id="153381155">
      <w:marLeft w:val="0"/>
      <w:marRight w:val="0"/>
      <w:marTop w:val="0"/>
      <w:marBottom w:val="0"/>
      <w:divBdr>
        <w:top w:val="none" w:sz="0" w:space="0" w:color="auto"/>
        <w:left w:val="none" w:sz="0" w:space="0" w:color="auto"/>
        <w:bottom w:val="none" w:sz="0" w:space="0" w:color="auto"/>
        <w:right w:val="none" w:sz="0" w:space="0" w:color="auto"/>
      </w:divBdr>
      <w:divsChild>
        <w:div w:id="736440280">
          <w:marLeft w:val="0"/>
          <w:marRight w:val="0"/>
          <w:marTop w:val="0"/>
          <w:marBottom w:val="0"/>
          <w:divBdr>
            <w:top w:val="none" w:sz="0" w:space="0" w:color="auto"/>
            <w:left w:val="none" w:sz="0" w:space="0" w:color="auto"/>
            <w:bottom w:val="none" w:sz="0" w:space="0" w:color="auto"/>
            <w:right w:val="none" w:sz="0" w:space="0" w:color="auto"/>
          </w:divBdr>
        </w:div>
      </w:divsChild>
    </w:div>
    <w:div w:id="154146798">
      <w:marLeft w:val="0"/>
      <w:marRight w:val="0"/>
      <w:marTop w:val="120"/>
      <w:marBottom w:val="120"/>
      <w:divBdr>
        <w:top w:val="none" w:sz="0" w:space="0" w:color="auto"/>
        <w:left w:val="none" w:sz="0" w:space="0" w:color="auto"/>
        <w:bottom w:val="none" w:sz="0" w:space="0" w:color="auto"/>
        <w:right w:val="none" w:sz="0" w:space="0" w:color="auto"/>
      </w:divBdr>
    </w:div>
    <w:div w:id="154760954">
      <w:marLeft w:val="0"/>
      <w:marRight w:val="0"/>
      <w:marTop w:val="120"/>
      <w:marBottom w:val="120"/>
      <w:divBdr>
        <w:top w:val="none" w:sz="0" w:space="0" w:color="auto"/>
        <w:left w:val="none" w:sz="0" w:space="0" w:color="auto"/>
        <w:bottom w:val="none" w:sz="0" w:space="0" w:color="auto"/>
        <w:right w:val="none" w:sz="0" w:space="0" w:color="auto"/>
      </w:divBdr>
    </w:div>
    <w:div w:id="155418242">
      <w:marLeft w:val="0"/>
      <w:marRight w:val="0"/>
      <w:marTop w:val="0"/>
      <w:marBottom w:val="0"/>
      <w:divBdr>
        <w:top w:val="none" w:sz="0" w:space="0" w:color="auto"/>
        <w:left w:val="none" w:sz="0" w:space="0" w:color="auto"/>
        <w:bottom w:val="none" w:sz="0" w:space="0" w:color="auto"/>
        <w:right w:val="none" w:sz="0" w:space="0" w:color="auto"/>
      </w:divBdr>
      <w:divsChild>
        <w:div w:id="443185044">
          <w:marLeft w:val="0"/>
          <w:marRight w:val="0"/>
          <w:marTop w:val="0"/>
          <w:marBottom w:val="0"/>
          <w:divBdr>
            <w:top w:val="none" w:sz="0" w:space="0" w:color="auto"/>
            <w:left w:val="none" w:sz="0" w:space="0" w:color="auto"/>
            <w:bottom w:val="none" w:sz="0" w:space="0" w:color="auto"/>
            <w:right w:val="none" w:sz="0" w:space="0" w:color="auto"/>
          </w:divBdr>
        </w:div>
      </w:divsChild>
    </w:div>
    <w:div w:id="155729856">
      <w:marLeft w:val="0"/>
      <w:marRight w:val="0"/>
      <w:marTop w:val="0"/>
      <w:marBottom w:val="0"/>
      <w:divBdr>
        <w:top w:val="none" w:sz="0" w:space="0" w:color="auto"/>
        <w:left w:val="none" w:sz="0" w:space="0" w:color="auto"/>
        <w:bottom w:val="none" w:sz="0" w:space="0" w:color="auto"/>
        <w:right w:val="none" w:sz="0" w:space="0" w:color="auto"/>
      </w:divBdr>
    </w:div>
    <w:div w:id="156382992">
      <w:marLeft w:val="0"/>
      <w:marRight w:val="0"/>
      <w:marTop w:val="0"/>
      <w:marBottom w:val="240"/>
      <w:divBdr>
        <w:top w:val="none" w:sz="0" w:space="0" w:color="auto"/>
        <w:left w:val="none" w:sz="0" w:space="0" w:color="auto"/>
        <w:bottom w:val="none" w:sz="0" w:space="0" w:color="auto"/>
        <w:right w:val="none" w:sz="0" w:space="0" w:color="auto"/>
      </w:divBdr>
    </w:div>
    <w:div w:id="156725914">
      <w:marLeft w:val="0"/>
      <w:marRight w:val="0"/>
      <w:marTop w:val="60"/>
      <w:marBottom w:val="240"/>
      <w:divBdr>
        <w:top w:val="none" w:sz="0" w:space="0" w:color="auto"/>
        <w:left w:val="none" w:sz="0" w:space="0" w:color="auto"/>
        <w:bottom w:val="none" w:sz="0" w:space="0" w:color="auto"/>
        <w:right w:val="none" w:sz="0" w:space="0" w:color="auto"/>
      </w:divBdr>
    </w:div>
    <w:div w:id="157035894">
      <w:marLeft w:val="0"/>
      <w:marRight w:val="0"/>
      <w:marTop w:val="100"/>
      <w:marBottom w:val="0"/>
      <w:divBdr>
        <w:top w:val="none" w:sz="0" w:space="0" w:color="auto"/>
        <w:left w:val="none" w:sz="0" w:space="0" w:color="auto"/>
        <w:bottom w:val="none" w:sz="0" w:space="0" w:color="auto"/>
        <w:right w:val="none" w:sz="0" w:space="0" w:color="auto"/>
      </w:divBdr>
    </w:div>
    <w:div w:id="158429768">
      <w:marLeft w:val="0"/>
      <w:marRight w:val="0"/>
      <w:marTop w:val="0"/>
      <w:marBottom w:val="0"/>
      <w:divBdr>
        <w:top w:val="none" w:sz="0" w:space="0" w:color="auto"/>
        <w:left w:val="none" w:sz="0" w:space="0" w:color="auto"/>
        <w:bottom w:val="none" w:sz="0" w:space="0" w:color="auto"/>
        <w:right w:val="none" w:sz="0" w:space="0" w:color="auto"/>
      </w:divBdr>
    </w:div>
    <w:div w:id="160700815">
      <w:marLeft w:val="0"/>
      <w:marRight w:val="0"/>
      <w:marTop w:val="240"/>
      <w:marBottom w:val="240"/>
      <w:divBdr>
        <w:top w:val="none" w:sz="0" w:space="0" w:color="auto"/>
        <w:left w:val="none" w:sz="0" w:space="0" w:color="auto"/>
        <w:bottom w:val="none" w:sz="0" w:space="0" w:color="auto"/>
        <w:right w:val="none" w:sz="0" w:space="0" w:color="auto"/>
      </w:divBdr>
    </w:div>
    <w:div w:id="161745136">
      <w:marLeft w:val="0"/>
      <w:marRight w:val="0"/>
      <w:marTop w:val="0"/>
      <w:marBottom w:val="0"/>
      <w:divBdr>
        <w:top w:val="none" w:sz="0" w:space="0" w:color="auto"/>
        <w:left w:val="none" w:sz="0" w:space="0" w:color="auto"/>
        <w:bottom w:val="none" w:sz="0" w:space="0" w:color="auto"/>
        <w:right w:val="none" w:sz="0" w:space="0" w:color="auto"/>
      </w:divBdr>
    </w:div>
    <w:div w:id="163667744">
      <w:marLeft w:val="0"/>
      <w:marRight w:val="0"/>
      <w:marTop w:val="0"/>
      <w:marBottom w:val="240"/>
      <w:divBdr>
        <w:top w:val="none" w:sz="0" w:space="0" w:color="auto"/>
        <w:left w:val="none" w:sz="0" w:space="0" w:color="auto"/>
        <w:bottom w:val="none" w:sz="0" w:space="0" w:color="auto"/>
        <w:right w:val="none" w:sz="0" w:space="0" w:color="auto"/>
      </w:divBdr>
    </w:div>
    <w:div w:id="164630997">
      <w:marLeft w:val="0"/>
      <w:marRight w:val="0"/>
      <w:marTop w:val="0"/>
      <w:marBottom w:val="240"/>
      <w:divBdr>
        <w:top w:val="none" w:sz="0" w:space="0" w:color="auto"/>
        <w:left w:val="none" w:sz="0" w:space="0" w:color="auto"/>
        <w:bottom w:val="none" w:sz="0" w:space="0" w:color="auto"/>
        <w:right w:val="none" w:sz="0" w:space="0" w:color="auto"/>
      </w:divBdr>
    </w:div>
    <w:div w:id="164982040">
      <w:marLeft w:val="0"/>
      <w:marRight w:val="0"/>
      <w:marTop w:val="0"/>
      <w:marBottom w:val="0"/>
      <w:divBdr>
        <w:top w:val="none" w:sz="0" w:space="0" w:color="auto"/>
        <w:left w:val="none" w:sz="0" w:space="0" w:color="auto"/>
        <w:bottom w:val="none" w:sz="0" w:space="0" w:color="auto"/>
        <w:right w:val="none" w:sz="0" w:space="0" w:color="auto"/>
      </w:divBdr>
      <w:divsChild>
        <w:div w:id="232281771">
          <w:marLeft w:val="0"/>
          <w:marRight w:val="0"/>
          <w:marTop w:val="0"/>
          <w:marBottom w:val="0"/>
          <w:divBdr>
            <w:top w:val="none" w:sz="0" w:space="0" w:color="auto"/>
            <w:left w:val="none" w:sz="0" w:space="0" w:color="auto"/>
            <w:bottom w:val="none" w:sz="0" w:space="0" w:color="auto"/>
            <w:right w:val="none" w:sz="0" w:space="0" w:color="auto"/>
          </w:divBdr>
        </w:div>
      </w:divsChild>
    </w:div>
    <w:div w:id="168300939">
      <w:marLeft w:val="0"/>
      <w:marRight w:val="0"/>
      <w:marTop w:val="180"/>
      <w:marBottom w:val="180"/>
      <w:divBdr>
        <w:top w:val="none" w:sz="0" w:space="0" w:color="auto"/>
        <w:left w:val="none" w:sz="0" w:space="0" w:color="auto"/>
        <w:bottom w:val="none" w:sz="0" w:space="0" w:color="auto"/>
        <w:right w:val="none" w:sz="0" w:space="0" w:color="auto"/>
      </w:divBdr>
    </w:div>
    <w:div w:id="168910878">
      <w:marLeft w:val="0"/>
      <w:marRight w:val="0"/>
      <w:marTop w:val="120"/>
      <w:marBottom w:val="240"/>
      <w:divBdr>
        <w:top w:val="none" w:sz="0" w:space="0" w:color="auto"/>
        <w:left w:val="none" w:sz="0" w:space="0" w:color="auto"/>
        <w:bottom w:val="none" w:sz="0" w:space="0" w:color="auto"/>
        <w:right w:val="none" w:sz="0" w:space="0" w:color="auto"/>
      </w:divBdr>
    </w:div>
    <w:div w:id="171923025">
      <w:marLeft w:val="0"/>
      <w:marRight w:val="0"/>
      <w:marTop w:val="0"/>
      <w:marBottom w:val="0"/>
      <w:divBdr>
        <w:top w:val="none" w:sz="0" w:space="0" w:color="auto"/>
        <w:left w:val="none" w:sz="0" w:space="0" w:color="auto"/>
        <w:bottom w:val="none" w:sz="0" w:space="0" w:color="auto"/>
        <w:right w:val="none" w:sz="0" w:space="0" w:color="auto"/>
      </w:divBdr>
      <w:divsChild>
        <w:div w:id="511408907">
          <w:marLeft w:val="0"/>
          <w:marRight w:val="0"/>
          <w:marTop w:val="0"/>
          <w:marBottom w:val="0"/>
          <w:divBdr>
            <w:top w:val="none" w:sz="0" w:space="0" w:color="auto"/>
            <w:left w:val="none" w:sz="0" w:space="0" w:color="auto"/>
            <w:bottom w:val="none" w:sz="0" w:space="0" w:color="auto"/>
            <w:right w:val="none" w:sz="0" w:space="0" w:color="auto"/>
          </w:divBdr>
        </w:div>
      </w:divsChild>
    </w:div>
    <w:div w:id="172040451">
      <w:marLeft w:val="0"/>
      <w:marRight w:val="0"/>
      <w:marTop w:val="0"/>
      <w:marBottom w:val="0"/>
      <w:divBdr>
        <w:top w:val="none" w:sz="0" w:space="0" w:color="auto"/>
        <w:left w:val="none" w:sz="0" w:space="0" w:color="auto"/>
        <w:bottom w:val="none" w:sz="0" w:space="0" w:color="auto"/>
        <w:right w:val="none" w:sz="0" w:space="0" w:color="auto"/>
      </w:divBdr>
      <w:divsChild>
        <w:div w:id="1809665350">
          <w:marLeft w:val="0"/>
          <w:marRight w:val="0"/>
          <w:marTop w:val="0"/>
          <w:marBottom w:val="0"/>
          <w:divBdr>
            <w:top w:val="none" w:sz="0" w:space="0" w:color="auto"/>
            <w:left w:val="none" w:sz="0" w:space="0" w:color="auto"/>
            <w:bottom w:val="none" w:sz="0" w:space="0" w:color="auto"/>
            <w:right w:val="none" w:sz="0" w:space="0" w:color="auto"/>
          </w:divBdr>
        </w:div>
      </w:divsChild>
    </w:div>
    <w:div w:id="174655119">
      <w:marLeft w:val="0"/>
      <w:marRight w:val="0"/>
      <w:marTop w:val="100"/>
      <w:marBottom w:val="240"/>
      <w:divBdr>
        <w:top w:val="none" w:sz="0" w:space="0" w:color="auto"/>
        <w:left w:val="none" w:sz="0" w:space="0" w:color="auto"/>
        <w:bottom w:val="none" w:sz="0" w:space="0" w:color="auto"/>
        <w:right w:val="none" w:sz="0" w:space="0" w:color="auto"/>
      </w:divBdr>
    </w:div>
    <w:div w:id="175196651">
      <w:marLeft w:val="0"/>
      <w:marRight w:val="0"/>
      <w:marTop w:val="0"/>
      <w:marBottom w:val="180"/>
      <w:divBdr>
        <w:top w:val="none" w:sz="0" w:space="0" w:color="auto"/>
        <w:left w:val="none" w:sz="0" w:space="0" w:color="auto"/>
        <w:bottom w:val="none" w:sz="0" w:space="0" w:color="auto"/>
        <w:right w:val="none" w:sz="0" w:space="0" w:color="auto"/>
      </w:divBdr>
    </w:div>
    <w:div w:id="177543208">
      <w:marLeft w:val="0"/>
      <w:marRight w:val="0"/>
      <w:marTop w:val="0"/>
      <w:marBottom w:val="0"/>
      <w:divBdr>
        <w:top w:val="none" w:sz="0" w:space="0" w:color="auto"/>
        <w:left w:val="none" w:sz="0" w:space="0" w:color="auto"/>
        <w:bottom w:val="none" w:sz="0" w:space="0" w:color="auto"/>
        <w:right w:val="none" w:sz="0" w:space="0" w:color="auto"/>
      </w:divBdr>
      <w:divsChild>
        <w:div w:id="132144375">
          <w:marLeft w:val="0"/>
          <w:marRight w:val="0"/>
          <w:marTop w:val="0"/>
          <w:marBottom w:val="0"/>
          <w:divBdr>
            <w:top w:val="none" w:sz="0" w:space="0" w:color="auto"/>
            <w:left w:val="none" w:sz="0" w:space="0" w:color="auto"/>
            <w:bottom w:val="none" w:sz="0" w:space="0" w:color="auto"/>
            <w:right w:val="none" w:sz="0" w:space="0" w:color="auto"/>
          </w:divBdr>
        </w:div>
      </w:divsChild>
    </w:div>
    <w:div w:id="179782657">
      <w:marLeft w:val="0"/>
      <w:marRight w:val="0"/>
      <w:marTop w:val="120"/>
      <w:marBottom w:val="120"/>
      <w:divBdr>
        <w:top w:val="none" w:sz="0" w:space="0" w:color="auto"/>
        <w:left w:val="none" w:sz="0" w:space="0" w:color="auto"/>
        <w:bottom w:val="none" w:sz="0" w:space="0" w:color="auto"/>
        <w:right w:val="none" w:sz="0" w:space="0" w:color="auto"/>
      </w:divBdr>
    </w:div>
    <w:div w:id="180121629">
      <w:marLeft w:val="0"/>
      <w:marRight w:val="0"/>
      <w:marTop w:val="180"/>
      <w:marBottom w:val="180"/>
      <w:divBdr>
        <w:top w:val="none" w:sz="0" w:space="0" w:color="auto"/>
        <w:left w:val="none" w:sz="0" w:space="0" w:color="auto"/>
        <w:bottom w:val="none" w:sz="0" w:space="0" w:color="auto"/>
        <w:right w:val="none" w:sz="0" w:space="0" w:color="auto"/>
      </w:divBdr>
    </w:div>
    <w:div w:id="180248374">
      <w:marLeft w:val="0"/>
      <w:marRight w:val="0"/>
      <w:marTop w:val="0"/>
      <w:marBottom w:val="0"/>
      <w:divBdr>
        <w:top w:val="none" w:sz="0" w:space="0" w:color="auto"/>
        <w:left w:val="none" w:sz="0" w:space="0" w:color="auto"/>
        <w:bottom w:val="none" w:sz="0" w:space="0" w:color="auto"/>
        <w:right w:val="none" w:sz="0" w:space="0" w:color="auto"/>
      </w:divBdr>
      <w:divsChild>
        <w:div w:id="1748191971">
          <w:marLeft w:val="0"/>
          <w:marRight w:val="0"/>
          <w:marTop w:val="0"/>
          <w:marBottom w:val="0"/>
          <w:divBdr>
            <w:top w:val="none" w:sz="0" w:space="0" w:color="auto"/>
            <w:left w:val="none" w:sz="0" w:space="0" w:color="auto"/>
            <w:bottom w:val="none" w:sz="0" w:space="0" w:color="auto"/>
            <w:right w:val="none" w:sz="0" w:space="0" w:color="auto"/>
          </w:divBdr>
        </w:div>
      </w:divsChild>
    </w:div>
    <w:div w:id="182598623">
      <w:marLeft w:val="0"/>
      <w:marRight w:val="0"/>
      <w:marTop w:val="0"/>
      <w:marBottom w:val="0"/>
      <w:divBdr>
        <w:top w:val="none" w:sz="0" w:space="0" w:color="auto"/>
        <w:left w:val="none" w:sz="0" w:space="0" w:color="auto"/>
        <w:bottom w:val="none" w:sz="0" w:space="0" w:color="auto"/>
        <w:right w:val="none" w:sz="0" w:space="0" w:color="auto"/>
      </w:divBdr>
    </w:div>
    <w:div w:id="187525664">
      <w:marLeft w:val="0"/>
      <w:marRight w:val="0"/>
      <w:marTop w:val="0"/>
      <w:marBottom w:val="240"/>
      <w:divBdr>
        <w:top w:val="none" w:sz="0" w:space="0" w:color="auto"/>
        <w:left w:val="none" w:sz="0" w:space="0" w:color="auto"/>
        <w:bottom w:val="none" w:sz="0" w:space="0" w:color="auto"/>
        <w:right w:val="none" w:sz="0" w:space="0" w:color="auto"/>
      </w:divBdr>
    </w:div>
    <w:div w:id="189994656">
      <w:marLeft w:val="0"/>
      <w:marRight w:val="0"/>
      <w:marTop w:val="0"/>
      <w:marBottom w:val="240"/>
      <w:divBdr>
        <w:top w:val="none" w:sz="0" w:space="0" w:color="auto"/>
        <w:left w:val="none" w:sz="0" w:space="0" w:color="auto"/>
        <w:bottom w:val="none" w:sz="0" w:space="0" w:color="auto"/>
        <w:right w:val="none" w:sz="0" w:space="0" w:color="auto"/>
      </w:divBdr>
    </w:div>
    <w:div w:id="190651376">
      <w:marLeft w:val="0"/>
      <w:marRight w:val="0"/>
      <w:marTop w:val="0"/>
      <w:marBottom w:val="240"/>
      <w:divBdr>
        <w:top w:val="none" w:sz="0" w:space="0" w:color="auto"/>
        <w:left w:val="none" w:sz="0" w:space="0" w:color="auto"/>
        <w:bottom w:val="none" w:sz="0" w:space="0" w:color="auto"/>
        <w:right w:val="none" w:sz="0" w:space="0" w:color="auto"/>
      </w:divBdr>
    </w:div>
    <w:div w:id="194857356">
      <w:marLeft w:val="0"/>
      <w:marRight w:val="0"/>
      <w:marTop w:val="0"/>
      <w:marBottom w:val="0"/>
      <w:divBdr>
        <w:top w:val="none" w:sz="0" w:space="0" w:color="auto"/>
        <w:left w:val="none" w:sz="0" w:space="0" w:color="auto"/>
        <w:bottom w:val="none" w:sz="0" w:space="0" w:color="auto"/>
        <w:right w:val="none" w:sz="0" w:space="0" w:color="auto"/>
      </w:divBdr>
    </w:div>
    <w:div w:id="195390705">
      <w:marLeft w:val="0"/>
      <w:marRight w:val="0"/>
      <w:marTop w:val="180"/>
      <w:marBottom w:val="180"/>
      <w:divBdr>
        <w:top w:val="none" w:sz="0" w:space="0" w:color="auto"/>
        <w:left w:val="none" w:sz="0" w:space="0" w:color="auto"/>
        <w:bottom w:val="none" w:sz="0" w:space="0" w:color="auto"/>
        <w:right w:val="none" w:sz="0" w:space="0" w:color="auto"/>
      </w:divBdr>
    </w:div>
    <w:div w:id="198127197">
      <w:marLeft w:val="0"/>
      <w:marRight w:val="0"/>
      <w:marTop w:val="0"/>
      <w:marBottom w:val="240"/>
      <w:divBdr>
        <w:top w:val="none" w:sz="0" w:space="0" w:color="auto"/>
        <w:left w:val="none" w:sz="0" w:space="0" w:color="auto"/>
        <w:bottom w:val="none" w:sz="0" w:space="0" w:color="auto"/>
        <w:right w:val="none" w:sz="0" w:space="0" w:color="auto"/>
      </w:divBdr>
    </w:div>
    <w:div w:id="198782710">
      <w:marLeft w:val="0"/>
      <w:marRight w:val="0"/>
      <w:marTop w:val="0"/>
      <w:marBottom w:val="180"/>
      <w:divBdr>
        <w:top w:val="none" w:sz="0" w:space="0" w:color="auto"/>
        <w:left w:val="none" w:sz="0" w:space="0" w:color="auto"/>
        <w:bottom w:val="none" w:sz="0" w:space="0" w:color="auto"/>
        <w:right w:val="none" w:sz="0" w:space="0" w:color="auto"/>
      </w:divBdr>
    </w:div>
    <w:div w:id="198864518">
      <w:marLeft w:val="0"/>
      <w:marRight w:val="0"/>
      <w:marTop w:val="0"/>
      <w:marBottom w:val="0"/>
      <w:divBdr>
        <w:top w:val="none" w:sz="0" w:space="0" w:color="auto"/>
        <w:left w:val="none" w:sz="0" w:space="0" w:color="auto"/>
        <w:bottom w:val="none" w:sz="0" w:space="0" w:color="auto"/>
        <w:right w:val="none" w:sz="0" w:space="0" w:color="auto"/>
      </w:divBdr>
      <w:divsChild>
        <w:div w:id="737440980">
          <w:marLeft w:val="0"/>
          <w:marRight w:val="0"/>
          <w:marTop w:val="0"/>
          <w:marBottom w:val="0"/>
          <w:divBdr>
            <w:top w:val="none" w:sz="0" w:space="0" w:color="auto"/>
            <w:left w:val="none" w:sz="0" w:space="0" w:color="auto"/>
            <w:bottom w:val="none" w:sz="0" w:space="0" w:color="auto"/>
            <w:right w:val="none" w:sz="0" w:space="0" w:color="auto"/>
          </w:divBdr>
        </w:div>
      </w:divsChild>
    </w:div>
    <w:div w:id="204607274">
      <w:marLeft w:val="0"/>
      <w:marRight w:val="0"/>
      <w:marTop w:val="240"/>
      <w:marBottom w:val="240"/>
      <w:divBdr>
        <w:top w:val="none" w:sz="0" w:space="0" w:color="auto"/>
        <w:left w:val="none" w:sz="0" w:space="0" w:color="auto"/>
        <w:bottom w:val="none" w:sz="0" w:space="0" w:color="auto"/>
        <w:right w:val="none" w:sz="0" w:space="0" w:color="auto"/>
      </w:divBdr>
    </w:div>
    <w:div w:id="207030093">
      <w:marLeft w:val="0"/>
      <w:marRight w:val="0"/>
      <w:marTop w:val="0"/>
      <w:marBottom w:val="0"/>
      <w:divBdr>
        <w:top w:val="none" w:sz="0" w:space="0" w:color="auto"/>
        <w:left w:val="none" w:sz="0" w:space="0" w:color="auto"/>
        <w:bottom w:val="none" w:sz="0" w:space="0" w:color="auto"/>
        <w:right w:val="none" w:sz="0" w:space="0" w:color="auto"/>
      </w:divBdr>
    </w:div>
    <w:div w:id="207030097">
      <w:marLeft w:val="0"/>
      <w:marRight w:val="0"/>
      <w:marTop w:val="0"/>
      <w:marBottom w:val="180"/>
      <w:divBdr>
        <w:top w:val="none" w:sz="0" w:space="0" w:color="auto"/>
        <w:left w:val="none" w:sz="0" w:space="0" w:color="auto"/>
        <w:bottom w:val="none" w:sz="0" w:space="0" w:color="auto"/>
        <w:right w:val="none" w:sz="0" w:space="0" w:color="auto"/>
      </w:divBdr>
    </w:div>
    <w:div w:id="207684686">
      <w:marLeft w:val="0"/>
      <w:marRight w:val="0"/>
      <w:marTop w:val="0"/>
      <w:marBottom w:val="0"/>
      <w:divBdr>
        <w:top w:val="none" w:sz="0" w:space="0" w:color="auto"/>
        <w:left w:val="none" w:sz="0" w:space="0" w:color="auto"/>
        <w:bottom w:val="none" w:sz="0" w:space="0" w:color="auto"/>
        <w:right w:val="none" w:sz="0" w:space="0" w:color="auto"/>
      </w:divBdr>
      <w:divsChild>
        <w:div w:id="2058628593">
          <w:marLeft w:val="0"/>
          <w:marRight w:val="0"/>
          <w:marTop w:val="0"/>
          <w:marBottom w:val="0"/>
          <w:divBdr>
            <w:top w:val="none" w:sz="0" w:space="0" w:color="auto"/>
            <w:left w:val="none" w:sz="0" w:space="0" w:color="auto"/>
            <w:bottom w:val="none" w:sz="0" w:space="0" w:color="auto"/>
            <w:right w:val="none" w:sz="0" w:space="0" w:color="auto"/>
          </w:divBdr>
        </w:div>
      </w:divsChild>
    </w:div>
    <w:div w:id="210269306">
      <w:marLeft w:val="0"/>
      <w:marRight w:val="0"/>
      <w:marTop w:val="0"/>
      <w:marBottom w:val="180"/>
      <w:divBdr>
        <w:top w:val="none" w:sz="0" w:space="0" w:color="auto"/>
        <w:left w:val="none" w:sz="0" w:space="0" w:color="auto"/>
        <w:bottom w:val="none" w:sz="0" w:space="0" w:color="auto"/>
        <w:right w:val="none" w:sz="0" w:space="0" w:color="auto"/>
      </w:divBdr>
    </w:div>
    <w:div w:id="212815729">
      <w:marLeft w:val="0"/>
      <w:marRight w:val="0"/>
      <w:marTop w:val="0"/>
      <w:marBottom w:val="0"/>
      <w:divBdr>
        <w:top w:val="none" w:sz="0" w:space="0" w:color="auto"/>
        <w:left w:val="none" w:sz="0" w:space="0" w:color="auto"/>
        <w:bottom w:val="none" w:sz="0" w:space="0" w:color="auto"/>
        <w:right w:val="none" w:sz="0" w:space="0" w:color="auto"/>
      </w:divBdr>
    </w:div>
    <w:div w:id="214239762">
      <w:marLeft w:val="0"/>
      <w:marRight w:val="0"/>
      <w:marTop w:val="0"/>
      <w:marBottom w:val="0"/>
      <w:divBdr>
        <w:top w:val="none" w:sz="0" w:space="0" w:color="auto"/>
        <w:left w:val="none" w:sz="0" w:space="0" w:color="auto"/>
        <w:bottom w:val="none" w:sz="0" w:space="0" w:color="auto"/>
        <w:right w:val="none" w:sz="0" w:space="0" w:color="auto"/>
      </w:divBdr>
      <w:divsChild>
        <w:div w:id="114833222">
          <w:marLeft w:val="0"/>
          <w:marRight w:val="0"/>
          <w:marTop w:val="0"/>
          <w:marBottom w:val="0"/>
          <w:divBdr>
            <w:top w:val="none" w:sz="0" w:space="0" w:color="auto"/>
            <w:left w:val="none" w:sz="0" w:space="0" w:color="auto"/>
            <w:bottom w:val="none" w:sz="0" w:space="0" w:color="auto"/>
            <w:right w:val="none" w:sz="0" w:space="0" w:color="auto"/>
          </w:divBdr>
        </w:div>
      </w:divsChild>
    </w:div>
    <w:div w:id="214317357">
      <w:marLeft w:val="0"/>
      <w:marRight w:val="0"/>
      <w:marTop w:val="0"/>
      <w:marBottom w:val="240"/>
      <w:divBdr>
        <w:top w:val="none" w:sz="0" w:space="0" w:color="auto"/>
        <w:left w:val="none" w:sz="0" w:space="0" w:color="auto"/>
        <w:bottom w:val="none" w:sz="0" w:space="0" w:color="auto"/>
        <w:right w:val="none" w:sz="0" w:space="0" w:color="auto"/>
      </w:divBdr>
    </w:div>
    <w:div w:id="214321416">
      <w:marLeft w:val="0"/>
      <w:marRight w:val="0"/>
      <w:marTop w:val="0"/>
      <w:marBottom w:val="0"/>
      <w:divBdr>
        <w:top w:val="none" w:sz="0" w:space="0" w:color="auto"/>
        <w:left w:val="none" w:sz="0" w:space="0" w:color="auto"/>
        <w:bottom w:val="none" w:sz="0" w:space="0" w:color="auto"/>
        <w:right w:val="none" w:sz="0" w:space="0" w:color="auto"/>
      </w:divBdr>
    </w:div>
    <w:div w:id="214662887">
      <w:marLeft w:val="0"/>
      <w:marRight w:val="0"/>
      <w:marTop w:val="60"/>
      <w:marBottom w:val="0"/>
      <w:divBdr>
        <w:top w:val="none" w:sz="0" w:space="0" w:color="auto"/>
        <w:left w:val="none" w:sz="0" w:space="0" w:color="auto"/>
        <w:bottom w:val="none" w:sz="0" w:space="0" w:color="auto"/>
        <w:right w:val="none" w:sz="0" w:space="0" w:color="auto"/>
      </w:divBdr>
    </w:div>
    <w:div w:id="214895795">
      <w:marLeft w:val="0"/>
      <w:marRight w:val="0"/>
      <w:marTop w:val="0"/>
      <w:marBottom w:val="240"/>
      <w:divBdr>
        <w:top w:val="none" w:sz="0" w:space="0" w:color="auto"/>
        <w:left w:val="none" w:sz="0" w:space="0" w:color="auto"/>
        <w:bottom w:val="none" w:sz="0" w:space="0" w:color="auto"/>
        <w:right w:val="none" w:sz="0" w:space="0" w:color="auto"/>
      </w:divBdr>
    </w:div>
    <w:div w:id="216429972">
      <w:marLeft w:val="0"/>
      <w:marRight w:val="0"/>
      <w:marTop w:val="0"/>
      <w:marBottom w:val="0"/>
      <w:divBdr>
        <w:top w:val="none" w:sz="0" w:space="0" w:color="auto"/>
        <w:left w:val="none" w:sz="0" w:space="0" w:color="auto"/>
        <w:bottom w:val="none" w:sz="0" w:space="0" w:color="auto"/>
        <w:right w:val="none" w:sz="0" w:space="0" w:color="auto"/>
      </w:divBdr>
    </w:div>
    <w:div w:id="217132203">
      <w:marLeft w:val="0"/>
      <w:marRight w:val="0"/>
      <w:marTop w:val="180"/>
      <w:marBottom w:val="180"/>
      <w:divBdr>
        <w:top w:val="none" w:sz="0" w:space="0" w:color="auto"/>
        <w:left w:val="none" w:sz="0" w:space="0" w:color="auto"/>
        <w:bottom w:val="none" w:sz="0" w:space="0" w:color="auto"/>
        <w:right w:val="none" w:sz="0" w:space="0" w:color="auto"/>
      </w:divBdr>
    </w:div>
    <w:div w:id="219555904">
      <w:marLeft w:val="0"/>
      <w:marRight w:val="0"/>
      <w:marTop w:val="0"/>
      <w:marBottom w:val="60"/>
      <w:divBdr>
        <w:top w:val="none" w:sz="0" w:space="0" w:color="auto"/>
        <w:left w:val="none" w:sz="0" w:space="0" w:color="auto"/>
        <w:bottom w:val="none" w:sz="0" w:space="0" w:color="auto"/>
        <w:right w:val="none" w:sz="0" w:space="0" w:color="auto"/>
      </w:divBdr>
    </w:div>
    <w:div w:id="219751247">
      <w:marLeft w:val="0"/>
      <w:marRight w:val="0"/>
      <w:marTop w:val="0"/>
      <w:marBottom w:val="240"/>
      <w:divBdr>
        <w:top w:val="none" w:sz="0" w:space="0" w:color="auto"/>
        <w:left w:val="none" w:sz="0" w:space="0" w:color="auto"/>
        <w:bottom w:val="none" w:sz="0" w:space="0" w:color="auto"/>
        <w:right w:val="none" w:sz="0" w:space="0" w:color="auto"/>
      </w:divBdr>
    </w:div>
    <w:div w:id="220291182">
      <w:marLeft w:val="0"/>
      <w:marRight w:val="0"/>
      <w:marTop w:val="0"/>
      <w:marBottom w:val="0"/>
      <w:divBdr>
        <w:top w:val="none" w:sz="0" w:space="0" w:color="auto"/>
        <w:left w:val="none" w:sz="0" w:space="0" w:color="auto"/>
        <w:bottom w:val="none" w:sz="0" w:space="0" w:color="auto"/>
        <w:right w:val="none" w:sz="0" w:space="0" w:color="auto"/>
      </w:divBdr>
      <w:divsChild>
        <w:div w:id="1824194647">
          <w:marLeft w:val="0"/>
          <w:marRight w:val="0"/>
          <w:marTop w:val="0"/>
          <w:marBottom w:val="0"/>
          <w:divBdr>
            <w:top w:val="none" w:sz="0" w:space="0" w:color="auto"/>
            <w:left w:val="none" w:sz="0" w:space="0" w:color="auto"/>
            <w:bottom w:val="none" w:sz="0" w:space="0" w:color="auto"/>
            <w:right w:val="none" w:sz="0" w:space="0" w:color="auto"/>
          </w:divBdr>
        </w:div>
      </w:divsChild>
    </w:div>
    <w:div w:id="221795432">
      <w:marLeft w:val="0"/>
      <w:marRight w:val="0"/>
      <w:marTop w:val="180"/>
      <w:marBottom w:val="180"/>
      <w:divBdr>
        <w:top w:val="none" w:sz="0" w:space="0" w:color="auto"/>
        <w:left w:val="none" w:sz="0" w:space="0" w:color="auto"/>
        <w:bottom w:val="none" w:sz="0" w:space="0" w:color="auto"/>
        <w:right w:val="none" w:sz="0" w:space="0" w:color="auto"/>
      </w:divBdr>
    </w:div>
    <w:div w:id="222066653">
      <w:marLeft w:val="0"/>
      <w:marRight w:val="0"/>
      <w:marTop w:val="0"/>
      <w:marBottom w:val="0"/>
      <w:divBdr>
        <w:top w:val="none" w:sz="0" w:space="0" w:color="auto"/>
        <w:left w:val="none" w:sz="0" w:space="0" w:color="auto"/>
        <w:bottom w:val="none" w:sz="0" w:space="0" w:color="auto"/>
        <w:right w:val="none" w:sz="0" w:space="0" w:color="auto"/>
      </w:divBdr>
    </w:div>
    <w:div w:id="222569531">
      <w:marLeft w:val="0"/>
      <w:marRight w:val="0"/>
      <w:marTop w:val="0"/>
      <w:marBottom w:val="180"/>
      <w:divBdr>
        <w:top w:val="none" w:sz="0" w:space="0" w:color="auto"/>
        <w:left w:val="none" w:sz="0" w:space="0" w:color="auto"/>
        <w:bottom w:val="none" w:sz="0" w:space="0" w:color="auto"/>
        <w:right w:val="none" w:sz="0" w:space="0" w:color="auto"/>
      </w:divBdr>
    </w:div>
    <w:div w:id="223294116">
      <w:marLeft w:val="0"/>
      <w:marRight w:val="0"/>
      <w:marTop w:val="0"/>
      <w:marBottom w:val="240"/>
      <w:divBdr>
        <w:top w:val="none" w:sz="0" w:space="0" w:color="auto"/>
        <w:left w:val="none" w:sz="0" w:space="0" w:color="auto"/>
        <w:bottom w:val="none" w:sz="0" w:space="0" w:color="auto"/>
        <w:right w:val="none" w:sz="0" w:space="0" w:color="auto"/>
      </w:divBdr>
    </w:div>
    <w:div w:id="224223463">
      <w:marLeft w:val="0"/>
      <w:marRight w:val="0"/>
      <w:marTop w:val="260"/>
      <w:marBottom w:val="240"/>
      <w:divBdr>
        <w:top w:val="none" w:sz="0" w:space="0" w:color="auto"/>
        <w:left w:val="none" w:sz="0" w:space="0" w:color="auto"/>
        <w:bottom w:val="none" w:sz="0" w:space="0" w:color="auto"/>
        <w:right w:val="none" w:sz="0" w:space="0" w:color="auto"/>
      </w:divBdr>
    </w:div>
    <w:div w:id="225530169">
      <w:marLeft w:val="0"/>
      <w:marRight w:val="0"/>
      <w:marTop w:val="100"/>
      <w:marBottom w:val="0"/>
      <w:divBdr>
        <w:top w:val="none" w:sz="0" w:space="0" w:color="auto"/>
        <w:left w:val="none" w:sz="0" w:space="0" w:color="auto"/>
        <w:bottom w:val="none" w:sz="0" w:space="0" w:color="auto"/>
        <w:right w:val="none" w:sz="0" w:space="0" w:color="auto"/>
      </w:divBdr>
    </w:div>
    <w:div w:id="226647882">
      <w:marLeft w:val="0"/>
      <w:marRight w:val="0"/>
      <w:marTop w:val="100"/>
      <w:marBottom w:val="100"/>
      <w:divBdr>
        <w:top w:val="none" w:sz="0" w:space="0" w:color="auto"/>
        <w:left w:val="none" w:sz="0" w:space="0" w:color="auto"/>
        <w:bottom w:val="none" w:sz="0" w:space="0" w:color="auto"/>
        <w:right w:val="none" w:sz="0" w:space="0" w:color="auto"/>
      </w:divBdr>
      <w:divsChild>
        <w:div w:id="1232079893">
          <w:marLeft w:val="0"/>
          <w:marRight w:val="0"/>
          <w:marTop w:val="0"/>
          <w:marBottom w:val="0"/>
          <w:divBdr>
            <w:top w:val="none" w:sz="0" w:space="0" w:color="auto"/>
            <w:left w:val="none" w:sz="0" w:space="0" w:color="auto"/>
            <w:bottom w:val="none" w:sz="0" w:space="0" w:color="auto"/>
            <w:right w:val="none" w:sz="0" w:space="0" w:color="auto"/>
          </w:divBdr>
        </w:div>
        <w:div w:id="247661595">
          <w:marLeft w:val="0"/>
          <w:marRight w:val="0"/>
          <w:marTop w:val="0"/>
          <w:marBottom w:val="0"/>
          <w:divBdr>
            <w:top w:val="none" w:sz="0" w:space="0" w:color="auto"/>
            <w:left w:val="none" w:sz="0" w:space="0" w:color="auto"/>
            <w:bottom w:val="none" w:sz="0" w:space="0" w:color="auto"/>
            <w:right w:val="none" w:sz="0" w:space="0" w:color="auto"/>
          </w:divBdr>
        </w:div>
        <w:div w:id="469784233">
          <w:marLeft w:val="0"/>
          <w:marRight w:val="0"/>
          <w:marTop w:val="0"/>
          <w:marBottom w:val="0"/>
          <w:divBdr>
            <w:top w:val="none" w:sz="0" w:space="0" w:color="auto"/>
            <w:left w:val="none" w:sz="0" w:space="0" w:color="auto"/>
            <w:bottom w:val="none" w:sz="0" w:space="0" w:color="auto"/>
            <w:right w:val="none" w:sz="0" w:space="0" w:color="auto"/>
          </w:divBdr>
        </w:div>
        <w:div w:id="1096293280">
          <w:marLeft w:val="0"/>
          <w:marRight w:val="0"/>
          <w:marTop w:val="0"/>
          <w:marBottom w:val="0"/>
          <w:divBdr>
            <w:top w:val="none" w:sz="0" w:space="0" w:color="auto"/>
            <w:left w:val="none" w:sz="0" w:space="0" w:color="auto"/>
            <w:bottom w:val="none" w:sz="0" w:space="0" w:color="auto"/>
            <w:right w:val="none" w:sz="0" w:space="0" w:color="auto"/>
          </w:divBdr>
        </w:div>
        <w:div w:id="1417550710">
          <w:marLeft w:val="0"/>
          <w:marRight w:val="0"/>
          <w:marTop w:val="0"/>
          <w:marBottom w:val="0"/>
          <w:divBdr>
            <w:top w:val="none" w:sz="0" w:space="0" w:color="auto"/>
            <w:left w:val="none" w:sz="0" w:space="0" w:color="auto"/>
            <w:bottom w:val="none" w:sz="0" w:space="0" w:color="auto"/>
            <w:right w:val="none" w:sz="0" w:space="0" w:color="auto"/>
          </w:divBdr>
        </w:div>
        <w:div w:id="38821454">
          <w:marLeft w:val="0"/>
          <w:marRight w:val="0"/>
          <w:marTop w:val="0"/>
          <w:marBottom w:val="0"/>
          <w:divBdr>
            <w:top w:val="none" w:sz="0" w:space="0" w:color="auto"/>
            <w:left w:val="none" w:sz="0" w:space="0" w:color="auto"/>
            <w:bottom w:val="none" w:sz="0" w:space="0" w:color="auto"/>
            <w:right w:val="none" w:sz="0" w:space="0" w:color="auto"/>
          </w:divBdr>
        </w:div>
        <w:div w:id="2078743080">
          <w:marLeft w:val="0"/>
          <w:marRight w:val="0"/>
          <w:marTop w:val="0"/>
          <w:marBottom w:val="0"/>
          <w:divBdr>
            <w:top w:val="none" w:sz="0" w:space="0" w:color="auto"/>
            <w:left w:val="none" w:sz="0" w:space="0" w:color="auto"/>
            <w:bottom w:val="none" w:sz="0" w:space="0" w:color="auto"/>
            <w:right w:val="none" w:sz="0" w:space="0" w:color="auto"/>
          </w:divBdr>
        </w:div>
      </w:divsChild>
    </w:div>
    <w:div w:id="227420702">
      <w:marLeft w:val="0"/>
      <w:marRight w:val="0"/>
      <w:marTop w:val="180"/>
      <w:marBottom w:val="180"/>
      <w:divBdr>
        <w:top w:val="none" w:sz="0" w:space="0" w:color="auto"/>
        <w:left w:val="none" w:sz="0" w:space="0" w:color="auto"/>
        <w:bottom w:val="none" w:sz="0" w:space="0" w:color="auto"/>
        <w:right w:val="none" w:sz="0" w:space="0" w:color="auto"/>
      </w:divBdr>
    </w:div>
    <w:div w:id="228075699">
      <w:marLeft w:val="0"/>
      <w:marRight w:val="0"/>
      <w:marTop w:val="120"/>
      <w:marBottom w:val="240"/>
      <w:divBdr>
        <w:top w:val="none" w:sz="0" w:space="0" w:color="auto"/>
        <w:left w:val="none" w:sz="0" w:space="0" w:color="auto"/>
        <w:bottom w:val="none" w:sz="0" w:space="0" w:color="auto"/>
        <w:right w:val="none" w:sz="0" w:space="0" w:color="auto"/>
      </w:divBdr>
    </w:div>
    <w:div w:id="228417772">
      <w:marLeft w:val="0"/>
      <w:marRight w:val="0"/>
      <w:marTop w:val="100"/>
      <w:marBottom w:val="0"/>
      <w:divBdr>
        <w:top w:val="none" w:sz="0" w:space="0" w:color="auto"/>
        <w:left w:val="none" w:sz="0" w:space="0" w:color="auto"/>
        <w:bottom w:val="none" w:sz="0" w:space="0" w:color="auto"/>
        <w:right w:val="none" w:sz="0" w:space="0" w:color="auto"/>
      </w:divBdr>
    </w:div>
    <w:div w:id="231236181">
      <w:marLeft w:val="0"/>
      <w:marRight w:val="0"/>
      <w:marTop w:val="200"/>
      <w:marBottom w:val="240"/>
      <w:divBdr>
        <w:top w:val="none" w:sz="0" w:space="0" w:color="auto"/>
        <w:left w:val="none" w:sz="0" w:space="0" w:color="auto"/>
        <w:bottom w:val="none" w:sz="0" w:space="0" w:color="auto"/>
        <w:right w:val="none" w:sz="0" w:space="0" w:color="auto"/>
      </w:divBdr>
    </w:div>
    <w:div w:id="233467240">
      <w:marLeft w:val="0"/>
      <w:marRight w:val="0"/>
      <w:marTop w:val="0"/>
      <w:marBottom w:val="180"/>
      <w:divBdr>
        <w:top w:val="none" w:sz="0" w:space="0" w:color="auto"/>
        <w:left w:val="none" w:sz="0" w:space="0" w:color="auto"/>
        <w:bottom w:val="none" w:sz="0" w:space="0" w:color="auto"/>
        <w:right w:val="none" w:sz="0" w:space="0" w:color="auto"/>
      </w:divBdr>
    </w:div>
    <w:div w:id="235631877">
      <w:marLeft w:val="0"/>
      <w:marRight w:val="0"/>
      <w:marTop w:val="0"/>
      <w:marBottom w:val="180"/>
      <w:divBdr>
        <w:top w:val="none" w:sz="0" w:space="0" w:color="auto"/>
        <w:left w:val="none" w:sz="0" w:space="0" w:color="auto"/>
        <w:bottom w:val="none" w:sz="0" w:space="0" w:color="auto"/>
        <w:right w:val="none" w:sz="0" w:space="0" w:color="auto"/>
      </w:divBdr>
    </w:div>
    <w:div w:id="236600636">
      <w:marLeft w:val="0"/>
      <w:marRight w:val="0"/>
      <w:marTop w:val="0"/>
      <w:marBottom w:val="240"/>
      <w:divBdr>
        <w:top w:val="none" w:sz="0" w:space="0" w:color="auto"/>
        <w:left w:val="none" w:sz="0" w:space="0" w:color="auto"/>
        <w:bottom w:val="none" w:sz="0" w:space="0" w:color="auto"/>
        <w:right w:val="none" w:sz="0" w:space="0" w:color="auto"/>
      </w:divBdr>
    </w:div>
    <w:div w:id="238102382">
      <w:marLeft w:val="0"/>
      <w:marRight w:val="0"/>
      <w:marTop w:val="0"/>
      <w:marBottom w:val="0"/>
      <w:divBdr>
        <w:top w:val="none" w:sz="0" w:space="0" w:color="auto"/>
        <w:left w:val="none" w:sz="0" w:space="0" w:color="auto"/>
        <w:bottom w:val="none" w:sz="0" w:space="0" w:color="auto"/>
        <w:right w:val="none" w:sz="0" w:space="0" w:color="auto"/>
      </w:divBdr>
    </w:div>
    <w:div w:id="238448526">
      <w:marLeft w:val="0"/>
      <w:marRight w:val="0"/>
      <w:marTop w:val="120"/>
      <w:marBottom w:val="120"/>
      <w:divBdr>
        <w:top w:val="none" w:sz="0" w:space="0" w:color="auto"/>
        <w:left w:val="none" w:sz="0" w:space="0" w:color="auto"/>
        <w:bottom w:val="none" w:sz="0" w:space="0" w:color="auto"/>
        <w:right w:val="none" w:sz="0" w:space="0" w:color="auto"/>
      </w:divBdr>
    </w:div>
    <w:div w:id="242841796">
      <w:marLeft w:val="0"/>
      <w:marRight w:val="0"/>
      <w:marTop w:val="0"/>
      <w:marBottom w:val="240"/>
      <w:divBdr>
        <w:top w:val="none" w:sz="0" w:space="0" w:color="auto"/>
        <w:left w:val="none" w:sz="0" w:space="0" w:color="auto"/>
        <w:bottom w:val="none" w:sz="0" w:space="0" w:color="auto"/>
        <w:right w:val="none" w:sz="0" w:space="0" w:color="auto"/>
      </w:divBdr>
    </w:div>
    <w:div w:id="244270833">
      <w:marLeft w:val="0"/>
      <w:marRight w:val="0"/>
      <w:marTop w:val="0"/>
      <w:marBottom w:val="180"/>
      <w:divBdr>
        <w:top w:val="none" w:sz="0" w:space="0" w:color="auto"/>
        <w:left w:val="none" w:sz="0" w:space="0" w:color="auto"/>
        <w:bottom w:val="none" w:sz="0" w:space="0" w:color="auto"/>
        <w:right w:val="none" w:sz="0" w:space="0" w:color="auto"/>
      </w:divBdr>
    </w:div>
    <w:div w:id="248664378">
      <w:marLeft w:val="0"/>
      <w:marRight w:val="0"/>
      <w:marTop w:val="0"/>
      <w:marBottom w:val="0"/>
      <w:divBdr>
        <w:top w:val="none" w:sz="0" w:space="0" w:color="auto"/>
        <w:left w:val="none" w:sz="0" w:space="0" w:color="auto"/>
        <w:bottom w:val="none" w:sz="0" w:space="0" w:color="auto"/>
        <w:right w:val="none" w:sz="0" w:space="0" w:color="auto"/>
      </w:divBdr>
    </w:div>
    <w:div w:id="250282027">
      <w:marLeft w:val="0"/>
      <w:marRight w:val="0"/>
      <w:marTop w:val="0"/>
      <w:marBottom w:val="0"/>
      <w:divBdr>
        <w:top w:val="none" w:sz="0" w:space="0" w:color="auto"/>
        <w:left w:val="none" w:sz="0" w:space="0" w:color="auto"/>
        <w:bottom w:val="none" w:sz="0" w:space="0" w:color="auto"/>
        <w:right w:val="none" w:sz="0" w:space="0" w:color="auto"/>
      </w:divBdr>
      <w:divsChild>
        <w:div w:id="1718966388">
          <w:marLeft w:val="0"/>
          <w:marRight w:val="0"/>
          <w:marTop w:val="0"/>
          <w:marBottom w:val="0"/>
          <w:divBdr>
            <w:top w:val="none" w:sz="0" w:space="0" w:color="auto"/>
            <w:left w:val="none" w:sz="0" w:space="0" w:color="auto"/>
            <w:bottom w:val="none" w:sz="0" w:space="0" w:color="auto"/>
            <w:right w:val="none" w:sz="0" w:space="0" w:color="auto"/>
          </w:divBdr>
        </w:div>
      </w:divsChild>
    </w:div>
    <w:div w:id="252784170">
      <w:marLeft w:val="0"/>
      <w:marRight w:val="0"/>
      <w:marTop w:val="0"/>
      <w:marBottom w:val="0"/>
      <w:divBdr>
        <w:top w:val="none" w:sz="0" w:space="0" w:color="auto"/>
        <w:left w:val="none" w:sz="0" w:space="0" w:color="auto"/>
        <w:bottom w:val="none" w:sz="0" w:space="0" w:color="auto"/>
        <w:right w:val="none" w:sz="0" w:space="0" w:color="auto"/>
      </w:divBdr>
    </w:div>
    <w:div w:id="253632322">
      <w:marLeft w:val="0"/>
      <w:marRight w:val="0"/>
      <w:marTop w:val="180"/>
      <w:marBottom w:val="180"/>
      <w:divBdr>
        <w:top w:val="none" w:sz="0" w:space="0" w:color="auto"/>
        <w:left w:val="none" w:sz="0" w:space="0" w:color="auto"/>
        <w:bottom w:val="none" w:sz="0" w:space="0" w:color="auto"/>
        <w:right w:val="none" w:sz="0" w:space="0" w:color="auto"/>
      </w:divBdr>
    </w:div>
    <w:div w:id="254947387">
      <w:marLeft w:val="0"/>
      <w:marRight w:val="0"/>
      <w:marTop w:val="0"/>
      <w:marBottom w:val="180"/>
      <w:divBdr>
        <w:top w:val="none" w:sz="0" w:space="0" w:color="auto"/>
        <w:left w:val="none" w:sz="0" w:space="0" w:color="auto"/>
        <w:bottom w:val="none" w:sz="0" w:space="0" w:color="auto"/>
        <w:right w:val="none" w:sz="0" w:space="0" w:color="auto"/>
      </w:divBdr>
    </w:div>
    <w:div w:id="255094776">
      <w:marLeft w:val="0"/>
      <w:marRight w:val="0"/>
      <w:marTop w:val="0"/>
      <w:marBottom w:val="0"/>
      <w:divBdr>
        <w:top w:val="none" w:sz="0" w:space="0" w:color="auto"/>
        <w:left w:val="none" w:sz="0" w:space="0" w:color="auto"/>
        <w:bottom w:val="none" w:sz="0" w:space="0" w:color="auto"/>
        <w:right w:val="none" w:sz="0" w:space="0" w:color="auto"/>
      </w:divBdr>
    </w:div>
    <w:div w:id="255291243">
      <w:marLeft w:val="0"/>
      <w:marRight w:val="0"/>
      <w:marTop w:val="0"/>
      <w:marBottom w:val="0"/>
      <w:divBdr>
        <w:top w:val="none" w:sz="0" w:space="0" w:color="auto"/>
        <w:left w:val="none" w:sz="0" w:space="0" w:color="auto"/>
        <w:bottom w:val="none" w:sz="0" w:space="0" w:color="auto"/>
        <w:right w:val="none" w:sz="0" w:space="0" w:color="auto"/>
      </w:divBdr>
    </w:div>
    <w:div w:id="255944830">
      <w:marLeft w:val="0"/>
      <w:marRight w:val="0"/>
      <w:marTop w:val="0"/>
      <w:marBottom w:val="0"/>
      <w:divBdr>
        <w:top w:val="none" w:sz="0" w:space="0" w:color="auto"/>
        <w:left w:val="none" w:sz="0" w:space="0" w:color="auto"/>
        <w:bottom w:val="none" w:sz="0" w:space="0" w:color="auto"/>
        <w:right w:val="none" w:sz="0" w:space="0" w:color="auto"/>
      </w:divBdr>
    </w:div>
    <w:div w:id="258948075">
      <w:marLeft w:val="0"/>
      <w:marRight w:val="0"/>
      <w:marTop w:val="0"/>
      <w:marBottom w:val="180"/>
      <w:divBdr>
        <w:top w:val="none" w:sz="0" w:space="0" w:color="auto"/>
        <w:left w:val="none" w:sz="0" w:space="0" w:color="auto"/>
        <w:bottom w:val="none" w:sz="0" w:space="0" w:color="auto"/>
        <w:right w:val="none" w:sz="0" w:space="0" w:color="auto"/>
      </w:divBdr>
    </w:div>
    <w:div w:id="259486475">
      <w:marLeft w:val="0"/>
      <w:marRight w:val="0"/>
      <w:marTop w:val="180"/>
      <w:marBottom w:val="180"/>
      <w:divBdr>
        <w:top w:val="none" w:sz="0" w:space="0" w:color="auto"/>
        <w:left w:val="none" w:sz="0" w:space="0" w:color="auto"/>
        <w:bottom w:val="none" w:sz="0" w:space="0" w:color="auto"/>
        <w:right w:val="none" w:sz="0" w:space="0" w:color="auto"/>
      </w:divBdr>
    </w:div>
    <w:div w:id="259683324">
      <w:marLeft w:val="0"/>
      <w:marRight w:val="0"/>
      <w:marTop w:val="0"/>
      <w:marBottom w:val="120"/>
      <w:divBdr>
        <w:top w:val="none" w:sz="0" w:space="0" w:color="auto"/>
        <w:left w:val="none" w:sz="0" w:space="0" w:color="auto"/>
        <w:bottom w:val="none" w:sz="0" w:space="0" w:color="auto"/>
        <w:right w:val="none" w:sz="0" w:space="0" w:color="auto"/>
      </w:divBdr>
    </w:div>
    <w:div w:id="259878185">
      <w:marLeft w:val="0"/>
      <w:marRight w:val="0"/>
      <w:marTop w:val="0"/>
      <w:marBottom w:val="180"/>
      <w:divBdr>
        <w:top w:val="none" w:sz="0" w:space="0" w:color="auto"/>
        <w:left w:val="none" w:sz="0" w:space="0" w:color="auto"/>
        <w:bottom w:val="none" w:sz="0" w:space="0" w:color="auto"/>
        <w:right w:val="none" w:sz="0" w:space="0" w:color="auto"/>
      </w:divBdr>
    </w:div>
    <w:div w:id="262079609">
      <w:marLeft w:val="0"/>
      <w:marRight w:val="0"/>
      <w:marTop w:val="0"/>
      <w:marBottom w:val="0"/>
      <w:divBdr>
        <w:top w:val="none" w:sz="0" w:space="0" w:color="auto"/>
        <w:left w:val="none" w:sz="0" w:space="0" w:color="auto"/>
        <w:bottom w:val="none" w:sz="0" w:space="0" w:color="auto"/>
        <w:right w:val="none" w:sz="0" w:space="0" w:color="auto"/>
      </w:divBdr>
    </w:div>
    <w:div w:id="264264597">
      <w:marLeft w:val="0"/>
      <w:marRight w:val="0"/>
      <w:marTop w:val="0"/>
      <w:marBottom w:val="0"/>
      <w:divBdr>
        <w:top w:val="none" w:sz="0" w:space="0" w:color="auto"/>
        <w:left w:val="none" w:sz="0" w:space="0" w:color="auto"/>
        <w:bottom w:val="none" w:sz="0" w:space="0" w:color="auto"/>
        <w:right w:val="none" w:sz="0" w:space="0" w:color="auto"/>
      </w:divBdr>
      <w:divsChild>
        <w:div w:id="1749879963">
          <w:marLeft w:val="0"/>
          <w:marRight w:val="0"/>
          <w:marTop w:val="0"/>
          <w:marBottom w:val="0"/>
          <w:divBdr>
            <w:top w:val="none" w:sz="0" w:space="0" w:color="auto"/>
            <w:left w:val="none" w:sz="0" w:space="0" w:color="auto"/>
            <w:bottom w:val="none" w:sz="0" w:space="0" w:color="auto"/>
            <w:right w:val="none" w:sz="0" w:space="0" w:color="auto"/>
          </w:divBdr>
        </w:div>
      </w:divsChild>
    </w:div>
    <w:div w:id="267472846">
      <w:marLeft w:val="0"/>
      <w:marRight w:val="0"/>
      <w:marTop w:val="100"/>
      <w:marBottom w:val="0"/>
      <w:divBdr>
        <w:top w:val="none" w:sz="0" w:space="0" w:color="auto"/>
        <w:left w:val="none" w:sz="0" w:space="0" w:color="auto"/>
        <w:bottom w:val="none" w:sz="0" w:space="0" w:color="auto"/>
        <w:right w:val="none" w:sz="0" w:space="0" w:color="auto"/>
      </w:divBdr>
    </w:div>
    <w:div w:id="267586748">
      <w:marLeft w:val="0"/>
      <w:marRight w:val="0"/>
      <w:marTop w:val="0"/>
      <w:marBottom w:val="240"/>
      <w:divBdr>
        <w:top w:val="none" w:sz="0" w:space="0" w:color="auto"/>
        <w:left w:val="none" w:sz="0" w:space="0" w:color="auto"/>
        <w:bottom w:val="none" w:sz="0" w:space="0" w:color="auto"/>
        <w:right w:val="none" w:sz="0" w:space="0" w:color="auto"/>
      </w:divBdr>
    </w:div>
    <w:div w:id="267785132">
      <w:marLeft w:val="0"/>
      <w:marRight w:val="0"/>
      <w:marTop w:val="0"/>
      <w:marBottom w:val="0"/>
      <w:divBdr>
        <w:top w:val="none" w:sz="0" w:space="0" w:color="auto"/>
        <w:left w:val="none" w:sz="0" w:space="0" w:color="auto"/>
        <w:bottom w:val="none" w:sz="0" w:space="0" w:color="auto"/>
        <w:right w:val="none" w:sz="0" w:space="0" w:color="auto"/>
      </w:divBdr>
      <w:divsChild>
        <w:div w:id="726414747">
          <w:marLeft w:val="0"/>
          <w:marRight w:val="0"/>
          <w:marTop w:val="0"/>
          <w:marBottom w:val="0"/>
          <w:divBdr>
            <w:top w:val="none" w:sz="0" w:space="0" w:color="auto"/>
            <w:left w:val="none" w:sz="0" w:space="0" w:color="auto"/>
            <w:bottom w:val="none" w:sz="0" w:space="0" w:color="auto"/>
            <w:right w:val="none" w:sz="0" w:space="0" w:color="auto"/>
          </w:divBdr>
        </w:div>
      </w:divsChild>
    </w:div>
    <w:div w:id="267930442">
      <w:marLeft w:val="0"/>
      <w:marRight w:val="0"/>
      <w:marTop w:val="180"/>
      <w:marBottom w:val="180"/>
      <w:divBdr>
        <w:top w:val="none" w:sz="0" w:space="0" w:color="auto"/>
        <w:left w:val="none" w:sz="0" w:space="0" w:color="auto"/>
        <w:bottom w:val="none" w:sz="0" w:space="0" w:color="auto"/>
        <w:right w:val="none" w:sz="0" w:space="0" w:color="auto"/>
      </w:divBdr>
    </w:div>
    <w:div w:id="270941470">
      <w:marLeft w:val="0"/>
      <w:marRight w:val="0"/>
      <w:marTop w:val="240"/>
      <w:marBottom w:val="180"/>
      <w:divBdr>
        <w:top w:val="none" w:sz="0" w:space="0" w:color="auto"/>
        <w:left w:val="none" w:sz="0" w:space="0" w:color="auto"/>
        <w:bottom w:val="none" w:sz="0" w:space="0" w:color="auto"/>
        <w:right w:val="none" w:sz="0" w:space="0" w:color="auto"/>
      </w:divBdr>
    </w:div>
    <w:div w:id="272708176">
      <w:marLeft w:val="0"/>
      <w:marRight w:val="0"/>
      <w:marTop w:val="0"/>
      <w:marBottom w:val="180"/>
      <w:divBdr>
        <w:top w:val="none" w:sz="0" w:space="0" w:color="auto"/>
        <w:left w:val="none" w:sz="0" w:space="0" w:color="auto"/>
        <w:bottom w:val="none" w:sz="0" w:space="0" w:color="auto"/>
        <w:right w:val="none" w:sz="0" w:space="0" w:color="auto"/>
      </w:divBdr>
    </w:div>
    <w:div w:id="275600053">
      <w:marLeft w:val="0"/>
      <w:marRight w:val="0"/>
      <w:marTop w:val="0"/>
      <w:marBottom w:val="0"/>
      <w:divBdr>
        <w:top w:val="none" w:sz="0" w:space="0" w:color="auto"/>
        <w:left w:val="none" w:sz="0" w:space="0" w:color="auto"/>
        <w:bottom w:val="none" w:sz="0" w:space="0" w:color="auto"/>
        <w:right w:val="none" w:sz="0" w:space="0" w:color="auto"/>
      </w:divBdr>
      <w:divsChild>
        <w:div w:id="564922596">
          <w:marLeft w:val="0"/>
          <w:marRight w:val="0"/>
          <w:marTop w:val="0"/>
          <w:marBottom w:val="0"/>
          <w:divBdr>
            <w:top w:val="none" w:sz="0" w:space="0" w:color="auto"/>
            <w:left w:val="none" w:sz="0" w:space="0" w:color="auto"/>
            <w:bottom w:val="none" w:sz="0" w:space="0" w:color="auto"/>
            <w:right w:val="none" w:sz="0" w:space="0" w:color="auto"/>
          </w:divBdr>
        </w:div>
      </w:divsChild>
    </w:div>
    <w:div w:id="276302177">
      <w:marLeft w:val="0"/>
      <w:marRight w:val="0"/>
      <w:marTop w:val="0"/>
      <w:marBottom w:val="0"/>
      <w:divBdr>
        <w:top w:val="none" w:sz="0" w:space="0" w:color="auto"/>
        <w:left w:val="none" w:sz="0" w:space="0" w:color="auto"/>
        <w:bottom w:val="none" w:sz="0" w:space="0" w:color="auto"/>
        <w:right w:val="none" w:sz="0" w:space="0" w:color="auto"/>
      </w:divBdr>
    </w:div>
    <w:div w:id="277415239">
      <w:marLeft w:val="0"/>
      <w:marRight w:val="0"/>
      <w:marTop w:val="0"/>
      <w:marBottom w:val="0"/>
      <w:divBdr>
        <w:top w:val="none" w:sz="0" w:space="0" w:color="auto"/>
        <w:left w:val="none" w:sz="0" w:space="0" w:color="auto"/>
        <w:bottom w:val="none" w:sz="0" w:space="0" w:color="auto"/>
        <w:right w:val="none" w:sz="0" w:space="0" w:color="auto"/>
      </w:divBdr>
    </w:div>
    <w:div w:id="277807565">
      <w:marLeft w:val="0"/>
      <w:marRight w:val="0"/>
      <w:marTop w:val="0"/>
      <w:marBottom w:val="0"/>
      <w:divBdr>
        <w:top w:val="none" w:sz="0" w:space="0" w:color="auto"/>
        <w:left w:val="none" w:sz="0" w:space="0" w:color="auto"/>
        <w:bottom w:val="none" w:sz="0" w:space="0" w:color="auto"/>
        <w:right w:val="none" w:sz="0" w:space="0" w:color="auto"/>
      </w:divBdr>
      <w:divsChild>
        <w:div w:id="1927037984">
          <w:marLeft w:val="0"/>
          <w:marRight w:val="0"/>
          <w:marTop w:val="0"/>
          <w:marBottom w:val="0"/>
          <w:divBdr>
            <w:top w:val="none" w:sz="0" w:space="0" w:color="auto"/>
            <w:left w:val="none" w:sz="0" w:space="0" w:color="auto"/>
            <w:bottom w:val="none" w:sz="0" w:space="0" w:color="auto"/>
            <w:right w:val="none" w:sz="0" w:space="0" w:color="auto"/>
          </w:divBdr>
        </w:div>
      </w:divsChild>
    </w:div>
    <w:div w:id="277880496">
      <w:marLeft w:val="0"/>
      <w:marRight w:val="0"/>
      <w:marTop w:val="0"/>
      <w:marBottom w:val="240"/>
      <w:divBdr>
        <w:top w:val="none" w:sz="0" w:space="0" w:color="auto"/>
        <w:left w:val="none" w:sz="0" w:space="0" w:color="auto"/>
        <w:bottom w:val="none" w:sz="0" w:space="0" w:color="auto"/>
        <w:right w:val="none" w:sz="0" w:space="0" w:color="auto"/>
      </w:divBdr>
    </w:div>
    <w:div w:id="281763029">
      <w:marLeft w:val="0"/>
      <w:marRight w:val="0"/>
      <w:marTop w:val="0"/>
      <w:marBottom w:val="0"/>
      <w:divBdr>
        <w:top w:val="none" w:sz="0" w:space="0" w:color="auto"/>
        <w:left w:val="none" w:sz="0" w:space="0" w:color="auto"/>
        <w:bottom w:val="none" w:sz="0" w:space="0" w:color="auto"/>
        <w:right w:val="none" w:sz="0" w:space="0" w:color="auto"/>
      </w:divBdr>
    </w:div>
    <w:div w:id="283998174">
      <w:marLeft w:val="0"/>
      <w:marRight w:val="0"/>
      <w:marTop w:val="240"/>
      <w:marBottom w:val="140"/>
      <w:divBdr>
        <w:top w:val="none" w:sz="0" w:space="0" w:color="auto"/>
        <w:left w:val="none" w:sz="0" w:space="0" w:color="auto"/>
        <w:bottom w:val="none" w:sz="0" w:space="0" w:color="auto"/>
        <w:right w:val="none" w:sz="0" w:space="0" w:color="auto"/>
      </w:divBdr>
    </w:div>
    <w:div w:id="288047920">
      <w:marLeft w:val="0"/>
      <w:marRight w:val="0"/>
      <w:marTop w:val="180"/>
      <w:marBottom w:val="180"/>
      <w:divBdr>
        <w:top w:val="none" w:sz="0" w:space="0" w:color="auto"/>
        <w:left w:val="none" w:sz="0" w:space="0" w:color="auto"/>
        <w:bottom w:val="none" w:sz="0" w:space="0" w:color="auto"/>
        <w:right w:val="none" w:sz="0" w:space="0" w:color="auto"/>
      </w:divBdr>
    </w:div>
    <w:div w:id="290095015">
      <w:marLeft w:val="0"/>
      <w:marRight w:val="0"/>
      <w:marTop w:val="0"/>
      <w:marBottom w:val="180"/>
      <w:divBdr>
        <w:top w:val="none" w:sz="0" w:space="0" w:color="auto"/>
        <w:left w:val="none" w:sz="0" w:space="0" w:color="auto"/>
        <w:bottom w:val="none" w:sz="0" w:space="0" w:color="auto"/>
        <w:right w:val="none" w:sz="0" w:space="0" w:color="auto"/>
      </w:divBdr>
    </w:div>
    <w:div w:id="291207049">
      <w:marLeft w:val="0"/>
      <w:marRight w:val="0"/>
      <w:marTop w:val="0"/>
      <w:marBottom w:val="0"/>
      <w:divBdr>
        <w:top w:val="none" w:sz="0" w:space="0" w:color="auto"/>
        <w:left w:val="none" w:sz="0" w:space="0" w:color="auto"/>
        <w:bottom w:val="none" w:sz="0" w:space="0" w:color="auto"/>
        <w:right w:val="none" w:sz="0" w:space="0" w:color="auto"/>
      </w:divBdr>
      <w:divsChild>
        <w:div w:id="911234828">
          <w:marLeft w:val="0"/>
          <w:marRight w:val="0"/>
          <w:marTop w:val="0"/>
          <w:marBottom w:val="0"/>
          <w:divBdr>
            <w:top w:val="none" w:sz="0" w:space="0" w:color="auto"/>
            <w:left w:val="none" w:sz="0" w:space="0" w:color="auto"/>
            <w:bottom w:val="none" w:sz="0" w:space="0" w:color="auto"/>
            <w:right w:val="none" w:sz="0" w:space="0" w:color="auto"/>
          </w:divBdr>
        </w:div>
      </w:divsChild>
    </w:div>
    <w:div w:id="293100653">
      <w:marLeft w:val="0"/>
      <w:marRight w:val="0"/>
      <w:marTop w:val="0"/>
      <w:marBottom w:val="0"/>
      <w:divBdr>
        <w:top w:val="none" w:sz="0" w:space="0" w:color="auto"/>
        <w:left w:val="none" w:sz="0" w:space="0" w:color="auto"/>
        <w:bottom w:val="none" w:sz="0" w:space="0" w:color="auto"/>
        <w:right w:val="none" w:sz="0" w:space="0" w:color="auto"/>
      </w:divBdr>
      <w:divsChild>
        <w:div w:id="477039260">
          <w:marLeft w:val="0"/>
          <w:marRight w:val="0"/>
          <w:marTop w:val="0"/>
          <w:marBottom w:val="0"/>
          <w:divBdr>
            <w:top w:val="none" w:sz="0" w:space="0" w:color="auto"/>
            <w:left w:val="none" w:sz="0" w:space="0" w:color="auto"/>
            <w:bottom w:val="none" w:sz="0" w:space="0" w:color="auto"/>
            <w:right w:val="none" w:sz="0" w:space="0" w:color="auto"/>
          </w:divBdr>
        </w:div>
      </w:divsChild>
    </w:div>
    <w:div w:id="293633284">
      <w:marLeft w:val="0"/>
      <w:marRight w:val="0"/>
      <w:marTop w:val="0"/>
      <w:marBottom w:val="0"/>
      <w:divBdr>
        <w:top w:val="none" w:sz="0" w:space="0" w:color="auto"/>
        <w:left w:val="none" w:sz="0" w:space="0" w:color="auto"/>
        <w:bottom w:val="none" w:sz="0" w:space="0" w:color="auto"/>
        <w:right w:val="none" w:sz="0" w:space="0" w:color="auto"/>
      </w:divBdr>
    </w:div>
    <w:div w:id="293754550">
      <w:marLeft w:val="0"/>
      <w:marRight w:val="0"/>
      <w:marTop w:val="120"/>
      <w:marBottom w:val="120"/>
      <w:divBdr>
        <w:top w:val="none" w:sz="0" w:space="0" w:color="auto"/>
        <w:left w:val="none" w:sz="0" w:space="0" w:color="auto"/>
        <w:bottom w:val="none" w:sz="0" w:space="0" w:color="auto"/>
        <w:right w:val="none" w:sz="0" w:space="0" w:color="auto"/>
      </w:divBdr>
    </w:div>
    <w:div w:id="297420443">
      <w:marLeft w:val="0"/>
      <w:marRight w:val="0"/>
      <w:marTop w:val="0"/>
      <w:marBottom w:val="240"/>
      <w:divBdr>
        <w:top w:val="none" w:sz="0" w:space="0" w:color="auto"/>
        <w:left w:val="none" w:sz="0" w:space="0" w:color="auto"/>
        <w:bottom w:val="none" w:sz="0" w:space="0" w:color="auto"/>
        <w:right w:val="none" w:sz="0" w:space="0" w:color="auto"/>
      </w:divBdr>
    </w:div>
    <w:div w:id="297691647">
      <w:marLeft w:val="0"/>
      <w:marRight w:val="0"/>
      <w:marTop w:val="0"/>
      <w:marBottom w:val="0"/>
      <w:divBdr>
        <w:top w:val="none" w:sz="0" w:space="0" w:color="auto"/>
        <w:left w:val="none" w:sz="0" w:space="0" w:color="auto"/>
        <w:bottom w:val="none" w:sz="0" w:space="0" w:color="auto"/>
        <w:right w:val="none" w:sz="0" w:space="0" w:color="auto"/>
      </w:divBdr>
    </w:div>
    <w:div w:id="301349786">
      <w:marLeft w:val="0"/>
      <w:marRight w:val="0"/>
      <w:marTop w:val="0"/>
      <w:marBottom w:val="120"/>
      <w:divBdr>
        <w:top w:val="none" w:sz="0" w:space="0" w:color="auto"/>
        <w:left w:val="none" w:sz="0" w:space="0" w:color="auto"/>
        <w:bottom w:val="none" w:sz="0" w:space="0" w:color="auto"/>
        <w:right w:val="none" w:sz="0" w:space="0" w:color="auto"/>
      </w:divBdr>
    </w:div>
    <w:div w:id="301734695">
      <w:marLeft w:val="0"/>
      <w:marRight w:val="0"/>
      <w:marTop w:val="0"/>
      <w:marBottom w:val="240"/>
      <w:divBdr>
        <w:top w:val="none" w:sz="0" w:space="0" w:color="auto"/>
        <w:left w:val="none" w:sz="0" w:space="0" w:color="auto"/>
        <w:bottom w:val="none" w:sz="0" w:space="0" w:color="auto"/>
        <w:right w:val="none" w:sz="0" w:space="0" w:color="auto"/>
      </w:divBdr>
    </w:div>
    <w:div w:id="302546522">
      <w:marLeft w:val="0"/>
      <w:marRight w:val="0"/>
      <w:marTop w:val="0"/>
      <w:marBottom w:val="180"/>
      <w:divBdr>
        <w:top w:val="none" w:sz="0" w:space="0" w:color="auto"/>
        <w:left w:val="none" w:sz="0" w:space="0" w:color="auto"/>
        <w:bottom w:val="none" w:sz="0" w:space="0" w:color="auto"/>
        <w:right w:val="none" w:sz="0" w:space="0" w:color="auto"/>
      </w:divBdr>
    </w:div>
    <w:div w:id="307055351">
      <w:marLeft w:val="0"/>
      <w:marRight w:val="0"/>
      <w:marTop w:val="120"/>
      <w:marBottom w:val="120"/>
      <w:divBdr>
        <w:top w:val="none" w:sz="0" w:space="0" w:color="auto"/>
        <w:left w:val="none" w:sz="0" w:space="0" w:color="auto"/>
        <w:bottom w:val="none" w:sz="0" w:space="0" w:color="auto"/>
        <w:right w:val="none" w:sz="0" w:space="0" w:color="auto"/>
      </w:divBdr>
    </w:div>
    <w:div w:id="307320347">
      <w:marLeft w:val="0"/>
      <w:marRight w:val="0"/>
      <w:marTop w:val="120"/>
      <w:marBottom w:val="120"/>
      <w:divBdr>
        <w:top w:val="none" w:sz="0" w:space="0" w:color="auto"/>
        <w:left w:val="none" w:sz="0" w:space="0" w:color="auto"/>
        <w:bottom w:val="none" w:sz="0" w:space="0" w:color="auto"/>
        <w:right w:val="none" w:sz="0" w:space="0" w:color="auto"/>
      </w:divBdr>
    </w:div>
    <w:div w:id="308873904">
      <w:marLeft w:val="0"/>
      <w:marRight w:val="0"/>
      <w:marTop w:val="0"/>
      <w:marBottom w:val="0"/>
      <w:divBdr>
        <w:top w:val="none" w:sz="0" w:space="0" w:color="auto"/>
        <w:left w:val="none" w:sz="0" w:space="0" w:color="auto"/>
        <w:bottom w:val="none" w:sz="0" w:space="0" w:color="auto"/>
        <w:right w:val="none" w:sz="0" w:space="0" w:color="auto"/>
      </w:divBdr>
      <w:divsChild>
        <w:div w:id="277764536">
          <w:marLeft w:val="0"/>
          <w:marRight w:val="0"/>
          <w:marTop w:val="0"/>
          <w:marBottom w:val="0"/>
          <w:divBdr>
            <w:top w:val="none" w:sz="0" w:space="0" w:color="auto"/>
            <w:left w:val="none" w:sz="0" w:space="0" w:color="auto"/>
            <w:bottom w:val="none" w:sz="0" w:space="0" w:color="auto"/>
            <w:right w:val="none" w:sz="0" w:space="0" w:color="auto"/>
          </w:divBdr>
        </w:div>
      </w:divsChild>
    </w:div>
    <w:div w:id="309600910">
      <w:marLeft w:val="0"/>
      <w:marRight w:val="0"/>
      <w:marTop w:val="0"/>
      <w:marBottom w:val="0"/>
      <w:divBdr>
        <w:top w:val="none" w:sz="0" w:space="0" w:color="auto"/>
        <w:left w:val="none" w:sz="0" w:space="0" w:color="auto"/>
        <w:bottom w:val="none" w:sz="0" w:space="0" w:color="auto"/>
        <w:right w:val="none" w:sz="0" w:space="0" w:color="auto"/>
      </w:divBdr>
      <w:divsChild>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 w:id="310594867">
      <w:marLeft w:val="0"/>
      <w:marRight w:val="0"/>
      <w:marTop w:val="120"/>
      <w:marBottom w:val="120"/>
      <w:divBdr>
        <w:top w:val="none" w:sz="0" w:space="0" w:color="auto"/>
        <w:left w:val="none" w:sz="0" w:space="0" w:color="auto"/>
        <w:bottom w:val="none" w:sz="0" w:space="0" w:color="auto"/>
        <w:right w:val="none" w:sz="0" w:space="0" w:color="auto"/>
      </w:divBdr>
    </w:div>
    <w:div w:id="311759365">
      <w:marLeft w:val="0"/>
      <w:marRight w:val="0"/>
      <w:marTop w:val="0"/>
      <w:marBottom w:val="0"/>
      <w:divBdr>
        <w:top w:val="none" w:sz="0" w:space="0" w:color="auto"/>
        <w:left w:val="none" w:sz="0" w:space="0" w:color="auto"/>
        <w:bottom w:val="none" w:sz="0" w:space="0" w:color="auto"/>
        <w:right w:val="none" w:sz="0" w:space="0" w:color="auto"/>
      </w:divBdr>
      <w:divsChild>
        <w:div w:id="446435123">
          <w:marLeft w:val="0"/>
          <w:marRight w:val="0"/>
          <w:marTop w:val="0"/>
          <w:marBottom w:val="0"/>
          <w:divBdr>
            <w:top w:val="none" w:sz="0" w:space="0" w:color="auto"/>
            <w:left w:val="none" w:sz="0" w:space="0" w:color="auto"/>
            <w:bottom w:val="none" w:sz="0" w:space="0" w:color="auto"/>
            <w:right w:val="none" w:sz="0" w:space="0" w:color="auto"/>
          </w:divBdr>
        </w:div>
      </w:divsChild>
    </w:div>
    <w:div w:id="313729726">
      <w:marLeft w:val="0"/>
      <w:marRight w:val="0"/>
      <w:marTop w:val="120"/>
      <w:marBottom w:val="120"/>
      <w:divBdr>
        <w:top w:val="none" w:sz="0" w:space="0" w:color="auto"/>
        <w:left w:val="none" w:sz="0" w:space="0" w:color="auto"/>
        <w:bottom w:val="none" w:sz="0" w:space="0" w:color="auto"/>
        <w:right w:val="none" w:sz="0" w:space="0" w:color="auto"/>
      </w:divBdr>
    </w:div>
    <w:div w:id="315689502">
      <w:marLeft w:val="0"/>
      <w:marRight w:val="0"/>
      <w:marTop w:val="0"/>
      <w:marBottom w:val="0"/>
      <w:divBdr>
        <w:top w:val="none" w:sz="0" w:space="0" w:color="auto"/>
        <w:left w:val="none" w:sz="0" w:space="0" w:color="auto"/>
        <w:bottom w:val="none" w:sz="0" w:space="0" w:color="auto"/>
        <w:right w:val="none" w:sz="0" w:space="0" w:color="auto"/>
      </w:divBdr>
    </w:div>
    <w:div w:id="316610800">
      <w:marLeft w:val="0"/>
      <w:marRight w:val="0"/>
      <w:marTop w:val="180"/>
      <w:marBottom w:val="180"/>
      <w:divBdr>
        <w:top w:val="none" w:sz="0" w:space="0" w:color="auto"/>
        <w:left w:val="none" w:sz="0" w:space="0" w:color="auto"/>
        <w:bottom w:val="none" w:sz="0" w:space="0" w:color="auto"/>
        <w:right w:val="none" w:sz="0" w:space="0" w:color="auto"/>
      </w:divBdr>
    </w:div>
    <w:div w:id="319848200">
      <w:marLeft w:val="0"/>
      <w:marRight w:val="0"/>
      <w:marTop w:val="180"/>
      <w:marBottom w:val="180"/>
      <w:divBdr>
        <w:top w:val="none" w:sz="0" w:space="0" w:color="auto"/>
        <w:left w:val="none" w:sz="0" w:space="0" w:color="auto"/>
        <w:bottom w:val="none" w:sz="0" w:space="0" w:color="auto"/>
        <w:right w:val="none" w:sz="0" w:space="0" w:color="auto"/>
      </w:divBdr>
    </w:div>
    <w:div w:id="320814807">
      <w:marLeft w:val="0"/>
      <w:marRight w:val="0"/>
      <w:marTop w:val="0"/>
      <w:marBottom w:val="0"/>
      <w:divBdr>
        <w:top w:val="none" w:sz="0" w:space="0" w:color="auto"/>
        <w:left w:val="none" w:sz="0" w:space="0" w:color="auto"/>
        <w:bottom w:val="none" w:sz="0" w:space="0" w:color="auto"/>
        <w:right w:val="none" w:sz="0" w:space="0" w:color="auto"/>
      </w:divBdr>
    </w:div>
    <w:div w:id="323360473">
      <w:marLeft w:val="0"/>
      <w:marRight w:val="0"/>
      <w:marTop w:val="0"/>
      <w:marBottom w:val="0"/>
      <w:divBdr>
        <w:top w:val="none" w:sz="0" w:space="0" w:color="auto"/>
        <w:left w:val="none" w:sz="0" w:space="0" w:color="auto"/>
        <w:bottom w:val="none" w:sz="0" w:space="0" w:color="auto"/>
        <w:right w:val="none" w:sz="0" w:space="0" w:color="auto"/>
      </w:divBdr>
      <w:divsChild>
        <w:div w:id="1680081634">
          <w:marLeft w:val="0"/>
          <w:marRight w:val="0"/>
          <w:marTop w:val="0"/>
          <w:marBottom w:val="0"/>
          <w:divBdr>
            <w:top w:val="none" w:sz="0" w:space="0" w:color="auto"/>
            <w:left w:val="none" w:sz="0" w:space="0" w:color="auto"/>
            <w:bottom w:val="none" w:sz="0" w:space="0" w:color="auto"/>
            <w:right w:val="none" w:sz="0" w:space="0" w:color="auto"/>
          </w:divBdr>
        </w:div>
      </w:divsChild>
    </w:div>
    <w:div w:id="326828513">
      <w:marLeft w:val="0"/>
      <w:marRight w:val="0"/>
      <w:marTop w:val="120"/>
      <w:marBottom w:val="180"/>
      <w:divBdr>
        <w:top w:val="none" w:sz="0" w:space="0" w:color="auto"/>
        <w:left w:val="none" w:sz="0" w:space="0" w:color="auto"/>
        <w:bottom w:val="none" w:sz="0" w:space="0" w:color="auto"/>
        <w:right w:val="none" w:sz="0" w:space="0" w:color="auto"/>
      </w:divBdr>
    </w:div>
    <w:div w:id="330647523">
      <w:marLeft w:val="0"/>
      <w:marRight w:val="0"/>
      <w:marTop w:val="180"/>
      <w:marBottom w:val="180"/>
      <w:divBdr>
        <w:top w:val="none" w:sz="0" w:space="0" w:color="auto"/>
        <w:left w:val="none" w:sz="0" w:space="0" w:color="auto"/>
        <w:bottom w:val="none" w:sz="0" w:space="0" w:color="auto"/>
        <w:right w:val="none" w:sz="0" w:space="0" w:color="auto"/>
      </w:divBdr>
    </w:div>
    <w:div w:id="331563268">
      <w:marLeft w:val="0"/>
      <w:marRight w:val="0"/>
      <w:marTop w:val="0"/>
      <w:marBottom w:val="240"/>
      <w:divBdr>
        <w:top w:val="none" w:sz="0" w:space="0" w:color="auto"/>
        <w:left w:val="none" w:sz="0" w:space="0" w:color="auto"/>
        <w:bottom w:val="none" w:sz="0" w:space="0" w:color="auto"/>
        <w:right w:val="none" w:sz="0" w:space="0" w:color="auto"/>
      </w:divBdr>
    </w:div>
    <w:div w:id="332606385">
      <w:marLeft w:val="0"/>
      <w:marRight w:val="0"/>
      <w:marTop w:val="0"/>
      <w:marBottom w:val="0"/>
      <w:divBdr>
        <w:top w:val="none" w:sz="0" w:space="0" w:color="auto"/>
        <w:left w:val="none" w:sz="0" w:space="0" w:color="auto"/>
        <w:bottom w:val="none" w:sz="0" w:space="0" w:color="auto"/>
        <w:right w:val="none" w:sz="0" w:space="0" w:color="auto"/>
      </w:divBdr>
      <w:divsChild>
        <w:div w:id="1620263808">
          <w:marLeft w:val="0"/>
          <w:marRight w:val="0"/>
          <w:marTop w:val="0"/>
          <w:marBottom w:val="0"/>
          <w:divBdr>
            <w:top w:val="none" w:sz="0" w:space="0" w:color="auto"/>
            <w:left w:val="none" w:sz="0" w:space="0" w:color="auto"/>
            <w:bottom w:val="none" w:sz="0" w:space="0" w:color="auto"/>
            <w:right w:val="none" w:sz="0" w:space="0" w:color="auto"/>
          </w:divBdr>
        </w:div>
      </w:divsChild>
    </w:div>
    <w:div w:id="333535111">
      <w:marLeft w:val="0"/>
      <w:marRight w:val="0"/>
      <w:marTop w:val="0"/>
      <w:marBottom w:val="180"/>
      <w:divBdr>
        <w:top w:val="none" w:sz="0" w:space="0" w:color="auto"/>
        <w:left w:val="none" w:sz="0" w:space="0" w:color="auto"/>
        <w:bottom w:val="none" w:sz="0" w:space="0" w:color="auto"/>
        <w:right w:val="none" w:sz="0" w:space="0" w:color="auto"/>
      </w:divBdr>
    </w:div>
    <w:div w:id="334307839">
      <w:marLeft w:val="0"/>
      <w:marRight w:val="0"/>
      <w:marTop w:val="0"/>
      <w:marBottom w:val="240"/>
      <w:divBdr>
        <w:top w:val="none" w:sz="0" w:space="0" w:color="auto"/>
        <w:left w:val="none" w:sz="0" w:space="0" w:color="auto"/>
        <w:bottom w:val="none" w:sz="0" w:space="0" w:color="auto"/>
        <w:right w:val="none" w:sz="0" w:space="0" w:color="auto"/>
      </w:divBdr>
    </w:div>
    <w:div w:id="337117548">
      <w:marLeft w:val="0"/>
      <w:marRight w:val="0"/>
      <w:marTop w:val="100"/>
      <w:marBottom w:val="0"/>
      <w:divBdr>
        <w:top w:val="none" w:sz="0" w:space="0" w:color="auto"/>
        <w:left w:val="none" w:sz="0" w:space="0" w:color="auto"/>
        <w:bottom w:val="none" w:sz="0" w:space="0" w:color="auto"/>
        <w:right w:val="none" w:sz="0" w:space="0" w:color="auto"/>
      </w:divBdr>
    </w:div>
    <w:div w:id="338044704">
      <w:marLeft w:val="0"/>
      <w:marRight w:val="0"/>
      <w:marTop w:val="120"/>
      <w:marBottom w:val="120"/>
      <w:divBdr>
        <w:top w:val="none" w:sz="0" w:space="0" w:color="auto"/>
        <w:left w:val="none" w:sz="0" w:space="0" w:color="auto"/>
        <w:bottom w:val="none" w:sz="0" w:space="0" w:color="auto"/>
        <w:right w:val="none" w:sz="0" w:space="0" w:color="auto"/>
      </w:divBdr>
    </w:div>
    <w:div w:id="338846799">
      <w:marLeft w:val="0"/>
      <w:marRight w:val="0"/>
      <w:marTop w:val="0"/>
      <w:marBottom w:val="0"/>
      <w:divBdr>
        <w:top w:val="none" w:sz="0" w:space="0" w:color="auto"/>
        <w:left w:val="none" w:sz="0" w:space="0" w:color="auto"/>
        <w:bottom w:val="none" w:sz="0" w:space="0" w:color="auto"/>
        <w:right w:val="none" w:sz="0" w:space="0" w:color="auto"/>
      </w:divBdr>
      <w:divsChild>
        <w:div w:id="1855455379">
          <w:marLeft w:val="0"/>
          <w:marRight w:val="0"/>
          <w:marTop w:val="0"/>
          <w:marBottom w:val="0"/>
          <w:divBdr>
            <w:top w:val="none" w:sz="0" w:space="0" w:color="auto"/>
            <w:left w:val="none" w:sz="0" w:space="0" w:color="auto"/>
            <w:bottom w:val="none" w:sz="0" w:space="0" w:color="auto"/>
            <w:right w:val="none" w:sz="0" w:space="0" w:color="auto"/>
          </w:divBdr>
        </w:div>
      </w:divsChild>
    </w:div>
    <w:div w:id="341395797">
      <w:marLeft w:val="0"/>
      <w:marRight w:val="0"/>
      <w:marTop w:val="0"/>
      <w:marBottom w:val="240"/>
      <w:divBdr>
        <w:top w:val="none" w:sz="0" w:space="0" w:color="auto"/>
        <w:left w:val="none" w:sz="0" w:space="0" w:color="auto"/>
        <w:bottom w:val="none" w:sz="0" w:space="0" w:color="auto"/>
        <w:right w:val="none" w:sz="0" w:space="0" w:color="auto"/>
      </w:divBdr>
    </w:div>
    <w:div w:id="342439849">
      <w:marLeft w:val="0"/>
      <w:marRight w:val="0"/>
      <w:marTop w:val="0"/>
      <w:marBottom w:val="180"/>
      <w:divBdr>
        <w:top w:val="none" w:sz="0" w:space="0" w:color="auto"/>
        <w:left w:val="none" w:sz="0" w:space="0" w:color="auto"/>
        <w:bottom w:val="none" w:sz="0" w:space="0" w:color="auto"/>
        <w:right w:val="none" w:sz="0" w:space="0" w:color="auto"/>
      </w:divBdr>
    </w:div>
    <w:div w:id="343287433">
      <w:marLeft w:val="0"/>
      <w:marRight w:val="0"/>
      <w:marTop w:val="0"/>
      <w:marBottom w:val="0"/>
      <w:divBdr>
        <w:top w:val="none" w:sz="0" w:space="0" w:color="auto"/>
        <w:left w:val="none" w:sz="0" w:space="0" w:color="auto"/>
        <w:bottom w:val="none" w:sz="0" w:space="0" w:color="auto"/>
        <w:right w:val="none" w:sz="0" w:space="0" w:color="auto"/>
      </w:divBdr>
      <w:divsChild>
        <w:div w:id="1205554567">
          <w:marLeft w:val="0"/>
          <w:marRight w:val="0"/>
          <w:marTop w:val="0"/>
          <w:marBottom w:val="0"/>
          <w:divBdr>
            <w:top w:val="none" w:sz="0" w:space="0" w:color="auto"/>
            <w:left w:val="none" w:sz="0" w:space="0" w:color="auto"/>
            <w:bottom w:val="none" w:sz="0" w:space="0" w:color="auto"/>
            <w:right w:val="none" w:sz="0" w:space="0" w:color="auto"/>
          </w:divBdr>
        </w:div>
        <w:div w:id="1272125532">
          <w:marLeft w:val="0"/>
          <w:marRight w:val="0"/>
          <w:marTop w:val="0"/>
          <w:marBottom w:val="0"/>
          <w:divBdr>
            <w:top w:val="none" w:sz="0" w:space="0" w:color="auto"/>
            <w:left w:val="none" w:sz="0" w:space="0" w:color="auto"/>
            <w:bottom w:val="none" w:sz="0" w:space="0" w:color="auto"/>
            <w:right w:val="none" w:sz="0" w:space="0" w:color="auto"/>
          </w:divBdr>
        </w:div>
        <w:div w:id="218170053">
          <w:marLeft w:val="0"/>
          <w:marRight w:val="0"/>
          <w:marTop w:val="0"/>
          <w:marBottom w:val="0"/>
          <w:divBdr>
            <w:top w:val="none" w:sz="0" w:space="0" w:color="auto"/>
            <w:left w:val="none" w:sz="0" w:space="0" w:color="auto"/>
            <w:bottom w:val="none" w:sz="0" w:space="0" w:color="auto"/>
            <w:right w:val="none" w:sz="0" w:space="0" w:color="auto"/>
          </w:divBdr>
        </w:div>
      </w:divsChild>
    </w:div>
    <w:div w:id="344941932">
      <w:marLeft w:val="0"/>
      <w:marRight w:val="0"/>
      <w:marTop w:val="0"/>
      <w:marBottom w:val="0"/>
      <w:divBdr>
        <w:top w:val="none" w:sz="0" w:space="0" w:color="auto"/>
        <w:left w:val="none" w:sz="0" w:space="0" w:color="auto"/>
        <w:bottom w:val="none" w:sz="0" w:space="0" w:color="auto"/>
        <w:right w:val="none" w:sz="0" w:space="0" w:color="auto"/>
      </w:divBdr>
    </w:div>
    <w:div w:id="350185126">
      <w:marLeft w:val="0"/>
      <w:marRight w:val="0"/>
      <w:marTop w:val="0"/>
      <w:marBottom w:val="240"/>
      <w:divBdr>
        <w:top w:val="none" w:sz="0" w:space="0" w:color="auto"/>
        <w:left w:val="none" w:sz="0" w:space="0" w:color="auto"/>
        <w:bottom w:val="none" w:sz="0" w:space="0" w:color="auto"/>
        <w:right w:val="none" w:sz="0" w:space="0" w:color="auto"/>
      </w:divBdr>
    </w:div>
    <w:div w:id="352078376">
      <w:marLeft w:val="0"/>
      <w:marRight w:val="0"/>
      <w:marTop w:val="0"/>
      <w:marBottom w:val="240"/>
      <w:divBdr>
        <w:top w:val="none" w:sz="0" w:space="0" w:color="auto"/>
        <w:left w:val="none" w:sz="0" w:space="0" w:color="auto"/>
        <w:bottom w:val="none" w:sz="0" w:space="0" w:color="auto"/>
        <w:right w:val="none" w:sz="0" w:space="0" w:color="auto"/>
      </w:divBdr>
    </w:div>
    <w:div w:id="354161305">
      <w:marLeft w:val="0"/>
      <w:marRight w:val="0"/>
      <w:marTop w:val="0"/>
      <w:marBottom w:val="180"/>
      <w:divBdr>
        <w:top w:val="none" w:sz="0" w:space="0" w:color="auto"/>
        <w:left w:val="none" w:sz="0" w:space="0" w:color="auto"/>
        <w:bottom w:val="none" w:sz="0" w:space="0" w:color="auto"/>
        <w:right w:val="none" w:sz="0" w:space="0" w:color="auto"/>
      </w:divBdr>
    </w:div>
    <w:div w:id="355733527">
      <w:marLeft w:val="0"/>
      <w:marRight w:val="0"/>
      <w:marTop w:val="120"/>
      <w:marBottom w:val="120"/>
      <w:divBdr>
        <w:top w:val="none" w:sz="0" w:space="0" w:color="auto"/>
        <w:left w:val="none" w:sz="0" w:space="0" w:color="auto"/>
        <w:bottom w:val="none" w:sz="0" w:space="0" w:color="auto"/>
        <w:right w:val="none" w:sz="0" w:space="0" w:color="auto"/>
      </w:divBdr>
    </w:div>
    <w:div w:id="360204159">
      <w:marLeft w:val="0"/>
      <w:marRight w:val="0"/>
      <w:marTop w:val="0"/>
      <w:marBottom w:val="60"/>
      <w:divBdr>
        <w:top w:val="none" w:sz="0" w:space="0" w:color="auto"/>
        <w:left w:val="none" w:sz="0" w:space="0" w:color="auto"/>
        <w:bottom w:val="none" w:sz="0" w:space="0" w:color="auto"/>
        <w:right w:val="none" w:sz="0" w:space="0" w:color="auto"/>
      </w:divBdr>
    </w:div>
    <w:div w:id="360470868">
      <w:marLeft w:val="0"/>
      <w:marRight w:val="0"/>
      <w:marTop w:val="180"/>
      <w:marBottom w:val="180"/>
      <w:divBdr>
        <w:top w:val="none" w:sz="0" w:space="0" w:color="auto"/>
        <w:left w:val="none" w:sz="0" w:space="0" w:color="auto"/>
        <w:bottom w:val="none" w:sz="0" w:space="0" w:color="auto"/>
        <w:right w:val="none" w:sz="0" w:space="0" w:color="auto"/>
      </w:divBdr>
    </w:div>
    <w:div w:id="360907719">
      <w:marLeft w:val="0"/>
      <w:marRight w:val="0"/>
      <w:marTop w:val="0"/>
      <w:marBottom w:val="0"/>
      <w:divBdr>
        <w:top w:val="none" w:sz="0" w:space="0" w:color="auto"/>
        <w:left w:val="none" w:sz="0" w:space="0" w:color="auto"/>
        <w:bottom w:val="none" w:sz="0" w:space="0" w:color="auto"/>
        <w:right w:val="none" w:sz="0" w:space="0" w:color="auto"/>
      </w:divBdr>
      <w:divsChild>
        <w:div w:id="1515534594">
          <w:marLeft w:val="0"/>
          <w:marRight w:val="0"/>
          <w:marTop w:val="0"/>
          <w:marBottom w:val="0"/>
          <w:divBdr>
            <w:top w:val="none" w:sz="0" w:space="0" w:color="auto"/>
            <w:left w:val="none" w:sz="0" w:space="0" w:color="auto"/>
            <w:bottom w:val="none" w:sz="0" w:space="0" w:color="auto"/>
            <w:right w:val="none" w:sz="0" w:space="0" w:color="auto"/>
          </w:divBdr>
        </w:div>
      </w:divsChild>
    </w:div>
    <w:div w:id="362021452">
      <w:marLeft w:val="0"/>
      <w:marRight w:val="0"/>
      <w:marTop w:val="180"/>
      <w:marBottom w:val="180"/>
      <w:divBdr>
        <w:top w:val="none" w:sz="0" w:space="0" w:color="auto"/>
        <w:left w:val="none" w:sz="0" w:space="0" w:color="auto"/>
        <w:bottom w:val="none" w:sz="0" w:space="0" w:color="auto"/>
        <w:right w:val="none" w:sz="0" w:space="0" w:color="auto"/>
      </w:divBdr>
    </w:div>
    <w:div w:id="363872341">
      <w:marLeft w:val="0"/>
      <w:marRight w:val="0"/>
      <w:marTop w:val="0"/>
      <w:marBottom w:val="0"/>
      <w:divBdr>
        <w:top w:val="none" w:sz="0" w:space="0" w:color="auto"/>
        <w:left w:val="none" w:sz="0" w:space="0" w:color="auto"/>
        <w:bottom w:val="none" w:sz="0" w:space="0" w:color="auto"/>
        <w:right w:val="none" w:sz="0" w:space="0" w:color="auto"/>
      </w:divBdr>
      <w:divsChild>
        <w:div w:id="442846657">
          <w:marLeft w:val="0"/>
          <w:marRight w:val="0"/>
          <w:marTop w:val="0"/>
          <w:marBottom w:val="0"/>
          <w:divBdr>
            <w:top w:val="none" w:sz="0" w:space="0" w:color="auto"/>
            <w:left w:val="none" w:sz="0" w:space="0" w:color="auto"/>
            <w:bottom w:val="none" w:sz="0" w:space="0" w:color="auto"/>
            <w:right w:val="none" w:sz="0" w:space="0" w:color="auto"/>
          </w:divBdr>
        </w:div>
      </w:divsChild>
    </w:div>
    <w:div w:id="363948051">
      <w:marLeft w:val="0"/>
      <w:marRight w:val="0"/>
      <w:marTop w:val="0"/>
      <w:marBottom w:val="180"/>
      <w:divBdr>
        <w:top w:val="none" w:sz="0" w:space="0" w:color="auto"/>
        <w:left w:val="none" w:sz="0" w:space="0" w:color="auto"/>
        <w:bottom w:val="none" w:sz="0" w:space="0" w:color="auto"/>
        <w:right w:val="none" w:sz="0" w:space="0" w:color="auto"/>
      </w:divBdr>
    </w:div>
    <w:div w:id="365177548">
      <w:marLeft w:val="0"/>
      <w:marRight w:val="0"/>
      <w:marTop w:val="0"/>
      <w:marBottom w:val="180"/>
      <w:divBdr>
        <w:top w:val="none" w:sz="0" w:space="0" w:color="auto"/>
        <w:left w:val="none" w:sz="0" w:space="0" w:color="auto"/>
        <w:bottom w:val="none" w:sz="0" w:space="0" w:color="auto"/>
        <w:right w:val="none" w:sz="0" w:space="0" w:color="auto"/>
      </w:divBdr>
    </w:div>
    <w:div w:id="365250656">
      <w:marLeft w:val="0"/>
      <w:marRight w:val="0"/>
      <w:marTop w:val="0"/>
      <w:marBottom w:val="240"/>
      <w:divBdr>
        <w:top w:val="none" w:sz="0" w:space="0" w:color="auto"/>
        <w:left w:val="none" w:sz="0" w:space="0" w:color="auto"/>
        <w:bottom w:val="none" w:sz="0" w:space="0" w:color="auto"/>
        <w:right w:val="none" w:sz="0" w:space="0" w:color="auto"/>
      </w:divBdr>
    </w:div>
    <w:div w:id="368191171">
      <w:marLeft w:val="0"/>
      <w:marRight w:val="0"/>
      <w:marTop w:val="180"/>
      <w:marBottom w:val="180"/>
      <w:divBdr>
        <w:top w:val="none" w:sz="0" w:space="0" w:color="auto"/>
        <w:left w:val="none" w:sz="0" w:space="0" w:color="auto"/>
        <w:bottom w:val="none" w:sz="0" w:space="0" w:color="auto"/>
        <w:right w:val="none" w:sz="0" w:space="0" w:color="auto"/>
      </w:divBdr>
    </w:div>
    <w:div w:id="368652371">
      <w:marLeft w:val="0"/>
      <w:marRight w:val="0"/>
      <w:marTop w:val="0"/>
      <w:marBottom w:val="240"/>
      <w:divBdr>
        <w:top w:val="none" w:sz="0" w:space="0" w:color="auto"/>
        <w:left w:val="none" w:sz="0" w:space="0" w:color="auto"/>
        <w:bottom w:val="none" w:sz="0" w:space="0" w:color="auto"/>
        <w:right w:val="none" w:sz="0" w:space="0" w:color="auto"/>
      </w:divBdr>
    </w:div>
    <w:div w:id="370111340">
      <w:marLeft w:val="0"/>
      <w:marRight w:val="0"/>
      <w:marTop w:val="180"/>
      <w:marBottom w:val="180"/>
      <w:divBdr>
        <w:top w:val="none" w:sz="0" w:space="0" w:color="auto"/>
        <w:left w:val="none" w:sz="0" w:space="0" w:color="auto"/>
        <w:bottom w:val="none" w:sz="0" w:space="0" w:color="auto"/>
        <w:right w:val="none" w:sz="0" w:space="0" w:color="auto"/>
      </w:divBdr>
    </w:div>
    <w:div w:id="375324962">
      <w:marLeft w:val="0"/>
      <w:marRight w:val="0"/>
      <w:marTop w:val="0"/>
      <w:marBottom w:val="180"/>
      <w:divBdr>
        <w:top w:val="none" w:sz="0" w:space="0" w:color="auto"/>
        <w:left w:val="none" w:sz="0" w:space="0" w:color="auto"/>
        <w:bottom w:val="none" w:sz="0" w:space="0" w:color="auto"/>
        <w:right w:val="none" w:sz="0" w:space="0" w:color="auto"/>
      </w:divBdr>
    </w:div>
    <w:div w:id="379670214">
      <w:marLeft w:val="0"/>
      <w:marRight w:val="0"/>
      <w:marTop w:val="0"/>
      <w:marBottom w:val="0"/>
      <w:divBdr>
        <w:top w:val="none" w:sz="0" w:space="0" w:color="auto"/>
        <w:left w:val="none" w:sz="0" w:space="0" w:color="auto"/>
        <w:bottom w:val="none" w:sz="0" w:space="0" w:color="auto"/>
        <w:right w:val="none" w:sz="0" w:space="0" w:color="auto"/>
      </w:divBdr>
      <w:divsChild>
        <w:div w:id="766733253">
          <w:marLeft w:val="0"/>
          <w:marRight w:val="0"/>
          <w:marTop w:val="0"/>
          <w:marBottom w:val="0"/>
          <w:divBdr>
            <w:top w:val="none" w:sz="0" w:space="0" w:color="auto"/>
            <w:left w:val="none" w:sz="0" w:space="0" w:color="auto"/>
            <w:bottom w:val="none" w:sz="0" w:space="0" w:color="auto"/>
            <w:right w:val="none" w:sz="0" w:space="0" w:color="auto"/>
          </w:divBdr>
        </w:div>
      </w:divsChild>
    </w:div>
    <w:div w:id="382678672">
      <w:marLeft w:val="0"/>
      <w:marRight w:val="0"/>
      <w:marTop w:val="120"/>
      <w:marBottom w:val="120"/>
      <w:divBdr>
        <w:top w:val="none" w:sz="0" w:space="0" w:color="auto"/>
        <w:left w:val="none" w:sz="0" w:space="0" w:color="auto"/>
        <w:bottom w:val="none" w:sz="0" w:space="0" w:color="auto"/>
        <w:right w:val="none" w:sz="0" w:space="0" w:color="auto"/>
      </w:divBdr>
    </w:div>
    <w:div w:id="388311734">
      <w:marLeft w:val="0"/>
      <w:marRight w:val="0"/>
      <w:marTop w:val="0"/>
      <w:marBottom w:val="0"/>
      <w:divBdr>
        <w:top w:val="none" w:sz="0" w:space="0" w:color="auto"/>
        <w:left w:val="none" w:sz="0" w:space="0" w:color="auto"/>
        <w:bottom w:val="none" w:sz="0" w:space="0" w:color="auto"/>
        <w:right w:val="none" w:sz="0" w:space="0" w:color="auto"/>
      </w:divBdr>
      <w:divsChild>
        <w:div w:id="407388972">
          <w:marLeft w:val="0"/>
          <w:marRight w:val="0"/>
          <w:marTop w:val="0"/>
          <w:marBottom w:val="0"/>
          <w:divBdr>
            <w:top w:val="none" w:sz="0" w:space="0" w:color="auto"/>
            <w:left w:val="none" w:sz="0" w:space="0" w:color="auto"/>
            <w:bottom w:val="none" w:sz="0" w:space="0" w:color="auto"/>
            <w:right w:val="none" w:sz="0" w:space="0" w:color="auto"/>
          </w:divBdr>
        </w:div>
      </w:divsChild>
    </w:div>
    <w:div w:id="389570981">
      <w:marLeft w:val="0"/>
      <w:marRight w:val="0"/>
      <w:marTop w:val="0"/>
      <w:marBottom w:val="0"/>
      <w:divBdr>
        <w:top w:val="none" w:sz="0" w:space="0" w:color="auto"/>
        <w:left w:val="none" w:sz="0" w:space="0" w:color="auto"/>
        <w:bottom w:val="none" w:sz="0" w:space="0" w:color="auto"/>
        <w:right w:val="none" w:sz="0" w:space="0" w:color="auto"/>
      </w:divBdr>
    </w:div>
    <w:div w:id="395014026">
      <w:marLeft w:val="0"/>
      <w:marRight w:val="0"/>
      <w:marTop w:val="0"/>
      <w:marBottom w:val="0"/>
      <w:divBdr>
        <w:top w:val="none" w:sz="0" w:space="0" w:color="auto"/>
        <w:left w:val="none" w:sz="0" w:space="0" w:color="auto"/>
        <w:bottom w:val="none" w:sz="0" w:space="0" w:color="auto"/>
        <w:right w:val="none" w:sz="0" w:space="0" w:color="auto"/>
      </w:divBdr>
    </w:div>
    <w:div w:id="397289839">
      <w:marLeft w:val="0"/>
      <w:marRight w:val="0"/>
      <w:marTop w:val="120"/>
      <w:marBottom w:val="120"/>
      <w:divBdr>
        <w:top w:val="none" w:sz="0" w:space="0" w:color="auto"/>
        <w:left w:val="none" w:sz="0" w:space="0" w:color="auto"/>
        <w:bottom w:val="none" w:sz="0" w:space="0" w:color="auto"/>
        <w:right w:val="none" w:sz="0" w:space="0" w:color="auto"/>
      </w:divBdr>
    </w:div>
    <w:div w:id="398864627">
      <w:marLeft w:val="0"/>
      <w:marRight w:val="0"/>
      <w:marTop w:val="120"/>
      <w:marBottom w:val="240"/>
      <w:divBdr>
        <w:top w:val="none" w:sz="0" w:space="0" w:color="auto"/>
        <w:left w:val="none" w:sz="0" w:space="0" w:color="auto"/>
        <w:bottom w:val="none" w:sz="0" w:space="0" w:color="auto"/>
        <w:right w:val="none" w:sz="0" w:space="0" w:color="auto"/>
      </w:divBdr>
    </w:div>
    <w:div w:id="402027392">
      <w:marLeft w:val="0"/>
      <w:marRight w:val="0"/>
      <w:marTop w:val="0"/>
      <w:marBottom w:val="240"/>
      <w:divBdr>
        <w:top w:val="none" w:sz="0" w:space="0" w:color="auto"/>
        <w:left w:val="none" w:sz="0" w:space="0" w:color="auto"/>
        <w:bottom w:val="none" w:sz="0" w:space="0" w:color="auto"/>
        <w:right w:val="none" w:sz="0" w:space="0" w:color="auto"/>
      </w:divBdr>
    </w:div>
    <w:div w:id="402604160">
      <w:marLeft w:val="0"/>
      <w:marRight w:val="0"/>
      <w:marTop w:val="0"/>
      <w:marBottom w:val="180"/>
      <w:divBdr>
        <w:top w:val="none" w:sz="0" w:space="0" w:color="auto"/>
        <w:left w:val="none" w:sz="0" w:space="0" w:color="auto"/>
        <w:bottom w:val="none" w:sz="0" w:space="0" w:color="auto"/>
        <w:right w:val="none" w:sz="0" w:space="0" w:color="auto"/>
      </w:divBdr>
    </w:div>
    <w:div w:id="403725839">
      <w:marLeft w:val="0"/>
      <w:marRight w:val="0"/>
      <w:marTop w:val="0"/>
      <w:marBottom w:val="0"/>
      <w:divBdr>
        <w:top w:val="none" w:sz="0" w:space="0" w:color="auto"/>
        <w:left w:val="none" w:sz="0" w:space="0" w:color="auto"/>
        <w:bottom w:val="none" w:sz="0" w:space="0" w:color="auto"/>
        <w:right w:val="none" w:sz="0" w:space="0" w:color="auto"/>
      </w:divBdr>
      <w:divsChild>
        <w:div w:id="2044205699">
          <w:marLeft w:val="0"/>
          <w:marRight w:val="0"/>
          <w:marTop w:val="0"/>
          <w:marBottom w:val="0"/>
          <w:divBdr>
            <w:top w:val="none" w:sz="0" w:space="0" w:color="auto"/>
            <w:left w:val="none" w:sz="0" w:space="0" w:color="auto"/>
            <w:bottom w:val="none" w:sz="0" w:space="0" w:color="auto"/>
            <w:right w:val="none" w:sz="0" w:space="0" w:color="auto"/>
          </w:divBdr>
        </w:div>
      </w:divsChild>
    </w:div>
    <w:div w:id="404450860">
      <w:marLeft w:val="0"/>
      <w:marRight w:val="0"/>
      <w:marTop w:val="0"/>
      <w:marBottom w:val="0"/>
      <w:divBdr>
        <w:top w:val="none" w:sz="0" w:space="0" w:color="auto"/>
        <w:left w:val="none" w:sz="0" w:space="0" w:color="auto"/>
        <w:bottom w:val="none" w:sz="0" w:space="0" w:color="auto"/>
        <w:right w:val="none" w:sz="0" w:space="0" w:color="auto"/>
      </w:divBdr>
    </w:div>
    <w:div w:id="405104759">
      <w:marLeft w:val="0"/>
      <w:marRight w:val="0"/>
      <w:marTop w:val="0"/>
      <w:marBottom w:val="0"/>
      <w:divBdr>
        <w:top w:val="none" w:sz="0" w:space="0" w:color="auto"/>
        <w:left w:val="none" w:sz="0" w:space="0" w:color="auto"/>
        <w:bottom w:val="none" w:sz="0" w:space="0" w:color="auto"/>
        <w:right w:val="none" w:sz="0" w:space="0" w:color="auto"/>
      </w:divBdr>
    </w:div>
    <w:div w:id="405109614">
      <w:marLeft w:val="0"/>
      <w:marRight w:val="0"/>
      <w:marTop w:val="0"/>
      <w:marBottom w:val="0"/>
      <w:divBdr>
        <w:top w:val="none" w:sz="0" w:space="0" w:color="auto"/>
        <w:left w:val="none" w:sz="0" w:space="0" w:color="auto"/>
        <w:bottom w:val="none" w:sz="0" w:space="0" w:color="auto"/>
        <w:right w:val="none" w:sz="0" w:space="0" w:color="auto"/>
      </w:divBdr>
      <w:divsChild>
        <w:div w:id="299262923">
          <w:marLeft w:val="0"/>
          <w:marRight w:val="0"/>
          <w:marTop w:val="0"/>
          <w:marBottom w:val="0"/>
          <w:divBdr>
            <w:top w:val="none" w:sz="0" w:space="0" w:color="auto"/>
            <w:left w:val="none" w:sz="0" w:space="0" w:color="auto"/>
            <w:bottom w:val="none" w:sz="0" w:space="0" w:color="auto"/>
            <w:right w:val="none" w:sz="0" w:space="0" w:color="auto"/>
          </w:divBdr>
        </w:div>
      </w:divsChild>
    </w:div>
    <w:div w:id="407653371">
      <w:marLeft w:val="0"/>
      <w:marRight w:val="0"/>
      <w:marTop w:val="0"/>
      <w:marBottom w:val="180"/>
      <w:divBdr>
        <w:top w:val="none" w:sz="0" w:space="0" w:color="auto"/>
        <w:left w:val="none" w:sz="0" w:space="0" w:color="auto"/>
        <w:bottom w:val="none" w:sz="0" w:space="0" w:color="auto"/>
        <w:right w:val="none" w:sz="0" w:space="0" w:color="auto"/>
      </w:divBdr>
    </w:div>
    <w:div w:id="411005801">
      <w:marLeft w:val="0"/>
      <w:marRight w:val="0"/>
      <w:marTop w:val="0"/>
      <w:marBottom w:val="0"/>
      <w:divBdr>
        <w:top w:val="none" w:sz="0" w:space="0" w:color="auto"/>
        <w:left w:val="none" w:sz="0" w:space="0" w:color="auto"/>
        <w:bottom w:val="none" w:sz="0" w:space="0" w:color="auto"/>
        <w:right w:val="none" w:sz="0" w:space="0" w:color="auto"/>
      </w:divBdr>
    </w:div>
    <w:div w:id="412897289">
      <w:marLeft w:val="0"/>
      <w:marRight w:val="0"/>
      <w:marTop w:val="0"/>
      <w:marBottom w:val="0"/>
      <w:divBdr>
        <w:top w:val="none" w:sz="0" w:space="0" w:color="auto"/>
        <w:left w:val="none" w:sz="0" w:space="0" w:color="auto"/>
        <w:bottom w:val="none" w:sz="0" w:space="0" w:color="auto"/>
        <w:right w:val="none" w:sz="0" w:space="0" w:color="auto"/>
      </w:divBdr>
      <w:divsChild>
        <w:div w:id="446971816">
          <w:marLeft w:val="0"/>
          <w:marRight w:val="0"/>
          <w:marTop w:val="0"/>
          <w:marBottom w:val="0"/>
          <w:divBdr>
            <w:top w:val="none" w:sz="0" w:space="0" w:color="auto"/>
            <w:left w:val="none" w:sz="0" w:space="0" w:color="auto"/>
            <w:bottom w:val="none" w:sz="0" w:space="0" w:color="auto"/>
            <w:right w:val="none" w:sz="0" w:space="0" w:color="auto"/>
          </w:divBdr>
        </w:div>
      </w:divsChild>
    </w:div>
    <w:div w:id="413473779">
      <w:marLeft w:val="0"/>
      <w:marRight w:val="0"/>
      <w:marTop w:val="0"/>
      <w:marBottom w:val="240"/>
      <w:divBdr>
        <w:top w:val="none" w:sz="0" w:space="0" w:color="auto"/>
        <w:left w:val="none" w:sz="0" w:space="0" w:color="auto"/>
        <w:bottom w:val="none" w:sz="0" w:space="0" w:color="auto"/>
        <w:right w:val="none" w:sz="0" w:space="0" w:color="auto"/>
      </w:divBdr>
    </w:div>
    <w:div w:id="415053103">
      <w:marLeft w:val="0"/>
      <w:marRight w:val="0"/>
      <w:marTop w:val="120"/>
      <w:marBottom w:val="120"/>
      <w:divBdr>
        <w:top w:val="none" w:sz="0" w:space="0" w:color="auto"/>
        <w:left w:val="none" w:sz="0" w:space="0" w:color="auto"/>
        <w:bottom w:val="none" w:sz="0" w:space="0" w:color="auto"/>
        <w:right w:val="none" w:sz="0" w:space="0" w:color="auto"/>
      </w:divBdr>
    </w:div>
    <w:div w:id="416558580">
      <w:marLeft w:val="0"/>
      <w:marRight w:val="0"/>
      <w:marTop w:val="180"/>
      <w:marBottom w:val="180"/>
      <w:divBdr>
        <w:top w:val="none" w:sz="0" w:space="0" w:color="auto"/>
        <w:left w:val="none" w:sz="0" w:space="0" w:color="auto"/>
        <w:bottom w:val="none" w:sz="0" w:space="0" w:color="auto"/>
        <w:right w:val="none" w:sz="0" w:space="0" w:color="auto"/>
      </w:divBdr>
    </w:div>
    <w:div w:id="417211294">
      <w:marLeft w:val="0"/>
      <w:marRight w:val="0"/>
      <w:marTop w:val="0"/>
      <w:marBottom w:val="0"/>
      <w:divBdr>
        <w:top w:val="none" w:sz="0" w:space="0" w:color="auto"/>
        <w:left w:val="none" w:sz="0" w:space="0" w:color="auto"/>
        <w:bottom w:val="none" w:sz="0" w:space="0" w:color="auto"/>
        <w:right w:val="none" w:sz="0" w:space="0" w:color="auto"/>
      </w:divBdr>
      <w:divsChild>
        <w:div w:id="1097098831">
          <w:marLeft w:val="0"/>
          <w:marRight w:val="0"/>
          <w:marTop w:val="0"/>
          <w:marBottom w:val="0"/>
          <w:divBdr>
            <w:top w:val="none" w:sz="0" w:space="0" w:color="auto"/>
            <w:left w:val="none" w:sz="0" w:space="0" w:color="auto"/>
            <w:bottom w:val="none" w:sz="0" w:space="0" w:color="auto"/>
            <w:right w:val="none" w:sz="0" w:space="0" w:color="auto"/>
          </w:divBdr>
        </w:div>
      </w:divsChild>
    </w:div>
    <w:div w:id="420762360">
      <w:marLeft w:val="0"/>
      <w:marRight w:val="0"/>
      <w:marTop w:val="0"/>
      <w:marBottom w:val="0"/>
      <w:divBdr>
        <w:top w:val="none" w:sz="0" w:space="0" w:color="auto"/>
        <w:left w:val="none" w:sz="0" w:space="0" w:color="auto"/>
        <w:bottom w:val="none" w:sz="0" w:space="0" w:color="auto"/>
        <w:right w:val="none" w:sz="0" w:space="0" w:color="auto"/>
      </w:divBdr>
    </w:div>
    <w:div w:id="425734069">
      <w:marLeft w:val="0"/>
      <w:marRight w:val="0"/>
      <w:marTop w:val="0"/>
      <w:marBottom w:val="0"/>
      <w:divBdr>
        <w:top w:val="none" w:sz="0" w:space="0" w:color="auto"/>
        <w:left w:val="none" w:sz="0" w:space="0" w:color="auto"/>
        <w:bottom w:val="none" w:sz="0" w:space="0" w:color="auto"/>
        <w:right w:val="none" w:sz="0" w:space="0" w:color="auto"/>
      </w:divBdr>
      <w:divsChild>
        <w:div w:id="584218633">
          <w:marLeft w:val="0"/>
          <w:marRight w:val="0"/>
          <w:marTop w:val="0"/>
          <w:marBottom w:val="0"/>
          <w:divBdr>
            <w:top w:val="none" w:sz="0" w:space="0" w:color="auto"/>
            <w:left w:val="none" w:sz="0" w:space="0" w:color="auto"/>
            <w:bottom w:val="none" w:sz="0" w:space="0" w:color="auto"/>
            <w:right w:val="none" w:sz="0" w:space="0" w:color="auto"/>
          </w:divBdr>
        </w:div>
      </w:divsChild>
    </w:div>
    <w:div w:id="426124234">
      <w:marLeft w:val="0"/>
      <w:marRight w:val="0"/>
      <w:marTop w:val="0"/>
      <w:marBottom w:val="0"/>
      <w:divBdr>
        <w:top w:val="none" w:sz="0" w:space="0" w:color="auto"/>
        <w:left w:val="none" w:sz="0" w:space="0" w:color="auto"/>
        <w:bottom w:val="none" w:sz="0" w:space="0" w:color="auto"/>
        <w:right w:val="none" w:sz="0" w:space="0" w:color="auto"/>
      </w:divBdr>
    </w:div>
    <w:div w:id="427122544">
      <w:marLeft w:val="0"/>
      <w:marRight w:val="0"/>
      <w:marTop w:val="0"/>
      <w:marBottom w:val="0"/>
      <w:divBdr>
        <w:top w:val="none" w:sz="0" w:space="0" w:color="auto"/>
        <w:left w:val="none" w:sz="0" w:space="0" w:color="auto"/>
        <w:bottom w:val="none" w:sz="0" w:space="0" w:color="auto"/>
        <w:right w:val="none" w:sz="0" w:space="0" w:color="auto"/>
      </w:divBdr>
      <w:divsChild>
        <w:div w:id="41178352">
          <w:marLeft w:val="0"/>
          <w:marRight w:val="0"/>
          <w:marTop w:val="0"/>
          <w:marBottom w:val="0"/>
          <w:divBdr>
            <w:top w:val="none" w:sz="0" w:space="0" w:color="auto"/>
            <w:left w:val="none" w:sz="0" w:space="0" w:color="auto"/>
            <w:bottom w:val="none" w:sz="0" w:space="0" w:color="auto"/>
            <w:right w:val="none" w:sz="0" w:space="0" w:color="auto"/>
          </w:divBdr>
        </w:div>
      </w:divsChild>
    </w:div>
    <w:div w:id="428240608">
      <w:marLeft w:val="0"/>
      <w:marRight w:val="0"/>
      <w:marTop w:val="180"/>
      <w:marBottom w:val="180"/>
      <w:divBdr>
        <w:top w:val="none" w:sz="0" w:space="0" w:color="auto"/>
        <w:left w:val="none" w:sz="0" w:space="0" w:color="auto"/>
        <w:bottom w:val="none" w:sz="0" w:space="0" w:color="auto"/>
        <w:right w:val="none" w:sz="0" w:space="0" w:color="auto"/>
      </w:divBdr>
    </w:div>
    <w:div w:id="429662693">
      <w:marLeft w:val="0"/>
      <w:marRight w:val="0"/>
      <w:marTop w:val="0"/>
      <w:marBottom w:val="0"/>
      <w:divBdr>
        <w:top w:val="none" w:sz="0" w:space="0" w:color="auto"/>
        <w:left w:val="none" w:sz="0" w:space="0" w:color="auto"/>
        <w:bottom w:val="none" w:sz="0" w:space="0" w:color="auto"/>
        <w:right w:val="none" w:sz="0" w:space="0" w:color="auto"/>
      </w:divBdr>
    </w:div>
    <w:div w:id="429861903">
      <w:marLeft w:val="0"/>
      <w:marRight w:val="0"/>
      <w:marTop w:val="0"/>
      <w:marBottom w:val="240"/>
      <w:divBdr>
        <w:top w:val="none" w:sz="0" w:space="0" w:color="auto"/>
        <w:left w:val="none" w:sz="0" w:space="0" w:color="auto"/>
        <w:bottom w:val="none" w:sz="0" w:space="0" w:color="auto"/>
        <w:right w:val="none" w:sz="0" w:space="0" w:color="auto"/>
      </w:divBdr>
    </w:div>
    <w:div w:id="430128433">
      <w:marLeft w:val="0"/>
      <w:marRight w:val="0"/>
      <w:marTop w:val="0"/>
      <w:marBottom w:val="240"/>
      <w:divBdr>
        <w:top w:val="none" w:sz="0" w:space="0" w:color="auto"/>
        <w:left w:val="none" w:sz="0" w:space="0" w:color="auto"/>
        <w:bottom w:val="none" w:sz="0" w:space="0" w:color="auto"/>
        <w:right w:val="none" w:sz="0" w:space="0" w:color="auto"/>
      </w:divBdr>
    </w:div>
    <w:div w:id="433063842">
      <w:marLeft w:val="0"/>
      <w:marRight w:val="0"/>
      <w:marTop w:val="0"/>
      <w:marBottom w:val="0"/>
      <w:divBdr>
        <w:top w:val="none" w:sz="0" w:space="0" w:color="auto"/>
        <w:left w:val="none" w:sz="0" w:space="0" w:color="auto"/>
        <w:bottom w:val="none" w:sz="0" w:space="0" w:color="auto"/>
        <w:right w:val="none" w:sz="0" w:space="0" w:color="auto"/>
      </w:divBdr>
      <w:divsChild>
        <w:div w:id="120005762">
          <w:marLeft w:val="0"/>
          <w:marRight w:val="0"/>
          <w:marTop w:val="0"/>
          <w:marBottom w:val="0"/>
          <w:divBdr>
            <w:top w:val="none" w:sz="0" w:space="0" w:color="auto"/>
            <w:left w:val="none" w:sz="0" w:space="0" w:color="auto"/>
            <w:bottom w:val="none" w:sz="0" w:space="0" w:color="auto"/>
            <w:right w:val="none" w:sz="0" w:space="0" w:color="auto"/>
          </w:divBdr>
        </w:div>
      </w:divsChild>
    </w:div>
    <w:div w:id="437261680">
      <w:marLeft w:val="0"/>
      <w:marRight w:val="0"/>
      <w:marTop w:val="120"/>
      <w:marBottom w:val="120"/>
      <w:divBdr>
        <w:top w:val="none" w:sz="0" w:space="0" w:color="auto"/>
        <w:left w:val="none" w:sz="0" w:space="0" w:color="auto"/>
        <w:bottom w:val="none" w:sz="0" w:space="0" w:color="auto"/>
        <w:right w:val="none" w:sz="0" w:space="0" w:color="auto"/>
      </w:divBdr>
    </w:div>
    <w:div w:id="437608412">
      <w:marLeft w:val="0"/>
      <w:marRight w:val="0"/>
      <w:marTop w:val="100"/>
      <w:marBottom w:val="0"/>
      <w:divBdr>
        <w:top w:val="none" w:sz="0" w:space="0" w:color="auto"/>
        <w:left w:val="none" w:sz="0" w:space="0" w:color="auto"/>
        <w:bottom w:val="none" w:sz="0" w:space="0" w:color="auto"/>
        <w:right w:val="none" w:sz="0" w:space="0" w:color="auto"/>
      </w:divBdr>
      <w:divsChild>
        <w:div w:id="1757363867">
          <w:marLeft w:val="0"/>
          <w:marRight w:val="0"/>
          <w:marTop w:val="0"/>
          <w:marBottom w:val="0"/>
          <w:divBdr>
            <w:top w:val="none" w:sz="0" w:space="0" w:color="auto"/>
            <w:left w:val="none" w:sz="0" w:space="0" w:color="auto"/>
            <w:bottom w:val="none" w:sz="0" w:space="0" w:color="auto"/>
            <w:right w:val="none" w:sz="0" w:space="0" w:color="auto"/>
          </w:divBdr>
        </w:div>
      </w:divsChild>
    </w:div>
    <w:div w:id="439491880">
      <w:marLeft w:val="0"/>
      <w:marRight w:val="0"/>
      <w:marTop w:val="0"/>
      <w:marBottom w:val="240"/>
      <w:divBdr>
        <w:top w:val="none" w:sz="0" w:space="0" w:color="auto"/>
        <w:left w:val="none" w:sz="0" w:space="0" w:color="auto"/>
        <w:bottom w:val="none" w:sz="0" w:space="0" w:color="auto"/>
        <w:right w:val="none" w:sz="0" w:space="0" w:color="auto"/>
      </w:divBdr>
    </w:div>
    <w:div w:id="442190151">
      <w:marLeft w:val="0"/>
      <w:marRight w:val="0"/>
      <w:marTop w:val="100"/>
      <w:marBottom w:val="240"/>
      <w:divBdr>
        <w:top w:val="none" w:sz="0" w:space="0" w:color="auto"/>
        <w:left w:val="none" w:sz="0" w:space="0" w:color="auto"/>
        <w:bottom w:val="none" w:sz="0" w:space="0" w:color="auto"/>
        <w:right w:val="none" w:sz="0" w:space="0" w:color="auto"/>
      </w:divBdr>
    </w:div>
    <w:div w:id="443114788">
      <w:marLeft w:val="0"/>
      <w:marRight w:val="0"/>
      <w:marTop w:val="0"/>
      <w:marBottom w:val="0"/>
      <w:divBdr>
        <w:top w:val="none" w:sz="0" w:space="0" w:color="auto"/>
        <w:left w:val="none" w:sz="0" w:space="0" w:color="auto"/>
        <w:bottom w:val="none" w:sz="0" w:space="0" w:color="auto"/>
        <w:right w:val="none" w:sz="0" w:space="0" w:color="auto"/>
      </w:divBdr>
    </w:div>
    <w:div w:id="444161291">
      <w:marLeft w:val="0"/>
      <w:marRight w:val="0"/>
      <w:marTop w:val="0"/>
      <w:marBottom w:val="0"/>
      <w:divBdr>
        <w:top w:val="none" w:sz="0" w:space="0" w:color="auto"/>
        <w:left w:val="none" w:sz="0" w:space="0" w:color="auto"/>
        <w:bottom w:val="none" w:sz="0" w:space="0" w:color="auto"/>
        <w:right w:val="none" w:sz="0" w:space="0" w:color="auto"/>
      </w:divBdr>
    </w:div>
    <w:div w:id="445854873">
      <w:marLeft w:val="0"/>
      <w:marRight w:val="0"/>
      <w:marTop w:val="0"/>
      <w:marBottom w:val="240"/>
      <w:divBdr>
        <w:top w:val="none" w:sz="0" w:space="0" w:color="auto"/>
        <w:left w:val="none" w:sz="0" w:space="0" w:color="auto"/>
        <w:bottom w:val="none" w:sz="0" w:space="0" w:color="auto"/>
        <w:right w:val="none" w:sz="0" w:space="0" w:color="auto"/>
      </w:divBdr>
    </w:div>
    <w:div w:id="446050767">
      <w:marLeft w:val="0"/>
      <w:marRight w:val="0"/>
      <w:marTop w:val="0"/>
      <w:marBottom w:val="180"/>
      <w:divBdr>
        <w:top w:val="none" w:sz="0" w:space="0" w:color="auto"/>
        <w:left w:val="none" w:sz="0" w:space="0" w:color="auto"/>
        <w:bottom w:val="none" w:sz="0" w:space="0" w:color="auto"/>
        <w:right w:val="none" w:sz="0" w:space="0" w:color="auto"/>
      </w:divBdr>
    </w:div>
    <w:div w:id="447353703">
      <w:marLeft w:val="0"/>
      <w:marRight w:val="0"/>
      <w:marTop w:val="0"/>
      <w:marBottom w:val="0"/>
      <w:divBdr>
        <w:top w:val="none" w:sz="0" w:space="0" w:color="auto"/>
        <w:left w:val="none" w:sz="0" w:space="0" w:color="auto"/>
        <w:bottom w:val="none" w:sz="0" w:space="0" w:color="auto"/>
        <w:right w:val="none" w:sz="0" w:space="0" w:color="auto"/>
      </w:divBdr>
      <w:divsChild>
        <w:div w:id="1561868756">
          <w:marLeft w:val="0"/>
          <w:marRight w:val="0"/>
          <w:marTop w:val="0"/>
          <w:marBottom w:val="0"/>
          <w:divBdr>
            <w:top w:val="none" w:sz="0" w:space="0" w:color="auto"/>
            <w:left w:val="none" w:sz="0" w:space="0" w:color="auto"/>
            <w:bottom w:val="none" w:sz="0" w:space="0" w:color="auto"/>
            <w:right w:val="none" w:sz="0" w:space="0" w:color="auto"/>
          </w:divBdr>
        </w:div>
      </w:divsChild>
    </w:div>
    <w:div w:id="447505447">
      <w:marLeft w:val="0"/>
      <w:marRight w:val="0"/>
      <w:marTop w:val="0"/>
      <w:marBottom w:val="180"/>
      <w:divBdr>
        <w:top w:val="none" w:sz="0" w:space="0" w:color="auto"/>
        <w:left w:val="none" w:sz="0" w:space="0" w:color="auto"/>
        <w:bottom w:val="none" w:sz="0" w:space="0" w:color="auto"/>
        <w:right w:val="none" w:sz="0" w:space="0" w:color="auto"/>
      </w:divBdr>
    </w:div>
    <w:div w:id="449129181">
      <w:marLeft w:val="0"/>
      <w:marRight w:val="0"/>
      <w:marTop w:val="100"/>
      <w:marBottom w:val="180"/>
      <w:divBdr>
        <w:top w:val="none" w:sz="0" w:space="0" w:color="auto"/>
        <w:left w:val="none" w:sz="0" w:space="0" w:color="auto"/>
        <w:bottom w:val="none" w:sz="0" w:space="0" w:color="auto"/>
        <w:right w:val="none" w:sz="0" w:space="0" w:color="auto"/>
      </w:divBdr>
      <w:divsChild>
        <w:div w:id="1438674988">
          <w:marLeft w:val="0"/>
          <w:marRight w:val="0"/>
          <w:marTop w:val="0"/>
          <w:marBottom w:val="0"/>
          <w:divBdr>
            <w:top w:val="none" w:sz="0" w:space="0" w:color="auto"/>
            <w:left w:val="none" w:sz="0" w:space="0" w:color="auto"/>
            <w:bottom w:val="none" w:sz="0" w:space="0" w:color="auto"/>
            <w:right w:val="none" w:sz="0" w:space="0" w:color="auto"/>
          </w:divBdr>
        </w:div>
        <w:div w:id="1828326454">
          <w:marLeft w:val="0"/>
          <w:marRight w:val="0"/>
          <w:marTop w:val="0"/>
          <w:marBottom w:val="0"/>
          <w:divBdr>
            <w:top w:val="none" w:sz="0" w:space="0" w:color="auto"/>
            <w:left w:val="none" w:sz="0" w:space="0" w:color="auto"/>
            <w:bottom w:val="none" w:sz="0" w:space="0" w:color="auto"/>
            <w:right w:val="none" w:sz="0" w:space="0" w:color="auto"/>
          </w:divBdr>
        </w:div>
      </w:divsChild>
    </w:div>
    <w:div w:id="450589135">
      <w:marLeft w:val="0"/>
      <w:marRight w:val="0"/>
      <w:marTop w:val="0"/>
      <w:marBottom w:val="180"/>
      <w:divBdr>
        <w:top w:val="none" w:sz="0" w:space="0" w:color="auto"/>
        <w:left w:val="none" w:sz="0" w:space="0" w:color="auto"/>
        <w:bottom w:val="none" w:sz="0" w:space="0" w:color="auto"/>
        <w:right w:val="none" w:sz="0" w:space="0" w:color="auto"/>
      </w:divBdr>
    </w:div>
    <w:div w:id="451365807">
      <w:marLeft w:val="0"/>
      <w:marRight w:val="0"/>
      <w:marTop w:val="120"/>
      <w:marBottom w:val="120"/>
      <w:divBdr>
        <w:top w:val="none" w:sz="0" w:space="0" w:color="auto"/>
        <w:left w:val="none" w:sz="0" w:space="0" w:color="auto"/>
        <w:bottom w:val="none" w:sz="0" w:space="0" w:color="auto"/>
        <w:right w:val="none" w:sz="0" w:space="0" w:color="auto"/>
      </w:divBdr>
    </w:div>
    <w:div w:id="451751179">
      <w:marLeft w:val="0"/>
      <w:marRight w:val="0"/>
      <w:marTop w:val="0"/>
      <w:marBottom w:val="180"/>
      <w:divBdr>
        <w:top w:val="none" w:sz="0" w:space="0" w:color="auto"/>
        <w:left w:val="none" w:sz="0" w:space="0" w:color="auto"/>
        <w:bottom w:val="none" w:sz="0" w:space="0" w:color="auto"/>
        <w:right w:val="none" w:sz="0" w:space="0" w:color="auto"/>
      </w:divBdr>
    </w:div>
    <w:div w:id="452335703">
      <w:marLeft w:val="0"/>
      <w:marRight w:val="0"/>
      <w:marTop w:val="0"/>
      <w:marBottom w:val="0"/>
      <w:divBdr>
        <w:top w:val="none" w:sz="0" w:space="0" w:color="auto"/>
        <w:left w:val="none" w:sz="0" w:space="0" w:color="auto"/>
        <w:bottom w:val="none" w:sz="0" w:space="0" w:color="auto"/>
        <w:right w:val="none" w:sz="0" w:space="0" w:color="auto"/>
      </w:divBdr>
      <w:divsChild>
        <w:div w:id="738484358">
          <w:marLeft w:val="0"/>
          <w:marRight w:val="0"/>
          <w:marTop w:val="0"/>
          <w:marBottom w:val="0"/>
          <w:divBdr>
            <w:top w:val="none" w:sz="0" w:space="0" w:color="auto"/>
            <w:left w:val="none" w:sz="0" w:space="0" w:color="auto"/>
            <w:bottom w:val="none" w:sz="0" w:space="0" w:color="auto"/>
            <w:right w:val="none" w:sz="0" w:space="0" w:color="auto"/>
          </w:divBdr>
        </w:div>
      </w:divsChild>
    </w:div>
    <w:div w:id="452480255">
      <w:marLeft w:val="0"/>
      <w:marRight w:val="0"/>
      <w:marTop w:val="120"/>
      <w:marBottom w:val="240"/>
      <w:divBdr>
        <w:top w:val="none" w:sz="0" w:space="0" w:color="auto"/>
        <w:left w:val="none" w:sz="0" w:space="0" w:color="auto"/>
        <w:bottom w:val="none" w:sz="0" w:space="0" w:color="auto"/>
        <w:right w:val="none" w:sz="0" w:space="0" w:color="auto"/>
      </w:divBdr>
    </w:div>
    <w:div w:id="452945674">
      <w:marLeft w:val="0"/>
      <w:marRight w:val="0"/>
      <w:marTop w:val="0"/>
      <w:marBottom w:val="0"/>
      <w:divBdr>
        <w:top w:val="none" w:sz="0" w:space="0" w:color="auto"/>
        <w:left w:val="none" w:sz="0" w:space="0" w:color="auto"/>
        <w:bottom w:val="none" w:sz="0" w:space="0" w:color="auto"/>
        <w:right w:val="none" w:sz="0" w:space="0" w:color="auto"/>
      </w:divBdr>
    </w:div>
    <w:div w:id="453060294">
      <w:marLeft w:val="0"/>
      <w:marRight w:val="0"/>
      <w:marTop w:val="0"/>
      <w:marBottom w:val="240"/>
      <w:divBdr>
        <w:top w:val="none" w:sz="0" w:space="0" w:color="auto"/>
        <w:left w:val="none" w:sz="0" w:space="0" w:color="auto"/>
        <w:bottom w:val="none" w:sz="0" w:space="0" w:color="auto"/>
        <w:right w:val="none" w:sz="0" w:space="0" w:color="auto"/>
      </w:divBdr>
    </w:div>
    <w:div w:id="460080035">
      <w:marLeft w:val="0"/>
      <w:marRight w:val="0"/>
      <w:marTop w:val="0"/>
      <w:marBottom w:val="0"/>
      <w:divBdr>
        <w:top w:val="none" w:sz="0" w:space="0" w:color="auto"/>
        <w:left w:val="none" w:sz="0" w:space="0" w:color="auto"/>
        <w:bottom w:val="none" w:sz="0" w:space="0" w:color="auto"/>
        <w:right w:val="none" w:sz="0" w:space="0" w:color="auto"/>
      </w:divBdr>
      <w:divsChild>
        <w:div w:id="1572881957">
          <w:marLeft w:val="0"/>
          <w:marRight w:val="0"/>
          <w:marTop w:val="0"/>
          <w:marBottom w:val="0"/>
          <w:divBdr>
            <w:top w:val="none" w:sz="0" w:space="0" w:color="auto"/>
            <w:left w:val="none" w:sz="0" w:space="0" w:color="auto"/>
            <w:bottom w:val="none" w:sz="0" w:space="0" w:color="auto"/>
            <w:right w:val="none" w:sz="0" w:space="0" w:color="auto"/>
          </w:divBdr>
        </w:div>
      </w:divsChild>
    </w:div>
    <w:div w:id="460223974">
      <w:marLeft w:val="0"/>
      <w:marRight w:val="0"/>
      <w:marTop w:val="0"/>
      <w:marBottom w:val="0"/>
      <w:divBdr>
        <w:top w:val="none" w:sz="0" w:space="0" w:color="auto"/>
        <w:left w:val="none" w:sz="0" w:space="0" w:color="auto"/>
        <w:bottom w:val="none" w:sz="0" w:space="0" w:color="auto"/>
        <w:right w:val="none" w:sz="0" w:space="0" w:color="auto"/>
      </w:divBdr>
      <w:divsChild>
        <w:div w:id="285308093">
          <w:marLeft w:val="0"/>
          <w:marRight w:val="0"/>
          <w:marTop w:val="0"/>
          <w:marBottom w:val="0"/>
          <w:divBdr>
            <w:top w:val="none" w:sz="0" w:space="0" w:color="auto"/>
            <w:left w:val="none" w:sz="0" w:space="0" w:color="auto"/>
            <w:bottom w:val="none" w:sz="0" w:space="0" w:color="auto"/>
            <w:right w:val="none" w:sz="0" w:space="0" w:color="auto"/>
          </w:divBdr>
        </w:div>
      </w:divsChild>
    </w:div>
    <w:div w:id="462236228">
      <w:marLeft w:val="0"/>
      <w:marRight w:val="0"/>
      <w:marTop w:val="120"/>
      <w:marBottom w:val="120"/>
      <w:divBdr>
        <w:top w:val="none" w:sz="0" w:space="0" w:color="auto"/>
        <w:left w:val="none" w:sz="0" w:space="0" w:color="auto"/>
        <w:bottom w:val="none" w:sz="0" w:space="0" w:color="auto"/>
        <w:right w:val="none" w:sz="0" w:space="0" w:color="auto"/>
      </w:divBdr>
    </w:div>
    <w:div w:id="464083958">
      <w:marLeft w:val="0"/>
      <w:marRight w:val="0"/>
      <w:marTop w:val="0"/>
      <w:marBottom w:val="0"/>
      <w:divBdr>
        <w:top w:val="none" w:sz="0" w:space="0" w:color="auto"/>
        <w:left w:val="none" w:sz="0" w:space="0" w:color="auto"/>
        <w:bottom w:val="none" w:sz="0" w:space="0" w:color="auto"/>
        <w:right w:val="none" w:sz="0" w:space="0" w:color="auto"/>
      </w:divBdr>
    </w:div>
    <w:div w:id="464783617">
      <w:marLeft w:val="0"/>
      <w:marRight w:val="0"/>
      <w:marTop w:val="0"/>
      <w:marBottom w:val="240"/>
      <w:divBdr>
        <w:top w:val="none" w:sz="0" w:space="0" w:color="auto"/>
        <w:left w:val="none" w:sz="0" w:space="0" w:color="auto"/>
        <w:bottom w:val="none" w:sz="0" w:space="0" w:color="auto"/>
        <w:right w:val="none" w:sz="0" w:space="0" w:color="auto"/>
      </w:divBdr>
      <w:divsChild>
        <w:div w:id="1681808342">
          <w:marLeft w:val="0"/>
          <w:marRight w:val="0"/>
          <w:marTop w:val="0"/>
          <w:marBottom w:val="0"/>
          <w:divBdr>
            <w:top w:val="none" w:sz="0" w:space="0" w:color="auto"/>
            <w:left w:val="none" w:sz="0" w:space="0" w:color="auto"/>
            <w:bottom w:val="none" w:sz="0" w:space="0" w:color="auto"/>
            <w:right w:val="none" w:sz="0" w:space="0" w:color="auto"/>
          </w:divBdr>
        </w:div>
        <w:div w:id="1283195409">
          <w:marLeft w:val="0"/>
          <w:marRight w:val="0"/>
          <w:marTop w:val="0"/>
          <w:marBottom w:val="0"/>
          <w:divBdr>
            <w:top w:val="none" w:sz="0" w:space="0" w:color="auto"/>
            <w:left w:val="none" w:sz="0" w:space="0" w:color="auto"/>
            <w:bottom w:val="none" w:sz="0" w:space="0" w:color="auto"/>
            <w:right w:val="none" w:sz="0" w:space="0" w:color="auto"/>
          </w:divBdr>
        </w:div>
      </w:divsChild>
    </w:div>
    <w:div w:id="465850994">
      <w:marLeft w:val="0"/>
      <w:marRight w:val="0"/>
      <w:marTop w:val="240"/>
      <w:marBottom w:val="240"/>
      <w:divBdr>
        <w:top w:val="none" w:sz="0" w:space="0" w:color="auto"/>
        <w:left w:val="none" w:sz="0" w:space="0" w:color="auto"/>
        <w:bottom w:val="none" w:sz="0" w:space="0" w:color="auto"/>
        <w:right w:val="none" w:sz="0" w:space="0" w:color="auto"/>
      </w:divBdr>
    </w:div>
    <w:div w:id="468592685">
      <w:marLeft w:val="0"/>
      <w:marRight w:val="0"/>
      <w:marTop w:val="100"/>
      <w:marBottom w:val="0"/>
      <w:divBdr>
        <w:top w:val="none" w:sz="0" w:space="0" w:color="auto"/>
        <w:left w:val="none" w:sz="0" w:space="0" w:color="auto"/>
        <w:bottom w:val="none" w:sz="0" w:space="0" w:color="auto"/>
        <w:right w:val="none" w:sz="0" w:space="0" w:color="auto"/>
      </w:divBdr>
      <w:divsChild>
        <w:div w:id="2000841552">
          <w:marLeft w:val="0"/>
          <w:marRight w:val="0"/>
          <w:marTop w:val="0"/>
          <w:marBottom w:val="180"/>
          <w:divBdr>
            <w:top w:val="none" w:sz="0" w:space="0" w:color="auto"/>
            <w:left w:val="none" w:sz="0" w:space="0" w:color="auto"/>
            <w:bottom w:val="none" w:sz="0" w:space="0" w:color="auto"/>
            <w:right w:val="none" w:sz="0" w:space="0" w:color="auto"/>
          </w:divBdr>
        </w:div>
        <w:div w:id="1952933668">
          <w:marLeft w:val="0"/>
          <w:marRight w:val="0"/>
          <w:marTop w:val="0"/>
          <w:marBottom w:val="180"/>
          <w:divBdr>
            <w:top w:val="none" w:sz="0" w:space="0" w:color="auto"/>
            <w:left w:val="none" w:sz="0" w:space="0" w:color="auto"/>
            <w:bottom w:val="none" w:sz="0" w:space="0" w:color="auto"/>
            <w:right w:val="none" w:sz="0" w:space="0" w:color="auto"/>
          </w:divBdr>
        </w:div>
        <w:div w:id="2057386659">
          <w:marLeft w:val="0"/>
          <w:marRight w:val="0"/>
          <w:marTop w:val="0"/>
          <w:marBottom w:val="180"/>
          <w:divBdr>
            <w:top w:val="none" w:sz="0" w:space="0" w:color="auto"/>
            <w:left w:val="none" w:sz="0" w:space="0" w:color="auto"/>
            <w:bottom w:val="none" w:sz="0" w:space="0" w:color="auto"/>
            <w:right w:val="none" w:sz="0" w:space="0" w:color="auto"/>
          </w:divBdr>
        </w:div>
        <w:div w:id="655913904">
          <w:marLeft w:val="0"/>
          <w:marRight w:val="0"/>
          <w:marTop w:val="0"/>
          <w:marBottom w:val="180"/>
          <w:divBdr>
            <w:top w:val="none" w:sz="0" w:space="0" w:color="auto"/>
            <w:left w:val="none" w:sz="0" w:space="0" w:color="auto"/>
            <w:bottom w:val="none" w:sz="0" w:space="0" w:color="auto"/>
            <w:right w:val="none" w:sz="0" w:space="0" w:color="auto"/>
          </w:divBdr>
        </w:div>
        <w:div w:id="1430783506">
          <w:marLeft w:val="0"/>
          <w:marRight w:val="0"/>
          <w:marTop w:val="0"/>
          <w:marBottom w:val="180"/>
          <w:divBdr>
            <w:top w:val="none" w:sz="0" w:space="0" w:color="auto"/>
            <w:left w:val="none" w:sz="0" w:space="0" w:color="auto"/>
            <w:bottom w:val="none" w:sz="0" w:space="0" w:color="auto"/>
            <w:right w:val="none" w:sz="0" w:space="0" w:color="auto"/>
          </w:divBdr>
        </w:div>
      </w:divsChild>
    </w:div>
    <w:div w:id="471093438">
      <w:marLeft w:val="0"/>
      <w:marRight w:val="0"/>
      <w:marTop w:val="60"/>
      <w:marBottom w:val="0"/>
      <w:divBdr>
        <w:top w:val="none" w:sz="0" w:space="0" w:color="auto"/>
        <w:left w:val="none" w:sz="0" w:space="0" w:color="auto"/>
        <w:bottom w:val="none" w:sz="0" w:space="0" w:color="auto"/>
        <w:right w:val="none" w:sz="0" w:space="0" w:color="auto"/>
      </w:divBdr>
    </w:div>
    <w:div w:id="472337355">
      <w:marLeft w:val="0"/>
      <w:marRight w:val="0"/>
      <w:marTop w:val="0"/>
      <w:marBottom w:val="0"/>
      <w:divBdr>
        <w:top w:val="none" w:sz="0" w:space="0" w:color="auto"/>
        <w:left w:val="none" w:sz="0" w:space="0" w:color="auto"/>
        <w:bottom w:val="none" w:sz="0" w:space="0" w:color="auto"/>
        <w:right w:val="none" w:sz="0" w:space="0" w:color="auto"/>
      </w:divBdr>
    </w:div>
    <w:div w:id="472716853">
      <w:marLeft w:val="0"/>
      <w:marRight w:val="0"/>
      <w:marTop w:val="0"/>
      <w:marBottom w:val="240"/>
      <w:divBdr>
        <w:top w:val="none" w:sz="0" w:space="0" w:color="auto"/>
        <w:left w:val="none" w:sz="0" w:space="0" w:color="auto"/>
        <w:bottom w:val="none" w:sz="0" w:space="0" w:color="auto"/>
        <w:right w:val="none" w:sz="0" w:space="0" w:color="auto"/>
      </w:divBdr>
    </w:div>
    <w:div w:id="472865662">
      <w:marLeft w:val="0"/>
      <w:marRight w:val="0"/>
      <w:marTop w:val="0"/>
      <w:marBottom w:val="180"/>
      <w:divBdr>
        <w:top w:val="none" w:sz="0" w:space="0" w:color="auto"/>
        <w:left w:val="none" w:sz="0" w:space="0" w:color="auto"/>
        <w:bottom w:val="none" w:sz="0" w:space="0" w:color="auto"/>
        <w:right w:val="none" w:sz="0" w:space="0" w:color="auto"/>
      </w:divBdr>
    </w:div>
    <w:div w:id="472984762">
      <w:marLeft w:val="0"/>
      <w:marRight w:val="0"/>
      <w:marTop w:val="120"/>
      <w:marBottom w:val="120"/>
      <w:divBdr>
        <w:top w:val="none" w:sz="0" w:space="0" w:color="auto"/>
        <w:left w:val="none" w:sz="0" w:space="0" w:color="auto"/>
        <w:bottom w:val="none" w:sz="0" w:space="0" w:color="auto"/>
        <w:right w:val="none" w:sz="0" w:space="0" w:color="auto"/>
      </w:divBdr>
    </w:div>
    <w:div w:id="478886766">
      <w:marLeft w:val="0"/>
      <w:marRight w:val="0"/>
      <w:marTop w:val="0"/>
      <w:marBottom w:val="0"/>
      <w:divBdr>
        <w:top w:val="none" w:sz="0" w:space="0" w:color="auto"/>
        <w:left w:val="none" w:sz="0" w:space="0" w:color="auto"/>
        <w:bottom w:val="none" w:sz="0" w:space="0" w:color="auto"/>
        <w:right w:val="none" w:sz="0" w:space="0" w:color="auto"/>
      </w:divBdr>
      <w:divsChild>
        <w:div w:id="915742836">
          <w:marLeft w:val="0"/>
          <w:marRight w:val="0"/>
          <w:marTop w:val="0"/>
          <w:marBottom w:val="0"/>
          <w:divBdr>
            <w:top w:val="none" w:sz="0" w:space="0" w:color="auto"/>
            <w:left w:val="none" w:sz="0" w:space="0" w:color="auto"/>
            <w:bottom w:val="none" w:sz="0" w:space="0" w:color="auto"/>
            <w:right w:val="none" w:sz="0" w:space="0" w:color="auto"/>
          </w:divBdr>
        </w:div>
      </w:divsChild>
    </w:div>
    <w:div w:id="479423008">
      <w:marLeft w:val="0"/>
      <w:marRight w:val="0"/>
      <w:marTop w:val="120"/>
      <w:marBottom w:val="120"/>
      <w:divBdr>
        <w:top w:val="none" w:sz="0" w:space="0" w:color="auto"/>
        <w:left w:val="none" w:sz="0" w:space="0" w:color="auto"/>
        <w:bottom w:val="none" w:sz="0" w:space="0" w:color="auto"/>
        <w:right w:val="none" w:sz="0" w:space="0" w:color="auto"/>
      </w:divBdr>
    </w:div>
    <w:div w:id="479613568">
      <w:marLeft w:val="0"/>
      <w:marRight w:val="0"/>
      <w:marTop w:val="120"/>
      <w:marBottom w:val="120"/>
      <w:divBdr>
        <w:top w:val="none" w:sz="0" w:space="0" w:color="auto"/>
        <w:left w:val="none" w:sz="0" w:space="0" w:color="auto"/>
        <w:bottom w:val="none" w:sz="0" w:space="0" w:color="auto"/>
        <w:right w:val="none" w:sz="0" w:space="0" w:color="auto"/>
      </w:divBdr>
    </w:div>
    <w:div w:id="480849615">
      <w:marLeft w:val="0"/>
      <w:marRight w:val="0"/>
      <w:marTop w:val="0"/>
      <w:marBottom w:val="0"/>
      <w:divBdr>
        <w:top w:val="none" w:sz="0" w:space="0" w:color="auto"/>
        <w:left w:val="none" w:sz="0" w:space="0" w:color="auto"/>
        <w:bottom w:val="none" w:sz="0" w:space="0" w:color="auto"/>
        <w:right w:val="none" w:sz="0" w:space="0" w:color="auto"/>
      </w:divBdr>
    </w:div>
    <w:div w:id="481964123">
      <w:marLeft w:val="0"/>
      <w:marRight w:val="0"/>
      <w:marTop w:val="120"/>
      <w:marBottom w:val="120"/>
      <w:divBdr>
        <w:top w:val="none" w:sz="0" w:space="0" w:color="auto"/>
        <w:left w:val="none" w:sz="0" w:space="0" w:color="auto"/>
        <w:bottom w:val="none" w:sz="0" w:space="0" w:color="auto"/>
        <w:right w:val="none" w:sz="0" w:space="0" w:color="auto"/>
      </w:divBdr>
    </w:div>
    <w:div w:id="482625185">
      <w:marLeft w:val="0"/>
      <w:marRight w:val="0"/>
      <w:marTop w:val="0"/>
      <w:marBottom w:val="0"/>
      <w:divBdr>
        <w:top w:val="none" w:sz="0" w:space="0" w:color="auto"/>
        <w:left w:val="none" w:sz="0" w:space="0" w:color="auto"/>
        <w:bottom w:val="none" w:sz="0" w:space="0" w:color="auto"/>
        <w:right w:val="none" w:sz="0" w:space="0" w:color="auto"/>
      </w:divBdr>
    </w:div>
    <w:div w:id="484977496">
      <w:marLeft w:val="0"/>
      <w:marRight w:val="0"/>
      <w:marTop w:val="0"/>
      <w:marBottom w:val="0"/>
      <w:divBdr>
        <w:top w:val="none" w:sz="0" w:space="0" w:color="auto"/>
        <w:left w:val="none" w:sz="0" w:space="0" w:color="auto"/>
        <w:bottom w:val="none" w:sz="0" w:space="0" w:color="auto"/>
        <w:right w:val="none" w:sz="0" w:space="0" w:color="auto"/>
      </w:divBdr>
      <w:divsChild>
        <w:div w:id="593706189">
          <w:marLeft w:val="0"/>
          <w:marRight w:val="0"/>
          <w:marTop w:val="0"/>
          <w:marBottom w:val="0"/>
          <w:divBdr>
            <w:top w:val="none" w:sz="0" w:space="0" w:color="auto"/>
            <w:left w:val="none" w:sz="0" w:space="0" w:color="auto"/>
            <w:bottom w:val="none" w:sz="0" w:space="0" w:color="auto"/>
            <w:right w:val="none" w:sz="0" w:space="0" w:color="auto"/>
          </w:divBdr>
        </w:div>
      </w:divsChild>
    </w:div>
    <w:div w:id="485585454">
      <w:marLeft w:val="0"/>
      <w:marRight w:val="0"/>
      <w:marTop w:val="0"/>
      <w:marBottom w:val="180"/>
      <w:divBdr>
        <w:top w:val="none" w:sz="0" w:space="0" w:color="auto"/>
        <w:left w:val="none" w:sz="0" w:space="0" w:color="auto"/>
        <w:bottom w:val="none" w:sz="0" w:space="0" w:color="auto"/>
        <w:right w:val="none" w:sz="0" w:space="0" w:color="auto"/>
      </w:divBdr>
    </w:div>
    <w:div w:id="485897425">
      <w:marLeft w:val="0"/>
      <w:marRight w:val="0"/>
      <w:marTop w:val="180"/>
      <w:marBottom w:val="180"/>
      <w:divBdr>
        <w:top w:val="none" w:sz="0" w:space="0" w:color="auto"/>
        <w:left w:val="none" w:sz="0" w:space="0" w:color="auto"/>
        <w:bottom w:val="none" w:sz="0" w:space="0" w:color="auto"/>
        <w:right w:val="none" w:sz="0" w:space="0" w:color="auto"/>
      </w:divBdr>
    </w:div>
    <w:div w:id="488328745">
      <w:marLeft w:val="0"/>
      <w:marRight w:val="0"/>
      <w:marTop w:val="0"/>
      <w:marBottom w:val="240"/>
      <w:divBdr>
        <w:top w:val="none" w:sz="0" w:space="0" w:color="auto"/>
        <w:left w:val="none" w:sz="0" w:space="0" w:color="auto"/>
        <w:bottom w:val="none" w:sz="0" w:space="0" w:color="auto"/>
        <w:right w:val="none" w:sz="0" w:space="0" w:color="auto"/>
      </w:divBdr>
    </w:div>
    <w:div w:id="489251535">
      <w:marLeft w:val="0"/>
      <w:marRight w:val="0"/>
      <w:marTop w:val="0"/>
      <w:marBottom w:val="0"/>
      <w:divBdr>
        <w:top w:val="none" w:sz="0" w:space="0" w:color="auto"/>
        <w:left w:val="none" w:sz="0" w:space="0" w:color="auto"/>
        <w:bottom w:val="none" w:sz="0" w:space="0" w:color="auto"/>
        <w:right w:val="none" w:sz="0" w:space="0" w:color="auto"/>
      </w:divBdr>
    </w:div>
    <w:div w:id="492600462">
      <w:marLeft w:val="0"/>
      <w:marRight w:val="0"/>
      <w:marTop w:val="0"/>
      <w:marBottom w:val="0"/>
      <w:divBdr>
        <w:top w:val="none" w:sz="0" w:space="0" w:color="auto"/>
        <w:left w:val="none" w:sz="0" w:space="0" w:color="auto"/>
        <w:bottom w:val="none" w:sz="0" w:space="0" w:color="auto"/>
        <w:right w:val="none" w:sz="0" w:space="0" w:color="auto"/>
      </w:divBdr>
    </w:div>
    <w:div w:id="494999494">
      <w:marLeft w:val="0"/>
      <w:marRight w:val="0"/>
      <w:marTop w:val="0"/>
      <w:marBottom w:val="0"/>
      <w:divBdr>
        <w:top w:val="none" w:sz="0" w:space="0" w:color="auto"/>
        <w:left w:val="none" w:sz="0" w:space="0" w:color="auto"/>
        <w:bottom w:val="none" w:sz="0" w:space="0" w:color="auto"/>
        <w:right w:val="none" w:sz="0" w:space="0" w:color="auto"/>
      </w:divBdr>
    </w:div>
    <w:div w:id="495732442">
      <w:marLeft w:val="0"/>
      <w:marRight w:val="0"/>
      <w:marTop w:val="0"/>
      <w:marBottom w:val="180"/>
      <w:divBdr>
        <w:top w:val="none" w:sz="0" w:space="0" w:color="auto"/>
        <w:left w:val="none" w:sz="0" w:space="0" w:color="auto"/>
        <w:bottom w:val="none" w:sz="0" w:space="0" w:color="auto"/>
        <w:right w:val="none" w:sz="0" w:space="0" w:color="auto"/>
      </w:divBdr>
    </w:div>
    <w:div w:id="497579527">
      <w:marLeft w:val="0"/>
      <w:marRight w:val="0"/>
      <w:marTop w:val="0"/>
      <w:marBottom w:val="0"/>
      <w:divBdr>
        <w:top w:val="none" w:sz="0" w:space="0" w:color="auto"/>
        <w:left w:val="none" w:sz="0" w:space="0" w:color="auto"/>
        <w:bottom w:val="none" w:sz="0" w:space="0" w:color="auto"/>
        <w:right w:val="none" w:sz="0" w:space="0" w:color="auto"/>
      </w:divBdr>
    </w:div>
    <w:div w:id="499852568">
      <w:marLeft w:val="0"/>
      <w:marRight w:val="0"/>
      <w:marTop w:val="0"/>
      <w:marBottom w:val="0"/>
      <w:divBdr>
        <w:top w:val="none" w:sz="0" w:space="0" w:color="auto"/>
        <w:left w:val="none" w:sz="0" w:space="0" w:color="auto"/>
        <w:bottom w:val="none" w:sz="0" w:space="0" w:color="auto"/>
        <w:right w:val="none" w:sz="0" w:space="0" w:color="auto"/>
      </w:divBdr>
    </w:div>
    <w:div w:id="500315373">
      <w:marLeft w:val="0"/>
      <w:marRight w:val="0"/>
      <w:marTop w:val="0"/>
      <w:marBottom w:val="0"/>
      <w:divBdr>
        <w:top w:val="none" w:sz="0" w:space="0" w:color="auto"/>
        <w:left w:val="none" w:sz="0" w:space="0" w:color="auto"/>
        <w:bottom w:val="none" w:sz="0" w:space="0" w:color="auto"/>
        <w:right w:val="none" w:sz="0" w:space="0" w:color="auto"/>
      </w:divBdr>
      <w:divsChild>
        <w:div w:id="1905139188">
          <w:marLeft w:val="0"/>
          <w:marRight w:val="0"/>
          <w:marTop w:val="0"/>
          <w:marBottom w:val="0"/>
          <w:divBdr>
            <w:top w:val="none" w:sz="0" w:space="0" w:color="auto"/>
            <w:left w:val="none" w:sz="0" w:space="0" w:color="auto"/>
            <w:bottom w:val="none" w:sz="0" w:space="0" w:color="auto"/>
            <w:right w:val="none" w:sz="0" w:space="0" w:color="auto"/>
          </w:divBdr>
        </w:div>
      </w:divsChild>
    </w:div>
    <w:div w:id="500895775">
      <w:marLeft w:val="0"/>
      <w:marRight w:val="0"/>
      <w:marTop w:val="0"/>
      <w:marBottom w:val="0"/>
      <w:divBdr>
        <w:top w:val="none" w:sz="0" w:space="0" w:color="auto"/>
        <w:left w:val="none" w:sz="0" w:space="0" w:color="auto"/>
        <w:bottom w:val="none" w:sz="0" w:space="0" w:color="auto"/>
        <w:right w:val="none" w:sz="0" w:space="0" w:color="auto"/>
      </w:divBdr>
    </w:div>
    <w:div w:id="501434620">
      <w:marLeft w:val="0"/>
      <w:marRight w:val="0"/>
      <w:marTop w:val="0"/>
      <w:marBottom w:val="0"/>
      <w:divBdr>
        <w:top w:val="none" w:sz="0" w:space="0" w:color="auto"/>
        <w:left w:val="none" w:sz="0" w:space="0" w:color="auto"/>
        <w:bottom w:val="none" w:sz="0" w:space="0" w:color="auto"/>
        <w:right w:val="none" w:sz="0" w:space="0" w:color="auto"/>
      </w:divBdr>
    </w:div>
    <w:div w:id="503010437">
      <w:marLeft w:val="0"/>
      <w:marRight w:val="0"/>
      <w:marTop w:val="0"/>
      <w:marBottom w:val="240"/>
      <w:divBdr>
        <w:top w:val="none" w:sz="0" w:space="0" w:color="auto"/>
        <w:left w:val="none" w:sz="0" w:space="0" w:color="auto"/>
        <w:bottom w:val="none" w:sz="0" w:space="0" w:color="auto"/>
        <w:right w:val="none" w:sz="0" w:space="0" w:color="auto"/>
      </w:divBdr>
    </w:div>
    <w:div w:id="505438524">
      <w:marLeft w:val="0"/>
      <w:marRight w:val="0"/>
      <w:marTop w:val="100"/>
      <w:marBottom w:val="0"/>
      <w:divBdr>
        <w:top w:val="none" w:sz="0" w:space="0" w:color="auto"/>
        <w:left w:val="none" w:sz="0" w:space="0" w:color="auto"/>
        <w:bottom w:val="none" w:sz="0" w:space="0" w:color="auto"/>
        <w:right w:val="none" w:sz="0" w:space="0" w:color="auto"/>
      </w:divBdr>
    </w:div>
    <w:div w:id="505900179">
      <w:marLeft w:val="0"/>
      <w:marRight w:val="0"/>
      <w:marTop w:val="0"/>
      <w:marBottom w:val="240"/>
      <w:divBdr>
        <w:top w:val="none" w:sz="0" w:space="0" w:color="auto"/>
        <w:left w:val="none" w:sz="0" w:space="0" w:color="auto"/>
        <w:bottom w:val="none" w:sz="0" w:space="0" w:color="auto"/>
        <w:right w:val="none" w:sz="0" w:space="0" w:color="auto"/>
      </w:divBdr>
    </w:div>
    <w:div w:id="509027172">
      <w:marLeft w:val="0"/>
      <w:marRight w:val="0"/>
      <w:marTop w:val="0"/>
      <w:marBottom w:val="0"/>
      <w:divBdr>
        <w:top w:val="none" w:sz="0" w:space="0" w:color="auto"/>
        <w:left w:val="none" w:sz="0" w:space="0" w:color="auto"/>
        <w:bottom w:val="none" w:sz="0" w:space="0" w:color="auto"/>
        <w:right w:val="none" w:sz="0" w:space="0" w:color="auto"/>
      </w:divBdr>
    </w:div>
    <w:div w:id="509104080">
      <w:marLeft w:val="0"/>
      <w:marRight w:val="0"/>
      <w:marTop w:val="0"/>
      <w:marBottom w:val="0"/>
      <w:divBdr>
        <w:top w:val="none" w:sz="0" w:space="0" w:color="auto"/>
        <w:left w:val="none" w:sz="0" w:space="0" w:color="auto"/>
        <w:bottom w:val="none" w:sz="0" w:space="0" w:color="auto"/>
        <w:right w:val="none" w:sz="0" w:space="0" w:color="auto"/>
      </w:divBdr>
    </w:div>
    <w:div w:id="509881193">
      <w:marLeft w:val="0"/>
      <w:marRight w:val="0"/>
      <w:marTop w:val="0"/>
      <w:marBottom w:val="0"/>
      <w:divBdr>
        <w:top w:val="none" w:sz="0" w:space="0" w:color="auto"/>
        <w:left w:val="none" w:sz="0" w:space="0" w:color="auto"/>
        <w:bottom w:val="none" w:sz="0" w:space="0" w:color="auto"/>
        <w:right w:val="none" w:sz="0" w:space="0" w:color="auto"/>
      </w:divBdr>
      <w:divsChild>
        <w:div w:id="559942197">
          <w:marLeft w:val="0"/>
          <w:marRight w:val="0"/>
          <w:marTop w:val="0"/>
          <w:marBottom w:val="0"/>
          <w:divBdr>
            <w:top w:val="none" w:sz="0" w:space="0" w:color="auto"/>
            <w:left w:val="none" w:sz="0" w:space="0" w:color="auto"/>
            <w:bottom w:val="none" w:sz="0" w:space="0" w:color="auto"/>
            <w:right w:val="none" w:sz="0" w:space="0" w:color="auto"/>
          </w:divBdr>
        </w:div>
      </w:divsChild>
    </w:div>
    <w:div w:id="511914021">
      <w:marLeft w:val="0"/>
      <w:marRight w:val="0"/>
      <w:marTop w:val="360"/>
      <w:marBottom w:val="140"/>
      <w:divBdr>
        <w:top w:val="none" w:sz="0" w:space="0" w:color="auto"/>
        <w:left w:val="none" w:sz="0" w:space="0" w:color="auto"/>
        <w:bottom w:val="none" w:sz="0" w:space="0" w:color="auto"/>
        <w:right w:val="none" w:sz="0" w:space="0" w:color="auto"/>
      </w:divBdr>
    </w:div>
    <w:div w:id="513344105">
      <w:marLeft w:val="0"/>
      <w:marRight w:val="0"/>
      <w:marTop w:val="180"/>
      <w:marBottom w:val="180"/>
      <w:divBdr>
        <w:top w:val="none" w:sz="0" w:space="0" w:color="auto"/>
        <w:left w:val="none" w:sz="0" w:space="0" w:color="auto"/>
        <w:bottom w:val="none" w:sz="0" w:space="0" w:color="auto"/>
        <w:right w:val="none" w:sz="0" w:space="0" w:color="auto"/>
      </w:divBdr>
    </w:div>
    <w:div w:id="515972274">
      <w:marLeft w:val="0"/>
      <w:marRight w:val="0"/>
      <w:marTop w:val="0"/>
      <w:marBottom w:val="180"/>
      <w:divBdr>
        <w:top w:val="none" w:sz="0" w:space="0" w:color="auto"/>
        <w:left w:val="none" w:sz="0" w:space="0" w:color="auto"/>
        <w:bottom w:val="none" w:sz="0" w:space="0" w:color="auto"/>
        <w:right w:val="none" w:sz="0" w:space="0" w:color="auto"/>
      </w:divBdr>
    </w:div>
    <w:div w:id="518011040">
      <w:marLeft w:val="0"/>
      <w:marRight w:val="0"/>
      <w:marTop w:val="0"/>
      <w:marBottom w:val="0"/>
      <w:divBdr>
        <w:top w:val="none" w:sz="0" w:space="0" w:color="auto"/>
        <w:left w:val="none" w:sz="0" w:space="0" w:color="auto"/>
        <w:bottom w:val="none" w:sz="0" w:space="0" w:color="auto"/>
        <w:right w:val="none" w:sz="0" w:space="0" w:color="auto"/>
      </w:divBdr>
    </w:div>
    <w:div w:id="518130869">
      <w:marLeft w:val="0"/>
      <w:marRight w:val="0"/>
      <w:marTop w:val="120"/>
      <w:marBottom w:val="120"/>
      <w:divBdr>
        <w:top w:val="none" w:sz="0" w:space="0" w:color="auto"/>
        <w:left w:val="none" w:sz="0" w:space="0" w:color="auto"/>
        <w:bottom w:val="none" w:sz="0" w:space="0" w:color="auto"/>
        <w:right w:val="none" w:sz="0" w:space="0" w:color="auto"/>
      </w:divBdr>
    </w:div>
    <w:div w:id="518550585">
      <w:marLeft w:val="0"/>
      <w:marRight w:val="0"/>
      <w:marTop w:val="0"/>
      <w:marBottom w:val="240"/>
      <w:divBdr>
        <w:top w:val="none" w:sz="0" w:space="0" w:color="auto"/>
        <w:left w:val="none" w:sz="0" w:space="0" w:color="auto"/>
        <w:bottom w:val="none" w:sz="0" w:space="0" w:color="auto"/>
        <w:right w:val="none" w:sz="0" w:space="0" w:color="auto"/>
      </w:divBdr>
    </w:div>
    <w:div w:id="519516788">
      <w:marLeft w:val="0"/>
      <w:marRight w:val="0"/>
      <w:marTop w:val="180"/>
      <w:marBottom w:val="180"/>
      <w:divBdr>
        <w:top w:val="none" w:sz="0" w:space="0" w:color="auto"/>
        <w:left w:val="none" w:sz="0" w:space="0" w:color="auto"/>
        <w:bottom w:val="none" w:sz="0" w:space="0" w:color="auto"/>
        <w:right w:val="none" w:sz="0" w:space="0" w:color="auto"/>
      </w:divBdr>
    </w:div>
    <w:div w:id="520894252">
      <w:marLeft w:val="0"/>
      <w:marRight w:val="0"/>
      <w:marTop w:val="0"/>
      <w:marBottom w:val="240"/>
      <w:divBdr>
        <w:top w:val="none" w:sz="0" w:space="0" w:color="auto"/>
        <w:left w:val="none" w:sz="0" w:space="0" w:color="auto"/>
        <w:bottom w:val="none" w:sz="0" w:space="0" w:color="auto"/>
        <w:right w:val="none" w:sz="0" w:space="0" w:color="auto"/>
      </w:divBdr>
    </w:div>
    <w:div w:id="523441499">
      <w:marLeft w:val="0"/>
      <w:marRight w:val="0"/>
      <w:marTop w:val="0"/>
      <w:marBottom w:val="180"/>
      <w:divBdr>
        <w:top w:val="none" w:sz="0" w:space="0" w:color="auto"/>
        <w:left w:val="none" w:sz="0" w:space="0" w:color="auto"/>
        <w:bottom w:val="none" w:sz="0" w:space="0" w:color="auto"/>
        <w:right w:val="none" w:sz="0" w:space="0" w:color="auto"/>
      </w:divBdr>
    </w:div>
    <w:div w:id="523443403">
      <w:marLeft w:val="0"/>
      <w:marRight w:val="0"/>
      <w:marTop w:val="0"/>
      <w:marBottom w:val="60"/>
      <w:divBdr>
        <w:top w:val="none" w:sz="0" w:space="0" w:color="auto"/>
        <w:left w:val="none" w:sz="0" w:space="0" w:color="auto"/>
        <w:bottom w:val="none" w:sz="0" w:space="0" w:color="auto"/>
        <w:right w:val="none" w:sz="0" w:space="0" w:color="auto"/>
      </w:divBdr>
    </w:div>
    <w:div w:id="526798784">
      <w:marLeft w:val="0"/>
      <w:marRight w:val="0"/>
      <w:marTop w:val="0"/>
      <w:marBottom w:val="240"/>
      <w:divBdr>
        <w:top w:val="none" w:sz="0" w:space="0" w:color="auto"/>
        <w:left w:val="none" w:sz="0" w:space="0" w:color="auto"/>
        <w:bottom w:val="none" w:sz="0" w:space="0" w:color="auto"/>
        <w:right w:val="none" w:sz="0" w:space="0" w:color="auto"/>
      </w:divBdr>
    </w:div>
    <w:div w:id="529143862">
      <w:marLeft w:val="0"/>
      <w:marRight w:val="0"/>
      <w:marTop w:val="0"/>
      <w:marBottom w:val="0"/>
      <w:divBdr>
        <w:top w:val="none" w:sz="0" w:space="0" w:color="auto"/>
        <w:left w:val="none" w:sz="0" w:space="0" w:color="auto"/>
        <w:bottom w:val="none" w:sz="0" w:space="0" w:color="auto"/>
        <w:right w:val="none" w:sz="0" w:space="0" w:color="auto"/>
      </w:divBdr>
    </w:div>
    <w:div w:id="530073408">
      <w:marLeft w:val="0"/>
      <w:marRight w:val="0"/>
      <w:marTop w:val="0"/>
      <w:marBottom w:val="240"/>
      <w:divBdr>
        <w:top w:val="none" w:sz="0" w:space="0" w:color="auto"/>
        <w:left w:val="none" w:sz="0" w:space="0" w:color="auto"/>
        <w:bottom w:val="none" w:sz="0" w:space="0" w:color="auto"/>
        <w:right w:val="none" w:sz="0" w:space="0" w:color="auto"/>
      </w:divBdr>
    </w:div>
    <w:div w:id="532036374">
      <w:marLeft w:val="0"/>
      <w:marRight w:val="0"/>
      <w:marTop w:val="0"/>
      <w:marBottom w:val="0"/>
      <w:divBdr>
        <w:top w:val="none" w:sz="0" w:space="0" w:color="auto"/>
        <w:left w:val="none" w:sz="0" w:space="0" w:color="auto"/>
        <w:bottom w:val="none" w:sz="0" w:space="0" w:color="auto"/>
        <w:right w:val="none" w:sz="0" w:space="0" w:color="auto"/>
      </w:divBdr>
    </w:div>
    <w:div w:id="533806701">
      <w:marLeft w:val="0"/>
      <w:marRight w:val="0"/>
      <w:marTop w:val="0"/>
      <w:marBottom w:val="180"/>
      <w:divBdr>
        <w:top w:val="none" w:sz="0" w:space="0" w:color="auto"/>
        <w:left w:val="none" w:sz="0" w:space="0" w:color="auto"/>
        <w:bottom w:val="none" w:sz="0" w:space="0" w:color="auto"/>
        <w:right w:val="none" w:sz="0" w:space="0" w:color="auto"/>
      </w:divBdr>
    </w:div>
    <w:div w:id="533928016">
      <w:marLeft w:val="0"/>
      <w:marRight w:val="0"/>
      <w:marTop w:val="180"/>
      <w:marBottom w:val="180"/>
      <w:divBdr>
        <w:top w:val="none" w:sz="0" w:space="0" w:color="auto"/>
        <w:left w:val="none" w:sz="0" w:space="0" w:color="auto"/>
        <w:bottom w:val="none" w:sz="0" w:space="0" w:color="auto"/>
        <w:right w:val="none" w:sz="0" w:space="0" w:color="auto"/>
      </w:divBdr>
    </w:div>
    <w:div w:id="536504277">
      <w:marLeft w:val="0"/>
      <w:marRight w:val="0"/>
      <w:marTop w:val="0"/>
      <w:marBottom w:val="0"/>
      <w:divBdr>
        <w:top w:val="none" w:sz="0" w:space="0" w:color="auto"/>
        <w:left w:val="none" w:sz="0" w:space="0" w:color="auto"/>
        <w:bottom w:val="none" w:sz="0" w:space="0" w:color="auto"/>
        <w:right w:val="none" w:sz="0" w:space="0" w:color="auto"/>
      </w:divBdr>
    </w:div>
    <w:div w:id="537546708">
      <w:marLeft w:val="0"/>
      <w:marRight w:val="0"/>
      <w:marTop w:val="0"/>
      <w:marBottom w:val="180"/>
      <w:divBdr>
        <w:top w:val="none" w:sz="0" w:space="0" w:color="auto"/>
        <w:left w:val="none" w:sz="0" w:space="0" w:color="auto"/>
        <w:bottom w:val="none" w:sz="0" w:space="0" w:color="auto"/>
        <w:right w:val="none" w:sz="0" w:space="0" w:color="auto"/>
      </w:divBdr>
    </w:div>
    <w:div w:id="541096877">
      <w:marLeft w:val="0"/>
      <w:marRight w:val="0"/>
      <w:marTop w:val="0"/>
      <w:marBottom w:val="0"/>
      <w:divBdr>
        <w:top w:val="none" w:sz="0" w:space="0" w:color="auto"/>
        <w:left w:val="none" w:sz="0" w:space="0" w:color="auto"/>
        <w:bottom w:val="none" w:sz="0" w:space="0" w:color="auto"/>
        <w:right w:val="none" w:sz="0" w:space="0" w:color="auto"/>
      </w:divBdr>
      <w:divsChild>
        <w:div w:id="8454438">
          <w:marLeft w:val="0"/>
          <w:marRight w:val="0"/>
          <w:marTop w:val="0"/>
          <w:marBottom w:val="0"/>
          <w:divBdr>
            <w:top w:val="none" w:sz="0" w:space="0" w:color="auto"/>
            <w:left w:val="none" w:sz="0" w:space="0" w:color="auto"/>
            <w:bottom w:val="none" w:sz="0" w:space="0" w:color="auto"/>
            <w:right w:val="none" w:sz="0" w:space="0" w:color="auto"/>
          </w:divBdr>
        </w:div>
      </w:divsChild>
    </w:div>
    <w:div w:id="541400086">
      <w:marLeft w:val="0"/>
      <w:marRight w:val="0"/>
      <w:marTop w:val="0"/>
      <w:marBottom w:val="240"/>
      <w:divBdr>
        <w:top w:val="none" w:sz="0" w:space="0" w:color="auto"/>
        <w:left w:val="none" w:sz="0" w:space="0" w:color="auto"/>
        <w:bottom w:val="none" w:sz="0" w:space="0" w:color="auto"/>
        <w:right w:val="none" w:sz="0" w:space="0" w:color="auto"/>
      </w:divBdr>
    </w:div>
    <w:div w:id="543909363">
      <w:marLeft w:val="0"/>
      <w:marRight w:val="0"/>
      <w:marTop w:val="0"/>
      <w:marBottom w:val="240"/>
      <w:divBdr>
        <w:top w:val="none" w:sz="0" w:space="0" w:color="auto"/>
        <w:left w:val="none" w:sz="0" w:space="0" w:color="auto"/>
        <w:bottom w:val="none" w:sz="0" w:space="0" w:color="auto"/>
        <w:right w:val="none" w:sz="0" w:space="0" w:color="auto"/>
      </w:divBdr>
    </w:div>
    <w:div w:id="549801599">
      <w:marLeft w:val="0"/>
      <w:marRight w:val="0"/>
      <w:marTop w:val="0"/>
      <w:marBottom w:val="240"/>
      <w:divBdr>
        <w:top w:val="none" w:sz="0" w:space="0" w:color="auto"/>
        <w:left w:val="none" w:sz="0" w:space="0" w:color="auto"/>
        <w:bottom w:val="none" w:sz="0" w:space="0" w:color="auto"/>
        <w:right w:val="none" w:sz="0" w:space="0" w:color="auto"/>
      </w:divBdr>
    </w:div>
    <w:div w:id="556164149">
      <w:marLeft w:val="0"/>
      <w:marRight w:val="0"/>
      <w:marTop w:val="100"/>
      <w:marBottom w:val="0"/>
      <w:divBdr>
        <w:top w:val="none" w:sz="0" w:space="0" w:color="auto"/>
        <w:left w:val="none" w:sz="0" w:space="0" w:color="auto"/>
        <w:bottom w:val="none" w:sz="0" w:space="0" w:color="auto"/>
        <w:right w:val="none" w:sz="0" w:space="0" w:color="auto"/>
      </w:divBdr>
    </w:div>
    <w:div w:id="560946921">
      <w:marLeft w:val="0"/>
      <w:marRight w:val="0"/>
      <w:marTop w:val="0"/>
      <w:marBottom w:val="0"/>
      <w:divBdr>
        <w:top w:val="none" w:sz="0" w:space="0" w:color="auto"/>
        <w:left w:val="none" w:sz="0" w:space="0" w:color="auto"/>
        <w:bottom w:val="none" w:sz="0" w:space="0" w:color="auto"/>
        <w:right w:val="none" w:sz="0" w:space="0" w:color="auto"/>
      </w:divBdr>
    </w:div>
    <w:div w:id="561788981">
      <w:marLeft w:val="0"/>
      <w:marRight w:val="0"/>
      <w:marTop w:val="0"/>
      <w:marBottom w:val="180"/>
      <w:divBdr>
        <w:top w:val="none" w:sz="0" w:space="0" w:color="auto"/>
        <w:left w:val="none" w:sz="0" w:space="0" w:color="auto"/>
        <w:bottom w:val="none" w:sz="0" w:space="0" w:color="auto"/>
        <w:right w:val="none" w:sz="0" w:space="0" w:color="auto"/>
      </w:divBdr>
    </w:div>
    <w:div w:id="564725659">
      <w:marLeft w:val="0"/>
      <w:marRight w:val="0"/>
      <w:marTop w:val="0"/>
      <w:marBottom w:val="240"/>
      <w:divBdr>
        <w:top w:val="none" w:sz="0" w:space="0" w:color="auto"/>
        <w:left w:val="none" w:sz="0" w:space="0" w:color="auto"/>
        <w:bottom w:val="none" w:sz="0" w:space="0" w:color="auto"/>
        <w:right w:val="none" w:sz="0" w:space="0" w:color="auto"/>
      </w:divBdr>
    </w:div>
    <w:div w:id="568073883">
      <w:marLeft w:val="0"/>
      <w:marRight w:val="0"/>
      <w:marTop w:val="180"/>
      <w:marBottom w:val="180"/>
      <w:divBdr>
        <w:top w:val="none" w:sz="0" w:space="0" w:color="auto"/>
        <w:left w:val="none" w:sz="0" w:space="0" w:color="auto"/>
        <w:bottom w:val="none" w:sz="0" w:space="0" w:color="auto"/>
        <w:right w:val="none" w:sz="0" w:space="0" w:color="auto"/>
      </w:divBdr>
    </w:div>
    <w:div w:id="568614391">
      <w:marLeft w:val="0"/>
      <w:marRight w:val="0"/>
      <w:marTop w:val="180"/>
      <w:marBottom w:val="180"/>
      <w:divBdr>
        <w:top w:val="none" w:sz="0" w:space="0" w:color="auto"/>
        <w:left w:val="none" w:sz="0" w:space="0" w:color="auto"/>
        <w:bottom w:val="none" w:sz="0" w:space="0" w:color="auto"/>
        <w:right w:val="none" w:sz="0" w:space="0" w:color="auto"/>
      </w:divBdr>
    </w:div>
    <w:div w:id="568883685">
      <w:marLeft w:val="0"/>
      <w:marRight w:val="0"/>
      <w:marTop w:val="120"/>
      <w:marBottom w:val="180"/>
      <w:divBdr>
        <w:top w:val="none" w:sz="0" w:space="0" w:color="auto"/>
        <w:left w:val="none" w:sz="0" w:space="0" w:color="auto"/>
        <w:bottom w:val="none" w:sz="0" w:space="0" w:color="auto"/>
        <w:right w:val="none" w:sz="0" w:space="0" w:color="auto"/>
      </w:divBdr>
    </w:div>
    <w:div w:id="569539558">
      <w:marLeft w:val="0"/>
      <w:marRight w:val="0"/>
      <w:marTop w:val="120"/>
      <w:marBottom w:val="120"/>
      <w:divBdr>
        <w:top w:val="none" w:sz="0" w:space="0" w:color="auto"/>
        <w:left w:val="none" w:sz="0" w:space="0" w:color="auto"/>
        <w:bottom w:val="none" w:sz="0" w:space="0" w:color="auto"/>
        <w:right w:val="none" w:sz="0" w:space="0" w:color="auto"/>
      </w:divBdr>
    </w:div>
    <w:div w:id="570433797">
      <w:marLeft w:val="0"/>
      <w:marRight w:val="0"/>
      <w:marTop w:val="0"/>
      <w:marBottom w:val="180"/>
      <w:divBdr>
        <w:top w:val="none" w:sz="0" w:space="0" w:color="auto"/>
        <w:left w:val="none" w:sz="0" w:space="0" w:color="auto"/>
        <w:bottom w:val="none" w:sz="0" w:space="0" w:color="auto"/>
        <w:right w:val="none" w:sz="0" w:space="0" w:color="auto"/>
      </w:divBdr>
    </w:div>
    <w:div w:id="570509121">
      <w:marLeft w:val="0"/>
      <w:marRight w:val="0"/>
      <w:marTop w:val="120"/>
      <w:marBottom w:val="240"/>
      <w:divBdr>
        <w:top w:val="none" w:sz="0" w:space="0" w:color="auto"/>
        <w:left w:val="none" w:sz="0" w:space="0" w:color="auto"/>
        <w:bottom w:val="none" w:sz="0" w:space="0" w:color="auto"/>
        <w:right w:val="none" w:sz="0" w:space="0" w:color="auto"/>
      </w:divBdr>
    </w:div>
    <w:div w:id="571427255">
      <w:marLeft w:val="0"/>
      <w:marRight w:val="0"/>
      <w:marTop w:val="0"/>
      <w:marBottom w:val="180"/>
      <w:divBdr>
        <w:top w:val="none" w:sz="0" w:space="0" w:color="auto"/>
        <w:left w:val="none" w:sz="0" w:space="0" w:color="auto"/>
        <w:bottom w:val="none" w:sz="0" w:space="0" w:color="auto"/>
        <w:right w:val="none" w:sz="0" w:space="0" w:color="auto"/>
      </w:divBdr>
    </w:div>
    <w:div w:id="572011843">
      <w:marLeft w:val="0"/>
      <w:marRight w:val="0"/>
      <w:marTop w:val="120"/>
      <w:marBottom w:val="180"/>
      <w:divBdr>
        <w:top w:val="none" w:sz="0" w:space="0" w:color="auto"/>
        <w:left w:val="none" w:sz="0" w:space="0" w:color="auto"/>
        <w:bottom w:val="none" w:sz="0" w:space="0" w:color="auto"/>
        <w:right w:val="none" w:sz="0" w:space="0" w:color="auto"/>
      </w:divBdr>
    </w:div>
    <w:div w:id="573734647">
      <w:marLeft w:val="0"/>
      <w:marRight w:val="0"/>
      <w:marTop w:val="0"/>
      <w:marBottom w:val="240"/>
      <w:divBdr>
        <w:top w:val="none" w:sz="0" w:space="0" w:color="auto"/>
        <w:left w:val="none" w:sz="0" w:space="0" w:color="auto"/>
        <w:bottom w:val="none" w:sz="0" w:space="0" w:color="auto"/>
        <w:right w:val="none" w:sz="0" w:space="0" w:color="auto"/>
      </w:divBdr>
    </w:div>
    <w:div w:id="574095645">
      <w:marLeft w:val="0"/>
      <w:marRight w:val="0"/>
      <w:marTop w:val="180"/>
      <w:marBottom w:val="180"/>
      <w:divBdr>
        <w:top w:val="none" w:sz="0" w:space="0" w:color="auto"/>
        <w:left w:val="none" w:sz="0" w:space="0" w:color="auto"/>
        <w:bottom w:val="none" w:sz="0" w:space="0" w:color="auto"/>
        <w:right w:val="none" w:sz="0" w:space="0" w:color="auto"/>
      </w:divBdr>
    </w:div>
    <w:div w:id="576982463">
      <w:marLeft w:val="0"/>
      <w:marRight w:val="0"/>
      <w:marTop w:val="0"/>
      <w:marBottom w:val="0"/>
      <w:divBdr>
        <w:top w:val="none" w:sz="0" w:space="0" w:color="auto"/>
        <w:left w:val="none" w:sz="0" w:space="0" w:color="auto"/>
        <w:bottom w:val="none" w:sz="0" w:space="0" w:color="auto"/>
        <w:right w:val="none" w:sz="0" w:space="0" w:color="auto"/>
      </w:divBdr>
    </w:div>
    <w:div w:id="578559145">
      <w:marLeft w:val="0"/>
      <w:marRight w:val="0"/>
      <w:marTop w:val="0"/>
      <w:marBottom w:val="240"/>
      <w:divBdr>
        <w:top w:val="none" w:sz="0" w:space="0" w:color="auto"/>
        <w:left w:val="none" w:sz="0" w:space="0" w:color="auto"/>
        <w:bottom w:val="none" w:sz="0" w:space="0" w:color="auto"/>
        <w:right w:val="none" w:sz="0" w:space="0" w:color="auto"/>
      </w:divBdr>
    </w:div>
    <w:div w:id="579364048">
      <w:marLeft w:val="0"/>
      <w:marRight w:val="0"/>
      <w:marTop w:val="0"/>
      <w:marBottom w:val="0"/>
      <w:divBdr>
        <w:top w:val="none" w:sz="0" w:space="0" w:color="auto"/>
        <w:left w:val="none" w:sz="0" w:space="0" w:color="auto"/>
        <w:bottom w:val="none" w:sz="0" w:space="0" w:color="auto"/>
        <w:right w:val="none" w:sz="0" w:space="0" w:color="auto"/>
      </w:divBdr>
      <w:divsChild>
        <w:div w:id="2104496160">
          <w:marLeft w:val="0"/>
          <w:marRight w:val="0"/>
          <w:marTop w:val="0"/>
          <w:marBottom w:val="0"/>
          <w:divBdr>
            <w:top w:val="none" w:sz="0" w:space="0" w:color="auto"/>
            <w:left w:val="none" w:sz="0" w:space="0" w:color="auto"/>
            <w:bottom w:val="none" w:sz="0" w:space="0" w:color="auto"/>
            <w:right w:val="none" w:sz="0" w:space="0" w:color="auto"/>
          </w:divBdr>
        </w:div>
      </w:divsChild>
    </w:div>
    <w:div w:id="580330459">
      <w:marLeft w:val="0"/>
      <w:marRight w:val="0"/>
      <w:marTop w:val="0"/>
      <w:marBottom w:val="0"/>
      <w:divBdr>
        <w:top w:val="none" w:sz="0" w:space="0" w:color="auto"/>
        <w:left w:val="none" w:sz="0" w:space="0" w:color="auto"/>
        <w:bottom w:val="none" w:sz="0" w:space="0" w:color="auto"/>
        <w:right w:val="none" w:sz="0" w:space="0" w:color="auto"/>
      </w:divBdr>
    </w:div>
    <w:div w:id="582185075">
      <w:marLeft w:val="0"/>
      <w:marRight w:val="0"/>
      <w:marTop w:val="0"/>
      <w:marBottom w:val="180"/>
      <w:divBdr>
        <w:top w:val="none" w:sz="0" w:space="0" w:color="auto"/>
        <w:left w:val="none" w:sz="0" w:space="0" w:color="auto"/>
        <w:bottom w:val="none" w:sz="0" w:space="0" w:color="auto"/>
        <w:right w:val="none" w:sz="0" w:space="0" w:color="auto"/>
      </w:divBdr>
    </w:div>
    <w:div w:id="582647547">
      <w:marLeft w:val="0"/>
      <w:marRight w:val="0"/>
      <w:marTop w:val="0"/>
      <w:marBottom w:val="180"/>
      <w:divBdr>
        <w:top w:val="none" w:sz="0" w:space="0" w:color="auto"/>
        <w:left w:val="none" w:sz="0" w:space="0" w:color="auto"/>
        <w:bottom w:val="none" w:sz="0" w:space="0" w:color="auto"/>
        <w:right w:val="none" w:sz="0" w:space="0" w:color="auto"/>
      </w:divBdr>
    </w:div>
    <w:div w:id="587084647">
      <w:marLeft w:val="0"/>
      <w:marRight w:val="0"/>
      <w:marTop w:val="0"/>
      <w:marBottom w:val="24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sChild>
        <w:div w:id="977802946">
          <w:marLeft w:val="0"/>
          <w:marRight w:val="0"/>
          <w:marTop w:val="0"/>
          <w:marBottom w:val="0"/>
          <w:divBdr>
            <w:top w:val="none" w:sz="0" w:space="0" w:color="auto"/>
            <w:left w:val="none" w:sz="0" w:space="0" w:color="auto"/>
            <w:bottom w:val="none" w:sz="0" w:space="0" w:color="auto"/>
            <w:right w:val="none" w:sz="0" w:space="0" w:color="auto"/>
          </w:divBdr>
        </w:div>
      </w:divsChild>
    </w:div>
    <w:div w:id="590511368">
      <w:marLeft w:val="0"/>
      <w:marRight w:val="0"/>
      <w:marTop w:val="180"/>
      <w:marBottom w:val="180"/>
      <w:divBdr>
        <w:top w:val="none" w:sz="0" w:space="0" w:color="auto"/>
        <w:left w:val="none" w:sz="0" w:space="0" w:color="auto"/>
        <w:bottom w:val="none" w:sz="0" w:space="0" w:color="auto"/>
        <w:right w:val="none" w:sz="0" w:space="0" w:color="auto"/>
      </w:divBdr>
    </w:div>
    <w:div w:id="590620963">
      <w:marLeft w:val="0"/>
      <w:marRight w:val="0"/>
      <w:marTop w:val="0"/>
      <w:marBottom w:val="180"/>
      <w:divBdr>
        <w:top w:val="none" w:sz="0" w:space="0" w:color="auto"/>
        <w:left w:val="none" w:sz="0" w:space="0" w:color="auto"/>
        <w:bottom w:val="none" w:sz="0" w:space="0" w:color="auto"/>
        <w:right w:val="none" w:sz="0" w:space="0" w:color="auto"/>
      </w:divBdr>
    </w:div>
    <w:div w:id="591092080">
      <w:marLeft w:val="0"/>
      <w:marRight w:val="0"/>
      <w:marTop w:val="100"/>
      <w:marBottom w:val="0"/>
      <w:divBdr>
        <w:top w:val="none" w:sz="0" w:space="0" w:color="auto"/>
        <w:left w:val="none" w:sz="0" w:space="0" w:color="auto"/>
        <w:bottom w:val="none" w:sz="0" w:space="0" w:color="auto"/>
        <w:right w:val="none" w:sz="0" w:space="0" w:color="auto"/>
      </w:divBdr>
      <w:divsChild>
        <w:div w:id="1529295133">
          <w:marLeft w:val="0"/>
          <w:marRight w:val="0"/>
          <w:marTop w:val="0"/>
          <w:marBottom w:val="0"/>
          <w:divBdr>
            <w:top w:val="none" w:sz="0" w:space="0" w:color="auto"/>
            <w:left w:val="none" w:sz="0" w:space="0" w:color="auto"/>
            <w:bottom w:val="none" w:sz="0" w:space="0" w:color="auto"/>
            <w:right w:val="none" w:sz="0" w:space="0" w:color="auto"/>
          </w:divBdr>
        </w:div>
      </w:divsChild>
    </w:div>
    <w:div w:id="593440865">
      <w:marLeft w:val="0"/>
      <w:marRight w:val="0"/>
      <w:marTop w:val="0"/>
      <w:marBottom w:val="0"/>
      <w:divBdr>
        <w:top w:val="none" w:sz="0" w:space="0" w:color="auto"/>
        <w:left w:val="none" w:sz="0" w:space="0" w:color="auto"/>
        <w:bottom w:val="none" w:sz="0" w:space="0" w:color="auto"/>
        <w:right w:val="none" w:sz="0" w:space="0" w:color="auto"/>
      </w:divBdr>
      <w:divsChild>
        <w:div w:id="404299922">
          <w:marLeft w:val="0"/>
          <w:marRight w:val="0"/>
          <w:marTop w:val="0"/>
          <w:marBottom w:val="0"/>
          <w:divBdr>
            <w:top w:val="none" w:sz="0" w:space="0" w:color="auto"/>
            <w:left w:val="none" w:sz="0" w:space="0" w:color="auto"/>
            <w:bottom w:val="none" w:sz="0" w:space="0" w:color="auto"/>
            <w:right w:val="none" w:sz="0" w:space="0" w:color="auto"/>
          </w:divBdr>
        </w:div>
      </w:divsChild>
    </w:div>
    <w:div w:id="600645566">
      <w:marLeft w:val="0"/>
      <w:marRight w:val="0"/>
      <w:marTop w:val="0"/>
      <w:marBottom w:val="0"/>
      <w:divBdr>
        <w:top w:val="none" w:sz="0" w:space="0" w:color="auto"/>
        <w:left w:val="none" w:sz="0" w:space="0" w:color="auto"/>
        <w:bottom w:val="none" w:sz="0" w:space="0" w:color="auto"/>
        <w:right w:val="none" w:sz="0" w:space="0" w:color="auto"/>
      </w:divBdr>
      <w:divsChild>
        <w:div w:id="1866363182">
          <w:marLeft w:val="0"/>
          <w:marRight w:val="0"/>
          <w:marTop w:val="0"/>
          <w:marBottom w:val="0"/>
          <w:divBdr>
            <w:top w:val="none" w:sz="0" w:space="0" w:color="auto"/>
            <w:left w:val="none" w:sz="0" w:space="0" w:color="auto"/>
            <w:bottom w:val="none" w:sz="0" w:space="0" w:color="auto"/>
            <w:right w:val="none" w:sz="0" w:space="0" w:color="auto"/>
          </w:divBdr>
        </w:div>
      </w:divsChild>
    </w:div>
    <w:div w:id="603803648">
      <w:marLeft w:val="0"/>
      <w:marRight w:val="0"/>
      <w:marTop w:val="120"/>
      <w:marBottom w:val="120"/>
      <w:divBdr>
        <w:top w:val="none" w:sz="0" w:space="0" w:color="auto"/>
        <w:left w:val="none" w:sz="0" w:space="0" w:color="auto"/>
        <w:bottom w:val="none" w:sz="0" w:space="0" w:color="auto"/>
        <w:right w:val="none" w:sz="0" w:space="0" w:color="auto"/>
      </w:divBdr>
    </w:div>
    <w:div w:id="606081581">
      <w:marLeft w:val="0"/>
      <w:marRight w:val="0"/>
      <w:marTop w:val="0"/>
      <w:marBottom w:val="240"/>
      <w:divBdr>
        <w:top w:val="none" w:sz="0" w:space="0" w:color="auto"/>
        <w:left w:val="none" w:sz="0" w:space="0" w:color="auto"/>
        <w:bottom w:val="none" w:sz="0" w:space="0" w:color="auto"/>
        <w:right w:val="none" w:sz="0" w:space="0" w:color="auto"/>
      </w:divBdr>
    </w:div>
    <w:div w:id="608895266">
      <w:marLeft w:val="0"/>
      <w:marRight w:val="0"/>
      <w:marTop w:val="0"/>
      <w:marBottom w:val="180"/>
      <w:divBdr>
        <w:top w:val="none" w:sz="0" w:space="0" w:color="auto"/>
        <w:left w:val="none" w:sz="0" w:space="0" w:color="auto"/>
        <w:bottom w:val="none" w:sz="0" w:space="0" w:color="auto"/>
        <w:right w:val="none" w:sz="0" w:space="0" w:color="auto"/>
      </w:divBdr>
    </w:div>
    <w:div w:id="609356515">
      <w:marLeft w:val="0"/>
      <w:marRight w:val="0"/>
      <w:marTop w:val="0"/>
      <w:marBottom w:val="180"/>
      <w:divBdr>
        <w:top w:val="none" w:sz="0" w:space="0" w:color="auto"/>
        <w:left w:val="none" w:sz="0" w:space="0" w:color="auto"/>
        <w:bottom w:val="none" w:sz="0" w:space="0" w:color="auto"/>
        <w:right w:val="none" w:sz="0" w:space="0" w:color="auto"/>
      </w:divBdr>
    </w:div>
    <w:div w:id="611472749">
      <w:marLeft w:val="0"/>
      <w:marRight w:val="0"/>
      <w:marTop w:val="0"/>
      <w:marBottom w:val="180"/>
      <w:divBdr>
        <w:top w:val="none" w:sz="0" w:space="0" w:color="auto"/>
        <w:left w:val="none" w:sz="0" w:space="0" w:color="auto"/>
        <w:bottom w:val="none" w:sz="0" w:space="0" w:color="auto"/>
        <w:right w:val="none" w:sz="0" w:space="0" w:color="auto"/>
      </w:divBdr>
    </w:div>
    <w:div w:id="612440064">
      <w:marLeft w:val="0"/>
      <w:marRight w:val="0"/>
      <w:marTop w:val="0"/>
      <w:marBottom w:val="0"/>
      <w:divBdr>
        <w:top w:val="none" w:sz="0" w:space="0" w:color="auto"/>
        <w:left w:val="none" w:sz="0" w:space="0" w:color="auto"/>
        <w:bottom w:val="none" w:sz="0" w:space="0" w:color="auto"/>
        <w:right w:val="none" w:sz="0" w:space="0" w:color="auto"/>
      </w:divBdr>
    </w:div>
    <w:div w:id="612707787">
      <w:marLeft w:val="0"/>
      <w:marRight w:val="0"/>
      <w:marTop w:val="180"/>
      <w:marBottom w:val="180"/>
      <w:divBdr>
        <w:top w:val="none" w:sz="0" w:space="0" w:color="auto"/>
        <w:left w:val="none" w:sz="0" w:space="0" w:color="auto"/>
        <w:bottom w:val="none" w:sz="0" w:space="0" w:color="auto"/>
        <w:right w:val="none" w:sz="0" w:space="0" w:color="auto"/>
      </w:divBdr>
    </w:div>
    <w:div w:id="614757060">
      <w:marLeft w:val="0"/>
      <w:marRight w:val="0"/>
      <w:marTop w:val="0"/>
      <w:marBottom w:val="0"/>
      <w:divBdr>
        <w:top w:val="none" w:sz="0" w:space="0" w:color="auto"/>
        <w:left w:val="none" w:sz="0" w:space="0" w:color="auto"/>
        <w:bottom w:val="none" w:sz="0" w:space="0" w:color="auto"/>
        <w:right w:val="none" w:sz="0" w:space="0" w:color="auto"/>
      </w:divBdr>
      <w:divsChild>
        <w:div w:id="460734192">
          <w:marLeft w:val="0"/>
          <w:marRight w:val="0"/>
          <w:marTop w:val="0"/>
          <w:marBottom w:val="0"/>
          <w:divBdr>
            <w:top w:val="none" w:sz="0" w:space="0" w:color="auto"/>
            <w:left w:val="none" w:sz="0" w:space="0" w:color="auto"/>
            <w:bottom w:val="none" w:sz="0" w:space="0" w:color="auto"/>
            <w:right w:val="none" w:sz="0" w:space="0" w:color="auto"/>
          </w:divBdr>
        </w:div>
      </w:divsChild>
    </w:div>
    <w:div w:id="615717505">
      <w:marLeft w:val="0"/>
      <w:marRight w:val="0"/>
      <w:marTop w:val="0"/>
      <w:marBottom w:val="0"/>
      <w:divBdr>
        <w:top w:val="none" w:sz="0" w:space="0" w:color="auto"/>
        <w:left w:val="none" w:sz="0" w:space="0" w:color="auto"/>
        <w:bottom w:val="none" w:sz="0" w:space="0" w:color="auto"/>
        <w:right w:val="none" w:sz="0" w:space="0" w:color="auto"/>
      </w:divBdr>
    </w:div>
    <w:div w:id="618414608">
      <w:marLeft w:val="0"/>
      <w:marRight w:val="0"/>
      <w:marTop w:val="0"/>
      <w:marBottom w:val="0"/>
      <w:divBdr>
        <w:top w:val="none" w:sz="0" w:space="0" w:color="auto"/>
        <w:left w:val="none" w:sz="0" w:space="0" w:color="auto"/>
        <w:bottom w:val="none" w:sz="0" w:space="0" w:color="auto"/>
        <w:right w:val="none" w:sz="0" w:space="0" w:color="auto"/>
      </w:divBdr>
    </w:div>
    <w:div w:id="618536589">
      <w:marLeft w:val="0"/>
      <w:marRight w:val="0"/>
      <w:marTop w:val="0"/>
      <w:marBottom w:val="0"/>
      <w:divBdr>
        <w:top w:val="none" w:sz="0" w:space="0" w:color="auto"/>
        <w:left w:val="none" w:sz="0" w:space="0" w:color="auto"/>
        <w:bottom w:val="none" w:sz="0" w:space="0" w:color="auto"/>
        <w:right w:val="none" w:sz="0" w:space="0" w:color="auto"/>
      </w:divBdr>
    </w:div>
    <w:div w:id="618727629">
      <w:marLeft w:val="0"/>
      <w:marRight w:val="0"/>
      <w:marTop w:val="120"/>
      <w:marBottom w:val="120"/>
      <w:divBdr>
        <w:top w:val="none" w:sz="0" w:space="0" w:color="auto"/>
        <w:left w:val="none" w:sz="0" w:space="0" w:color="auto"/>
        <w:bottom w:val="none" w:sz="0" w:space="0" w:color="auto"/>
        <w:right w:val="none" w:sz="0" w:space="0" w:color="auto"/>
      </w:divBdr>
    </w:div>
    <w:div w:id="620769780">
      <w:marLeft w:val="0"/>
      <w:marRight w:val="0"/>
      <w:marTop w:val="0"/>
      <w:marBottom w:val="180"/>
      <w:divBdr>
        <w:top w:val="none" w:sz="0" w:space="0" w:color="auto"/>
        <w:left w:val="none" w:sz="0" w:space="0" w:color="auto"/>
        <w:bottom w:val="none" w:sz="0" w:space="0" w:color="auto"/>
        <w:right w:val="none" w:sz="0" w:space="0" w:color="auto"/>
      </w:divBdr>
    </w:div>
    <w:div w:id="623535426">
      <w:marLeft w:val="0"/>
      <w:marRight w:val="0"/>
      <w:marTop w:val="0"/>
      <w:marBottom w:val="240"/>
      <w:divBdr>
        <w:top w:val="none" w:sz="0" w:space="0" w:color="auto"/>
        <w:left w:val="none" w:sz="0" w:space="0" w:color="auto"/>
        <w:bottom w:val="none" w:sz="0" w:space="0" w:color="auto"/>
        <w:right w:val="none" w:sz="0" w:space="0" w:color="auto"/>
      </w:divBdr>
    </w:div>
    <w:div w:id="623851559">
      <w:marLeft w:val="0"/>
      <w:marRight w:val="0"/>
      <w:marTop w:val="60"/>
      <w:marBottom w:val="0"/>
      <w:divBdr>
        <w:top w:val="none" w:sz="0" w:space="0" w:color="auto"/>
        <w:left w:val="none" w:sz="0" w:space="0" w:color="auto"/>
        <w:bottom w:val="none" w:sz="0" w:space="0" w:color="auto"/>
        <w:right w:val="none" w:sz="0" w:space="0" w:color="auto"/>
      </w:divBdr>
    </w:div>
    <w:div w:id="624385804">
      <w:marLeft w:val="0"/>
      <w:marRight w:val="0"/>
      <w:marTop w:val="180"/>
      <w:marBottom w:val="180"/>
      <w:divBdr>
        <w:top w:val="none" w:sz="0" w:space="0" w:color="auto"/>
        <w:left w:val="none" w:sz="0" w:space="0" w:color="auto"/>
        <w:bottom w:val="none" w:sz="0" w:space="0" w:color="auto"/>
        <w:right w:val="none" w:sz="0" w:space="0" w:color="auto"/>
      </w:divBdr>
    </w:div>
    <w:div w:id="624585262">
      <w:marLeft w:val="0"/>
      <w:marRight w:val="0"/>
      <w:marTop w:val="180"/>
      <w:marBottom w:val="180"/>
      <w:divBdr>
        <w:top w:val="none" w:sz="0" w:space="0" w:color="auto"/>
        <w:left w:val="none" w:sz="0" w:space="0" w:color="auto"/>
        <w:bottom w:val="none" w:sz="0" w:space="0" w:color="auto"/>
        <w:right w:val="none" w:sz="0" w:space="0" w:color="auto"/>
      </w:divBdr>
    </w:div>
    <w:div w:id="624849982">
      <w:marLeft w:val="0"/>
      <w:marRight w:val="0"/>
      <w:marTop w:val="100"/>
      <w:marBottom w:val="0"/>
      <w:divBdr>
        <w:top w:val="none" w:sz="0" w:space="0" w:color="auto"/>
        <w:left w:val="none" w:sz="0" w:space="0" w:color="auto"/>
        <w:bottom w:val="none" w:sz="0" w:space="0" w:color="auto"/>
        <w:right w:val="none" w:sz="0" w:space="0" w:color="auto"/>
      </w:divBdr>
    </w:div>
    <w:div w:id="626355137">
      <w:marLeft w:val="0"/>
      <w:marRight w:val="0"/>
      <w:marTop w:val="0"/>
      <w:marBottom w:val="180"/>
      <w:divBdr>
        <w:top w:val="none" w:sz="0" w:space="0" w:color="auto"/>
        <w:left w:val="none" w:sz="0" w:space="0" w:color="auto"/>
        <w:bottom w:val="none" w:sz="0" w:space="0" w:color="auto"/>
        <w:right w:val="none" w:sz="0" w:space="0" w:color="auto"/>
      </w:divBdr>
    </w:div>
    <w:div w:id="627321935">
      <w:marLeft w:val="0"/>
      <w:marRight w:val="0"/>
      <w:marTop w:val="180"/>
      <w:marBottom w:val="180"/>
      <w:divBdr>
        <w:top w:val="none" w:sz="0" w:space="0" w:color="auto"/>
        <w:left w:val="none" w:sz="0" w:space="0" w:color="auto"/>
        <w:bottom w:val="none" w:sz="0" w:space="0" w:color="auto"/>
        <w:right w:val="none" w:sz="0" w:space="0" w:color="auto"/>
      </w:divBdr>
    </w:div>
    <w:div w:id="628122047">
      <w:marLeft w:val="0"/>
      <w:marRight w:val="0"/>
      <w:marTop w:val="180"/>
      <w:marBottom w:val="180"/>
      <w:divBdr>
        <w:top w:val="none" w:sz="0" w:space="0" w:color="auto"/>
        <w:left w:val="none" w:sz="0" w:space="0" w:color="auto"/>
        <w:bottom w:val="none" w:sz="0" w:space="0" w:color="auto"/>
        <w:right w:val="none" w:sz="0" w:space="0" w:color="auto"/>
      </w:divBdr>
    </w:div>
    <w:div w:id="629093722">
      <w:marLeft w:val="0"/>
      <w:marRight w:val="0"/>
      <w:marTop w:val="0"/>
      <w:marBottom w:val="240"/>
      <w:divBdr>
        <w:top w:val="none" w:sz="0" w:space="0" w:color="auto"/>
        <w:left w:val="none" w:sz="0" w:space="0" w:color="auto"/>
        <w:bottom w:val="none" w:sz="0" w:space="0" w:color="auto"/>
        <w:right w:val="none" w:sz="0" w:space="0" w:color="auto"/>
      </w:divBdr>
    </w:div>
    <w:div w:id="630401045">
      <w:marLeft w:val="0"/>
      <w:marRight w:val="0"/>
      <w:marTop w:val="180"/>
      <w:marBottom w:val="180"/>
      <w:divBdr>
        <w:top w:val="none" w:sz="0" w:space="0" w:color="auto"/>
        <w:left w:val="none" w:sz="0" w:space="0" w:color="auto"/>
        <w:bottom w:val="none" w:sz="0" w:space="0" w:color="auto"/>
        <w:right w:val="none" w:sz="0" w:space="0" w:color="auto"/>
      </w:divBdr>
    </w:div>
    <w:div w:id="632903830">
      <w:marLeft w:val="0"/>
      <w:marRight w:val="0"/>
      <w:marTop w:val="0"/>
      <w:marBottom w:val="0"/>
      <w:divBdr>
        <w:top w:val="none" w:sz="0" w:space="0" w:color="auto"/>
        <w:left w:val="none" w:sz="0" w:space="0" w:color="auto"/>
        <w:bottom w:val="none" w:sz="0" w:space="0" w:color="auto"/>
        <w:right w:val="none" w:sz="0" w:space="0" w:color="auto"/>
      </w:divBdr>
      <w:divsChild>
        <w:div w:id="691883915">
          <w:marLeft w:val="0"/>
          <w:marRight w:val="0"/>
          <w:marTop w:val="0"/>
          <w:marBottom w:val="0"/>
          <w:divBdr>
            <w:top w:val="none" w:sz="0" w:space="0" w:color="auto"/>
            <w:left w:val="none" w:sz="0" w:space="0" w:color="auto"/>
            <w:bottom w:val="none" w:sz="0" w:space="0" w:color="auto"/>
            <w:right w:val="none" w:sz="0" w:space="0" w:color="auto"/>
          </w:divBdr>
        </w:div>
      </w:divsChild>
    </w:div>
    <w:div w:id="633292830">
      <w:marLeft w:val="0"/>
      <w:marRight w:val="0"/>
      <w:marTop w:val="0"/>
      <w:marBottom w:val="0"/>
      <w:divBdr>
        <w:top w:val="none" w:sz="0" w:space="0" w:color="auto"/>
        <w:left w:val="none" w:sz="0" w:space="0" w:color="auto"/>
        <w:bottom w:val="none" w:sz="0" w:space="0" w:color="auto"/>
        <w:right w:val="none" w:sz="0" w:space="0" w:color="auto"/>
      </w:divBdr>
    </w:div>
    <w:div w:id="634064039">
      <w:marLeft w:val="0"/>
      <w:marRight w:val="0"/>
      <w:marTop w:val="0"/>
      <w:marBottom w:val="0"/>
      <w:divBdr>
        <w:top w:val="none" w:sz="0" w:space="0" w:color="auto"/>
        <w:left w:val="none" w:sz="0" w:space="0" w:color="auto"/>
        <w:bottom w:val="none" w:sz="0" w:space="0" w:color="auto"/>
        <w:right w:val="none" w:sz="0" w:space="0" w:color="auto"/>
      </w:divBdr>
    </w:div>
    <w:div w:id="635256627">
      <w:marLeft w:val="0"/>
      <w:marRight w:val="0"/>
      <w:marTop w:val="0"/>
      <w:marBottom w:val="180"/>
      <w:divBdr>
        <w:top w:val="none" w:sz="0" w:space="0" w:color="auto"/>
        <w:left w:val="none" w:sz="0" w:space="0" w:color="auto"/>
        <w:bottom w:val="none" w:sz="0" w:space="0" w:color="auto"/>
        <w:right w:val="none" w:sz="0" w:space="0" w:color="auto"/>
      </w:divBdr>
    </w:div>
    <w:div w:id="637027448">
      <w:marLeft w:val="0"/>
      <w:marRight w:val="0"/>
      <w:marTop w:val="0"/>
      <w:marBottom w:val="180"/>
      <w:divBdr>
        <w:top w:val="none" w:sz="0" w:space="0" w:color="auto"/>
        <w:left w:val="none" w:sz="0" w:space="0" w:color="auto"/>
        <w:bottom w:val="none" w:sz="0" w:space="0" w:color="auto"/>
        <w:right w:val="none" w:sz="0" w:space="0" w:color="auto"/>
      </w:divBdr>
    </w:div>
    <w:div w:id="639500811">
      <w:marLeft w:val="0"/>
      <w:marRight w:val="0"/>
      <w:marTop w:val="0"/>
      <w:marBottom w:val="240"/>
      <w:divBdr>
        <w:top w:val="none" w:sz="0" w:space="0" w:color="auto"/>
        <w:left w:val="none" w:sz="0" w:space="0" w:color="auto"/>
        <w:bottom w:val="none" w:sz="0" w:space="0" w:color="auto"/>
        <w:right w:val="none" w:sz="0" w:space="0" w:color="auto"/>
      </w:divBdr>
    </w:div>
    <w:div w:id="640617259">
      <w:marLeft w:val="0"/>
      <w:marRight w:val="0"/>
      <w:marTop w:val="240"/>
      <w:marBottom w:val="240"/>
      <w:divBdr>
        <w:top w:val="none" w:sz="0" w:space="0" w:color="auto"/>
        <w:left w:val="none" w:sz="0" w:space="0" w:color="auto"/>
        <w:bottom w:val="none" w:sz="0" w:space="0" w:color="auto"/>
        <w:right w:val="none" w:sz="0" w:space="0" w:color="auto"/>
      </w:divBdr>
    </w:div>
    <w:div w:id="646008620">
      <w:marLeft w:val="0"/>
      <w:marRight w:val="0"/>
      <w:marTop w:val="120"/>
      <w:marBottom w:val="120"/>
      <w:divBdr>
        <w:top w:val="none" w:sz="0" w:space="0" w:color="auto"/>
        <w:left w:val="none" w:sz="0" w:space="0" w:color="auto"/>
        <w:bottom w:val="none" w:sz="0" w:space="0" w:color="auto"/>
        <w:right w:val="none" w:sz="0" w:space="0" w:color="auto"/>
      </w:divBdr>
    </w:div>
    <w:div w:id="647519325">
      <w:marLeft w:val="0"/>
      <w:marRight w:val="0"/>
      <w:marTop w:val="0"/>
      <w:marBottom w:val="0"/>
      <w:divBdr>
        <w:top w:val="none" w:sz="0" w:space="0" w:color="auto"/>
        <w:left w:val="none" w:sz="0" w:space="0" w:color="auto"/>
        <w:bottom w:val="none" w:sz="0" w:space="0" w:color="auto"/>
        <w:right w:val="none" w:sz="0" w:space="0" w:color="auto"/>
      </w:divBdr>
      <w:divsChild>
        <w:div w:id="586427413">
          <w:marLeft w:val="0"/>
          <w:marRight w:val="0"/>
          <w:marTop w:val="0"/>
          <w:marBottom w:val="0"/>
          <w:divBdr>
            <w:top w:val="none" w:sz="0" w:space="0" w:color="auto"/>
            <w:left w:val="none" w:sz="0" w:space="0" w:color="auto"/>
            <w:bottom w:val="none" w:sz="0" w:space="0" w:color="auto"/>
            <w:right w:val="none" w:sz="0" w:space="0" w:color="auto"/>
          </w:divBdr>
        </w:div>
      </w:divsChild>
    </w:div>
    <w:div w:id="647637170">
      <w:marLeft w:val="0"/>
      <w:marRight w:val="0"/>
      <w:marTop w:val="0"/>
      <w:marBottom w:val="0"/>
      <w:divBdr>
        <w:top w:val="none" w:sz="0" w:space="0" w:color="auto"/>
        <w:left w:val="none" w:sz="0" w:space="0" w:color="auto"/>
        <w:bottom w:val="none" w:sz="0" w:space="0" w:color="auto"/>
        <w:right w:val="none" w:sz="0" w:space="0" w:color="auto"/>
      </w:divBdr>
    </w:div>
    <w:div w:id="649359091">
      <w:marLeft w:val="0"/>
      <w:marRight w:val="0"/>
      <w:marTop w:val="0"/>
      <w:marBottom w:val="0"/>
      <w:divBdr>
        <w:top w:val="none" w:sz="0" w:space="0" w:color="auto"/>
        <w:left w:val="none" w:sz="0" w:space="0" w:color="auto"/>
        <w:bottom w:val="none" w:sz="0" w:space="0" w:color="auto"/>
        <w:right w:val="none" w:sz="0" w:space="0" w:color="auto"/>
      </w:divBdr>
    </w:div>
    <w:div w:id="654996695">
      <w:marLeft w:val="0"/>
      <w:marRight w:val="0"/>
      <w:marTop w:val="0"/>
      <w:marBottom w:val="0"/>
      <w:divBdr>
        <w:top w:val="none" w:sz="0" w:space="0" w:color="auto"/>
        <w:left w:val="none" w:sz="0" w:space="0" w:color="auto"/>
        <w:bottom w:val="none" w:sz="0" w:space="0" w:color="auto"/>
        <w:right w:val="none" w:sz="0" w:space="0" w:color="auto"/>
      </w:divBdr>
      <w:divsChild>
        <w:div w:id="2082019491">
          <w:marLeft w:val="0"/>
          <w:marRight w:val="0"/>
          <w:marTop w:val="0"/>
          <w:marBottom w:val="0"/>
          <w:divBdr>
            <w:top w:val="none" w:sz="0" w:space="0" w:color="auto"/>
            <w:left w:val="none" w:sz="0" w:space="0" w:color="auto"/>
            <w:bottom w:val="none" w:sz="0" w:space="0" w:color="auto"/>
            <w:right w:val="none" w:sz="0" w:space="0" w:color="auto"/>
          </w:divBdr>
        </w:div>
      </w:divsChild>
    </w:div>
    <w:div w:id="655762059">
      <w:marLeft w:val="0"/>
      <w:marRight w:val="0"/>
      <w:marTop w:val="0"/>
      <w:marBottom w:val="240"/>
      <w:divBdr>
        <w:top w:val="none" w:sz="0" w:space="0" w:color="auto"/>
        <w:left w:val="none" w:sz="0" w:space="0" w:color="auto"/>
        <w:bottom w:val="none" w:sz="0" w:space="0" w:color="auto"/>
        <w:right w:val="none" w:sz="0" w:space="0" w:color="auto"/>
      </w:divBdr>
    </w:div>
    <w:div w:id="657029403">
      <w:marLeft w:val="0"/>
      <w:marRight w:val="0"/>
      <w:marTop w:val="0"/>
      <w:marBottom w:val="180"/>
      <w:divBdr>
        <w:top w:val="none" w:sz="0" w:space="0" w:color="auto"/>
        <w:left w:val="none" w:sz="0" w:space="0" w:color="auto"/>
        <w:bottom w:val="none" w:sz="0" w:space="0" w:color="auto"/>
        <w:right w:val="none" w:sz="0" w:space="0" w:color="auto"/>
      </w:divBdr>
    </w:div>
    <w:div w:id="658189365">
      <w:marLeft w:val="0"/>
      <w:marRight w:val="0"/>
      <w:marTop w:val="100"/>
      <w:marBottom w:val="0"/>
      <w:divBdr>
        <w:top w:val="none" w:sz="0" w:space="0" w:color="auto"/>
        <w:left w:val="none" w:sz="0" w:space="0" w:color="auto"/>
        <w:bottom w:val="none" w:sz="0" w:space="0" w:color="auto"/>
        <w:right w:val="none" w:sz="0" w:space="0" w:color="auto"/>
      </w:divBdr>
    </w:div>
    <w:div w:id="659236422">
      <w:marLeft w:val="0"/>
      <w:marRight w:val="0"/>
      <w:marTop w:val="0"/>
      <w:marBottom w:val="180"/>
      <w:divBdr>
        <w:top w:val="none" w:sz="0" w:space="0" w:color="auto"/>
        <w:left w:val="none" w:sz="0" w:space="0" w:color="auto"/>
        <w:bottom w:val="none" w:sz="0" w:space="0" w:color="auto"/>
        <w:right w:val="none" w:sz="0" w:space="0" w:color="auto"/>
      </w:divBdr>
    </w:div>
    <w:div w:id="660692037">
      <w:marLeft w:val="0"/>
      <w:marRight w:val="0"/>
      <w:marTop w:val="0"/>
      <w:marBottom w:val="240"/>
      <w:divBdr>
        <w:top w:val="none" w:sz="0" w:space="0" w:color="auto"/>
        <w:left w:val="none" w:sz="0" w:space="0" w:color="auto"/>
        <w:bottom w:val="none" w:sz="0" w:space="0" w:color="auto"/>
        <w:right w:val="none" w:sz="0" w:space="0" w:color="auto"/>
      </w:divBdr>
    </w:div>
    <w:div w:id="661198655">
      <w:marLeft w:val="0"/>
      <w:marRight w:val="0"/>
      <w:marTop w:val="0"/>
      <w:marBottom w:val="0"/>
      <w:divBdr>
        <w:top w:val="none" w:sz="0" w:space="0" w:color="auto"/>
        <w:left w:val="none" w:sz="0" w:space="0" w:color="auto"/>
        <w:bottom w:val="none" w:sz="0" w:space="0" w:color="auto"/>
        <w:right w:val="none" w:sz="0" w:space="0" w:color="auto"/>
      </w:divBdr>
    </w:div>
    <w:div w:id="661618407">
      <w:marLeft w:val="0"/>
      <w:marRight w:val="0"/>
      <w:marTop w:val="120"/>
      <w:marBottom w:val="240"/>
      <w:divBdr>
        <w:top w:val="none" w:sz="0" w:space="0" w:color="auto"/>
        <w:left w:val="none" w:sz="0" w:space="0" w:color="auto"/>
        <w:bottom w:val="none" w:sz="0" w:space="0" w:color="auto"/>
        <w:right w:val="none" w:sz="0" w:space="0" w:color="auto"/>
      </w:divBdr>
    </w:div>
    <w:div w:id="662200720">
      <w:marLeft w:val="0"/>
      <w:marRight w:val="0"/>
      <w:marTop w:val="0"/>
      <w:marBottom w:val="180"/>
      <w:divBdr>
        <w:top w:val="none" w:sz="0" w:space="0" w:color="auto"/>
        <w:left w:val="none" w:sz="0" w:space="0" w:color="auto"/>
        <w:bottom w:val="none" w:sz="0" w:space="0" w:color="auto"/>
        <w:right w:val="none" w:sz="0" w:space="0" w:color="auto"/>
      </w:divBdr>
    </w:div>
    <w:div w:id="664091977">
      <w:marLeft w:val="0"/>
      <w:marRight w:val="0"/>
      <w:marTop w:val="0"/>
      <w:marBottom w:val="0"/>
      <w:divBdr>
        <w:top w:val="none" w:sz="0" w:space="0" w:color="auto"/>
        <w:left w:val="none" w:sz="0" w:space="0" w:color="auto"/>
        <w:bottom w:val="none" w:sz="0" w:space="0" w:color="auto"/>
        <w:right w:val="none" w:sz="0" w:space="0" w:color="auto"/>
      </w:divBdr>
    </w:div>
    <w:div w:id="664473834">
      <w:marLeft w:val="0"/>
      <w:marRight w:val="0"/>
      <w:marTop w:val="0"/>
      <w:marBottom w:val="240"/>
      <w:divBdr>
        <w:top w:val="none" w:sz="0" w:space="0" w:color="auto"/>
        <w:left w:val="none" w:sz="0" w:space="0" w:color="auto"/>
        <w:bottom w:val="none" w:sz="0" w:space="0" w:color="auto"/>
        <w:right w:val="none" w:sz="0" w:space="0" w:color="auto"/>
      </w:divBdr>
    </w:div>
    <w:div w:id="664937565">
      <w:marLeft w:val="0"/>
      <w:marRight w:val="0"/>
      <w:marTop w:val="0"/>
      <w:marBottom w:val="240"/>
      <w:divBdr>
        <w:top w:val="none" w:sz="0" w:space="0" w:color="auto"/>
        <w:left w:val="none" w:sz="0" w:space="0" w:color="auto"/>
        <w:bottom w:val="none" w:sz="0" w:space="0" w:color="auto"/>
        <w:right w:val="none" w:sz="0" w:space="0" w:color="auto"/>
      </w:divBdr>
    </w:div>
    <w:div w:id="665787267">
      <w:marLeft w:val="0"/>
      <w:marRight w:val="0"/>
      <w:marTop w:val="0"/>
      <w:marBottom w:val="0"/>
      <w:divBdr>
        <w:top w:val="none" w:sz="0" w:space="0" w:color="auto"/>
        <w:left w:val="none" w:sz="0" w:space="0" w:color="auto"/>
        <w:bottom w:val="none" w:sz="0" w:space="0" w:color="auto"/>
        <w:right w:val="none" w:sz="0" w:space="0" w:color="auto"/>
      </w:divBdr>
      <w:divsChild>
        <w:div w:id="1647782382">
          <w:marLeft w:val="0"/>
          <w:marRight w:val="0"/>
          <w:marTop w:val="0"/>
          <w:marBottom w:val="0"/>
          <w:divBdr>
            <w:top w:val="none" w:sz="0" w:space="0" w:color="auto"/>
            <w:left w:val="none" w:sz="0" w:space="0" w:color="auto"/>
            <w:bottom w:val="none" w:sz="0" w:space="0" w:color="auto"/>
            <w:right w:val="none" w:sz="0" w:space="0" w:color="auto"/>
          </w:divBdr>
        </w:div>
      </w:divsChild>
    </w:div>
    <w:div w:id="666203947">
      <w:marLeft w:val="0"/>
      <w:marRight w:val="0"/>
      <w:marTop w:val="0"/>
      <w:marBottom w:val="0"/>
      <w:divBdr>
        <w:top w:val="none" w:sz="0" w:space="0" w:color="auto"/>
        <w:left w:val="none" w:sz="0" w:space="0" w:color="auto"/>
        <w:bottom w:val="none" w:sz="0" w:space="0" w:color="auto"/>
        <w:right w:val="none" w:sz="0" w:space="0" w:color="auto"/>
      </w:divBdr>
      <w:divsChild>
        <w:div w:id="1745908752">
          <w:marLeft w:val="0"/>
          <w:marRight w:val="0"/>
          <w:marTop w:val="0"/>
          <w:marBottom w:val="0"/>
          <w:divBdr>
            <w:top w:val="none" w:sz="0" w:space="0" w:color="auto"/>
            <w:left w:val="none" w:sz="0" w:space="0" w:color="auto"/>
            <w:bottom w:val="none" w:sz="0" w:space="0" w:color="auto"/>
            <w:right w:val="none" w:sz="0" w:space="0" w:color="auto"/>
          </w:divBdr>
        </w:div>
      </w:divsChild>
    </w:div>
    <w:div w:id="668827025">
      <w:marLeft w:val="0"/>
      <w:marRight w:val="0"/>
      <w:marTop w:val="0"/>
      <w:marBottom w:val="0"/>
      <w:divBdr>
        <w:top w:val="none" w:sz="0" w:space="0" w:color="auto"/>
        <w:left w:val="none" w:sz="0" w:space="0" w:color="auto"/>
        <w:bottom w:val="none" w:sz="0" w:space="0" w:color="auto"/>
        <w:right w:val="none" w:sz="0" w:space="0" w:color="auto"/>
      </w:divBdr>
      <w:divsChild>
        <w:div w:id="1244796344">
          <w:marLeft w:val="0"/>
          <w:marRight w:val="0"/>
          <w:marTop w:val="0"/>
          <w:marBottom w:val="0"/>
          <w:divBdr>
            <w:top w:val="none" w:sz="0" w:space="0" w:color="auto"/>
            <w:left w:val="none" w:sz="0" w:space="0" w:color="auto"/>
            <w:bottom w:val="none" w:sz="0" w:space="0" w:color="auto"/>
            <w:right w:val="none" w:sz="0" w:space="0" w:color="auto"/>
          </w:divBdr>
        </w:div>
        <w:div w:id="1222864400">
          <w:marLeft w:val="0"/>
          <w:marRight w:val="0"/>
          <w:marTop w:val="0"/>
          <w:marBottom w:val="0"/>
          <w:divBdr>
            <w:top w:val="none" w:sz="0" w:space="0" w:color="auto"/>
            <w:left w:val="none" w:sz="0" w:space="0" w:color="auto"/>
            <w:bottom w:val="none" w:sz="0" w:space="0" w:color="auto"/>
            <w:right w:val="none" w:sz="0" w:space="0" w:color="auto"/>
          </w:divBdr>
        </w:div>
        <w:div w:id="2048480808">
          <w:marLeft w:val="0"/>
          <w:marRight w:val="0"/>
          <w:marTop w:val="0"/>
          <w:marBottom w:val="0"/>
          <w:divBdr>
            <w:top w:val="none" w:sz="0" w:space="0" w:color="auto"/>
            <w:left w:val="none" w:sz="0" w:space="0" w:color="auto"/>
            <w:bottom w:val="none" w:sz="0" w:space="0" w:color="auto"/>
            <w:right w:val="none" w:sz="0" w:space="0" w:color="auto"/>
          </w:divBdr>
        </w:div>
      </w:divsChild>
    </w:div>
    <w:div w:id="669254703">
      <w:marLeft w:val="0"/>
      <w:marRight w:val="0"/>
      <w:marTop w:val="0"/>
      <w:marBottom w:val="180"/>
      <w:divBdr>
        <w:top w:val="none" w:sz="0" w:space="0" w:color="auto"/>
        <w:left w:val="none" w:sz="0" w:space="0" w:color="auto"/>
        <w:bottom w:val="none" w:sz="0" w:space="0" w:color="auto"/>
        <w:right w:val="none" w:sz="0" w:space="0" w:color="auto"/>
      </w:divBdr>
    </w:div>
    <w:div w:id="669412688">
      <w:marLeft w:val="0"/>
      <w:marRight w:val="0"/>
      <w:marTop w:val="0"/>
      <w:marBottom w:val="180"/>
      <w:divBdr>
        <w:top w:val="none" w:sz="0" w:space="0" w:color="auto"/>
        <w:left w:val="none" w:sz="0" w:space="0" w:color="auto"/>
        <w:bottom w:val="none" w:sz="0" w:space="0" w:color="auto"/>
        <w:right w:val="none" w:sz="0" w:space="0" w:color="auto"/>
      </w:divBdr>
    </w:div>
    <w:div w:id="670372927">
      <w:marLeft w:val="0"/>
      <w:marRight w:val="0"/>
      <w:marTop w:val="0"/>
      <w:marBottom w:val="240"/>
      <w:divBdr>
        <w:top w:val="none" w:sz="0" w:space="0" w:color="auto"/>
        <w:left w:val="none" w:sz="0" w:space="0" w:color="auto"/>
        <w:bottom w:val="none" w:sz="0" w:space="0" w:color="auto"/>
        <w:right w:val="none" w:sz="0" w:space="0" w:color="auto"/>
      </w:divBdr>
    </w:div>
    <w:div w:id="673217277">
      <w:marLeft w:val="0"/>
      <w:marRight w:val="0"/>
      <w:marTop w:val="100"/>
      <w:marBottom w:val="0"/>
      <w:divBdr>
        <w:top w:val="none" w:sz="0" w:space="0" w:color="auto"/>
        <w:left w:val="none" w:sz="0" w:space="0" w:color="auto"/>
        <w:bottom w:val="none" w:sz="0" w:space="0" w:color="auto"/>
        <w:right w:val="none" w:sz="0" w:space="0" w:color="auto"/>
      </w:divBdr>
    </w:div>
    <w:div w:id="673457616">
      <w:marLeft w:val="0"/>
      <w:marRight w:val="0"/>
      <w:marTop w:val="0"/>
      <w:marBottom w:val="240"/>
      <w:divBdr>
        <w:top w:val="none" w:sz="0" w:space="0" w:color="auto"/>
        <w:left w:val="none" w:sz="0" w:space="0" w:color="auto"/>
        <w:bottom w:val="none" w:sz="0" w:space="0" w:color="auto"/>
        <w:right w:val="none" w:sz="0" w:space="0" w:color="auto"/>
      </w:divBdr>
    </w:div>
    <w:div w:id="675956356">
      <w:marLeft w:val="0"/>
      <w:marRight w:val="0"/>
      <w:marTop w:val="0"/>
      <w:marBottom w:val="0"/>
      <w:divBdr>
        <w:top w:val="none" w:sz="0" w:space="0" w:color="auto"/>
        <w:left w:val="none" w:sz="0" w:space="0" w:color="auto"/>
        <w:bottom w:val="none" w:sz="0" w:space="0" w:color="auto"/>
        <w:right w:val="none" w:sz="0" w:space="0" w:color="auto"/>
      </w:divBdr>
    </w:div>
    <w:div w:id="676543694">
      <w:marLeft w:val="0"/>
      <w:marRight w:val="0"/>
      <w:marTop w:val="180"/>
      <w:marBottom w:val="180"/>
      <w:divBdr>
        <w:top w:val="none" w:sz="0" w:space="0" w:color="auto"/>
        <w:left w:val="none" w:sz="0" w:space="0" w:color="auto"/>
        <w:bottom w:val="none" w:sz="0" w:space="0" w:color="auto"/>
        <w:right w:val="none" w:sz="0" w:space="0" w:color="auto"/>
      </w:divBdr>
    </w:div>
    <w:div w:id="677657786">
      <w:marLeft w:val="0"/>
      <w:marRight w:val="0"/>
      <w:marTop w:val="100"/>
      <w:marBottom w:val="120"/>
      <w:divBdr>
        <w:top w:val="none" w:sz="0" w:space="0" w:color="auto"/>
        <w:left w:val="none" w:sz="0" w:space="0" w:color="auto"/>
        <w:bottom w:val="none" w:sz="0" w:space="0" w:color="auto"/>
        <w:right w:val="none" w:sz="0" w:space="0" w:color="auto"/>
      </w:divBdr>
    </w:div>
    <w:div w:id="682166962">
      <w:marLeft w:val="0"/>
      <w:marRight w:val="0"/>
      <w:marTop w:val="0"/>
      <w:marBottom w:val="0"/>
      <w:divBdr>
        <w:top w:val="none" w:sz="0" w:space="0" w:color="auto"/>
        <w:left w:val="none" w:sz="0" w:space="0" w:color="auto"/>
        <w:bottom w:val="none" w:sz="0" w:space="0" w:color="auto"/>
        <w:right w:val="none" w:sz="0" w:space="0" w:color="auto"/>
      </w:divBdr>
      <w:divsChild>
        <w:div w:id="1834947319">
          <w:marLeft w:val="0"/>
          <w:marRight w:val="0"/>
          <w:marTop w:val="0"/>
          <w:marBottom w:val="0"/>
          <w:divBdr>
            <w:top w:val="none" w:sz="0" w:space="0" w:color="auto"/>
            <w:left w:val="none" w:sz="0" w:space="0" w:color="auto"/>
            <w:bottom w:val="none" w:sz="0" w:space="0" w:color="auto"/>
            <w:right w:val="none" w:sz="0" w:space="0" w:color="auto"/>
          </w:divBdr>
        </w:div>
      </w:divsChild>
    </w:div>
    <w:div w:id="682711386">
      <w:marLeft w:val="0"/>
      <w:marRight w:val="0"/>
      <w:marTop w:val="0"/>
      <w:marBottom w:val="0"/>
      <w:divBdr>
        <w:top w:val="none" w:sz="0" w:space="0" w:color="auto"/>
        <w:left w:val="none" w:sz="0" w:space="0" w:color="auto"/>
        <w:bottom w:val="none" w:sz="0" w:space="0" w:color="auto"/>
        <w:right w:val="none" w:sz="0" w:space="0" w:color="auto"/>
      </w:divBdr>
      <w:divsChild>
        <w:div w:id="779837521">
          <w:marLeft w:val="0"/>
          <w:marRight w:val="0"/>
          <w:marTop w:val="0"/>
          <w:marBottom w:val="0"/>
          <w:divBdr>
            <w:top w:val="none" w:sz="0" w:space="0" w:color="auto"/>
            <w:left w:val="none" w:sz="0" w:space="0" w:color="auto"/>
            <w:bottom w:val="none" w:sz="0" w:space="0" w:color="auto"/>
            <w:right w:val="none" w:sz="0" w:space="0" w:color="auto"/>
          </w:divBdr>
        </w:div>
      </w:divsChild>
    </w:div>
    <w:div w:id="683942350">
      <w:marLeft w:val="0"/>
      <w:marRight w:val="0"/>
      <w:marTop w:val="0"/>
      <w:marBottom w:val="0"/>
      <w:divBdr>
        <w:top w:val="none" w:sz="0" w:space="0" w:color="auto"/>
        <w:left w:val="none" w:sz="0" w:space="0" w:color="auto"/>
        <w:bottom w:val="none" w:sz="0" w:space="0" w:color="auto"/>
        <w:right w:val="none" w:sz="0" w:space="0" w:color="auto"/>
      </w:divBdr>
    </w:div>
    <w:div w:id="684479369">
      <w:marLeft w:val="0"/>
      <w:marRight w:val="0"/>
      <w:marTop w:val="0"/>
      <w:marBottom w:val="0"/>
      <w:divBdr>
        <w:top w:val="none" w:sz="0" w:space="0" w:color="auto"/>
        <w:left w:val="none" w:sz="0" w:space="0" w:color="auto"/>
        <w:bottom w:val="none" w:sz="0" w:space="0" w:color="auto"/>
        <w:right w:val="none" w:sz="0" w:space="0" w:color="auto"/>
      </w:divBdr>
    </w:div>
    <w:div w:id="684870850">
      <w:marLeft w:val="0"/>
      <w:marRight w:val="0"/>
      <w:marTop w:val="100"/>
      <w:marBottom w:val="0"/>
      <w:divBdr>
        <w:top w:val="none" w:sz="0" w:space="0" w:color="auto"/>
        <w:left w:val="none" w:sz="0" w:space="0" w:color="auto"/>
        <w:bottom w:val="none" w:sz="0" w:space="0" w:color="auto"/>
        <w:right w:val="none" w:sz="0" w:space="0" w:color="auto"/>
      </w:divBdr>
    </w:div>
    <w:div w:id="684985043">
      <w:marLeft w:val="0"/>
      <w:marRight w:val="0"/>
      <w:marTop w:val="180"/>
      <w:marBottom w:val="180"/>
      <w:divBdr>
        <w:top w:val="none" w:sz="0" w:space="0" w:color="auto"/>
        <w:left w:val="none" w:sz="0" w:space="0" w:color="auto"/>
        <w:bottom w:val="none" w:sz="0" w:space="0" w:color="auto"/>
        <w:right w:val="none" w:sz="0" w:space="0" w:color="auto"/>
      </w:divBdr>
    </w:div>
    <w:div w:id="686711146">
      <w:marLeft w:val="0"/>
      <w:marRight w:val="0"/>
      <w:marTop w:val="0"/>
      <w:marBottom w:val="240"/>
      <w:divBdr>
        <w:top w:val="none" w:sz="0" w:space="0" w:color="auto"/>
        <w:left w:val="none" w:sz="0" w:space="0" w:color="auto"/>
        <w:bottom w:val="none" w:sz="0" w:space="0" w:color="auto"/>
        <w:right w:val="none" w:sz="0" w:space="0" w:color="auto"/>
      </w:divBdr>
    </w:div>
    <w:div w:id="688799897">
      <w:marLeft w:val="0"/>
      <w:marRight w:val="0"/>
      <w:marTop w:val="0"/>
      <w:marBottom w:val="0"/>
      <w:divBdr>
        <w:top w:val="none" w:sz="0" w:space="0" w:color="auto"/>
        <w:left w:val="none" w:sz="0" w:space="0" w:color="auto"/>
        <w:bottom w:val="none" w:sz="0" w:space="0" w:color="auto"/>
        <w:right w:val="none" w:sz="0" w:space="0" w:color="auto"/>
      </w:divBdr>
    </w:div>
    <w:div w:id="690301571">
      <w:marLeft w:val="0"/>
      <w:marRight w:val="0"/>
      <w:marTop w:val="180"/>
      <w:marBottom w:val="180"/>
      <w:divBdr>
        <w:top w:val="none" w:sz="0" w:space="0" w:color="auto"/>
        <w:left w:val="none" w:sz="0" w:space="0" w:color="auto"/>
        <w:bottom w:val="none" w:sz="0" w:space="0" w:color="auto"/>
        <w:right w:val="none" w:sz="0" w:space="0" w:color="auto"/>
      </w:divBdr>
    </w:div>
    <w:div w:id="693114467">
      <w:marLeft w:val="0"/>
      <w:marRight w:val="0"/>
      <w:marTop w:val="140"/>
      <w:marBottom w:val="240"/>
      <w:divBdr>
        <w:top w:val="none" w:sz="0" w:space="0" w:color="auto"/>
        <w:left w:val="none" w:sz="0" w:space="0" w:color="auto"/>
        <w:bottom w:val="none" w:sz="0" w:space="0" w:color="auto"/>
        <w:right w:val="none" w:sz="0" w:space="0" w:color="auto"/>
      </w:divBdr>
    </w:div>
    <w:div w:id="695692387">
      <w:marLeft w:val="0"/>
      <w:marRight w:val="0"/>
      <w:marTop w:val="0"/>
      <w:marBottom w:val="180"/>
      <w:divBdr>
        <w:top w:val="none" w:sz="0" w:space="0" w:color="auto"/>
        <w:left w:val="none" w:sz="0" w:space="0" w:color="auto"/>
        <w:bottom w:val="none" w:sz="0" w:space="0" w:color="auto"/>
        <w:right w:val="none" w:sz="0" w:space="0" w:color="auto"/>
      </w:divBdr>
    </w:div>
    <w:div w:id="698318319">
      <w:marLeft w:val="0"/>
      <w:marRight w:val="0"/>
      <w:marTop w:val="0"/>
      <w:marBottom w:val="240"/>
      <w:divBdr>
        <w:top w:val="none" w:sz="0" w:space="0" w:color="auto"/>
        <w:left w:val="none" w:sz="0" w:space="0" w:color="auto"/>
        <w:bottom w:val="none" w:sz="0" w:space="0" w:color="auto"/>
        <w:right w:val="none" w:sz="0" w:space="0" w:color="auto"/>
      </w:divBdr>
    </w:div>
    <w:div w:id="699207266">
      <w:marLeft w:val="0"/>
      <w:marRight w:val="0"/>
      <w:marTop w:val="0"/>
      <w:marBottom w:val="0"/>
      <w:divBdr>
        <w:top w:val="none" w:sz="0" w:space="0" w:color="auto"/>
        <w:left w:val="none" w:sz="0" w:space="0" w:color="auto"/>
        <w:bottom w:val="none" w:sz="0" w:space="0" w:color="auto"/>
        <w:right w:val="none" w:sz="0" w:space="0" w:color="auto"/>
      </w:divBdr>
    </w:div>
    <w:div w:id="701126124">
      <w:marLeft w:val="0"/>
      <w:marRight w:val="0"/>
      <w:marTop w:val="0"/>
      <w:marBottom w:val="0"/>
      <w:divBdr>
        <w:top w:val="none" w:sz="0" w:space="0" w:color="auto"/>
        <w:left w:val="none" w:sz="0" w:space="0" w:color="auto"/>
        <w:bottom w:val="none" w:sz="0" w:space="0" w:color="auto"/>
        <w:right w:val="none" w:sz="0" w:space="0" w:color="auto"/>
      </w:divBdr>
      <w:divsChild>
        <w:div w:id="1684015809">
          <w:marLeft w:val="0"/>
          <w:marRight w:val="0"/>
          <w:marTop w:val="0"/>
          <w:marBottom w:val="0"/>
          <w:divBdr>
            <w:top w:val="none" w:sz="0" w:space="0" w:color="auto"/>
            <w:left w:val="none" w:sz="0" w:space="0" w:color="auto"/>
            <w:bottom w:val="none" w:sz="0" w:space="0" w:color="auto"/>
            <w:right w:val="none" w:sz="0" w:space="0" w:color="auto"/>
          </w:divBdr>
        </w:div>
      </w:divsChild>
    </w:div>
    <w:div w:id="701705613">
      <w:marLeft w:val="0"/>
      <w:marRight w:val="0"/>
      <w:marTop w:val="120"/>
      <w:marBottom w:val="120"/>
      <w:divBdr>
        <w:top w:val="none" w:sz="0" w:space="0" w:color="auto"/>
        <w:left w:val="none" w:sz="0" w:space="0" w:color="auto"/>
        <w:bottom w:val="none" w:sz="0" w:space="0" w:color="auto"/>
        <w:right w:val="none" w:sz="0" w:space="0" w:color="auto"/>
      </w:divBdr>
    </w:div>
    <w:div w:id="704020320">
      <w:marLeft w:val="0"/>
      <w:marRight w:val="0"/>
      <w:marTop w:val="0"/>
      <w:marBottom w:val="0"/>
      <w:divBdr>
        <w:top w:val="none" w:sz="0" w:space="0" w:color="auto"/>
        <w:left w:val="none" w:sz="0" w:space="0" w:color="auto"/>
        <w:bottom w:val="none" w:sz="0" w:space="0" w:color="auto"/>
        <w:right w:val="none" w:sz="0" w:space="0" w:color="auto"/>
      </w:divBdr>
      <w:divsChild>
        <w:div w:id="1332177805">
          <w:marLeft w:val="0"/>
          <w:marRight w:val="0"/>
          <w:marTop w:val="0"/>
          <w:marBottom w:val="0"/>
          <w:divBdr>
            <w:top w:val="none" w:sz="0" w:space="0" w:color="auto"/>
            <w:left w:val="none" w:sz="0" w:space="0" w:color="auto"/>
            <w:bottom w:val="none" w:sz="0" w:space="0" w:color="auto"/>
            <w:right w:val="none" w:sz="0" w:space="0" w:color="auto"/>
          </w:divBdr>
        </w:div>
      </w:divsChild>
    </w:div>
    <w:div w:id="706221437">
      <w:marLeft w:val="0"/>
      <w:marRight w:val="0"/>
      <w:marTop w:val="0"/>
      <w:marBottom w:val="240"/>
      <w:divBdr>
        <w:top w:val="none" w:sz="0" w:space="0" w:color="auto"/>
        <w:left w:val="none" w:sz="0" w:space="0" w:color="auto"/>
        <w:bottom w:val="none" w:sz="0" w:space="0" w:color="auto"/>
        <w:right w:val="none" w:sz="0" w:space="0" w:color="auto"/>
      </w:divBdr>
    </w:div>
    <w:div w:id="707222850">
      <w:marLeft w:val="0"/>
      <w:marRight w:val="0"/>
      <w:marTop w:val="0"/>
      <w:marBottom w:val="180"/>
      <w:divBdr>
        <w:top w:val="none" w:sz="0" w:space="0" w:color="auto"/>
        <w:left w:val="none" w:sz="0" w:space="0" w:color="auto"/>
        <w:bottom w:val="none" w:sz="0" w:space="0" w:color="auto"/>
        <w:right w:val="none" w:sz="0" w:space="0" w:color="auto"/>
      </w:divBdr>
    </w:div>
    <w:div w:id="711345374">
      <w:marLeft w:val="0"/>
      <w:marRight w:val="0"/>
      <w:marTop w:val="0"/>
      <w:marBottom w:val="0"/>
      <w:divBdr>
        <w:top w:val="none" w:sz="0" w:space="0" w:color="auto"/>
        <w:left w:val="none" w:sz="0" w:space="0" w:color="auto"/>
        <w:bottom w:val="none" w:sz="0" w:space="0" w:color="auto"/>
        <w:right w:val="none" w:sz="0" w:space="0" w:color="auto"/>
      </w:divBdr>
      <w:divsChild>
        <w:div w:id="1504777924">
          <w:marLeft w:val="0"/>
          <w:marRight w:val="0"/>
          <w:marTop w:val="0"/>
          <w:marBottom w:val="0"/>
          <w:divBdr>
            <w:top w:val="none" w:sz="0" w:space="0" w:color="auto"/>
            <w:left w:val="none" w:sz="0" w:space="0" w:color="auto"/>
            <w:bottom w:val="none" w:sz="0" w:space="0" w:color="auto"/>
            <w:right w:val="none" w:sz="0" w:space="0" w:color="auto"/>
          </w:divBdr>
          <w:divsChild>
            <w:div w:id="260649621">
              <w:marLeft w:val="0"/>
              <w:marRight w:val="0"/>
              <w:marTop w:val="0"/>
              <w:marBottom w:val="60"/>
              <w:divBdr>
                <w:top w:val="none" w:sz="0" w:space="0" w:color="auto"/>
                <w:left w:val="none" w:sz="0" w:space="0" w:color="auto"/>
                <w:bottom w:val="none" w:sz="0" w:space="0" w:color="auto"/>
                <w:right w:val="none" w:sz="0" w:space="0" w:color="auto"/>
              </w:divBdr>
            </w:div>
            <w:div w:id="568270494">
              <w:marLeft w:val="0"/>
              <w:marRight w:val="0"/>
              <w:marTop w:val="120"/>
              <w:marBottom w:val="60"/>
              <w:divBdr>
                <w:top w:val="none" w:sz="0" w:space="0" w:color="auto"/>
                <w:left w:val="none" w:sz="0" w:space="0" w:color="auto"/>
                <w:bottom w:val="none" w:sz="0" w:space="0" w:color="auto"/>
                <w:right w:val="none" w:sz="0" w:space="0" w:color="auto"/>
              </w:divBdr>
            </w:div>
            <w:div w:id="559559350">
              <w:marLeft w:val="0"/>
              <w:marRight w:val="0"/>
              <w:marTop w:val="0"/>
              <w:marBottom w:val="60"/>
              <w:divBdr>
                <w:top w:val="none" w:sz="0" w:space="0" w:color="auto"/>
                <w:left w:val="none" w:sz="0" w:space="0" w:color="auto"/>
                <w:bottom w:val="none" w:sz="0" w:space="0" w:color="auto"/>
                <w:right w:val="none" w:sz="0" w:space="0" w:color="auto"/>
              </w:divBdr>
            </w:div>
            <w:div w:id="124348618">
              <w:marLeft w:val="0"/>
              <w:marRight w:val="0"/>
              <w:marTop w:val="0"/>
              <w:marBottom w:val="60"/>
              <w:divBdr>
                <w:top w:val="none" w:sz="0" w:space="0" w:color="auto"/>
                <w:left w:val="none" w:sz="0" w:space="0" w:color="auto"/>
                <w:bottom w:val="none" w:sz="0" w:space="0" w:color="auto"/>
                <w:right w:val="none" w:sz="0" w:space="0" w:color="auto"/>
              </w:divBdr>
            </w:div>
            <w:div w:id="580988477">
              <w:marLeft w:val="0"/>
              <w:marRight w:val="0"/>
              <w:marTop w:val="0"/>
              <w:marBottom w:val="60"/>
              <w:divBdr>
                <w:top w:val="none" w:sz="0" w:space="0" w:color="auto"/>
                <w:left w:val="none" w:sz="0" w:space="0" w:color="auto"/>
                <w:bottom w:val="none" w:sz="0" w:space="0" w:color="auto"/>
                <w:right w:val="none" w:sz="0" w:space="0" w:color="auto"/>
              </w:divBdr>
            </w:div>
            <w:div w:id="2098749804">
              <w:marLeft w:val="0"/>
              <w:marRight w:val="0"/>
              <w:marTop w:val="0"/>
              <w:marBottom w:val="60"/>
              <w:divBdr>
                <w:top w:val="none" w:sz="0" w:space="0" w:color="auto"/>
                <w:left w:val="none" w:sz="0" w:space="0" w:color="auto"/>
                <w:bottom w:val="none" w:sz="0" w:space="0" w:color="auto"/>
                <w:right w:val="none" w:sz="0" w:space="0" w:color="auto"/>
              </w:divBdr>
            </w:div>
            <w:div w:id="180514744">
              <w:marLeft w:val="0"/>
              <w:marRight w:val="0"/>
              <w:marTop w:val="0"/>
              <w:marBottom w:val="60"/>
              <w:divBdr>
                <w:top w:val="none" w:sz="0" w:space="0" w:color="auto"/>
                <w:left w:val="none" w:sz="0" w:space="0" w:color="auto"/>
                <w:bottom w:val="none" w:sz="0" w:space="0" w:color="auto"/>
                <w:right w:val="none" w:sz="0" w:space="0" w:color="auto"/>
              </w:divBdr>
            </w:div>
            <w:div w:id="18048548">
              <w:marLeft w:val="0"/>
              <w:marRight w:val="0"/>
              <w:marTop w:val="0"/>
              <w:marBottom w:val="60"/>
              <w:divBdr>
                <w:top w:val="none" w:sz="0" w:space="0" w:color="auto"/>
                <w:left w:val="none" w:sz="0" w:space="0" w:color="auto"/>
                <w:bottom w:val="none" w:sz="0" w:space="0" w:color="auto"/>
                <w:right w:val="none" w:sz="0" w:space="0" w:color="auto"/>
              </w:divBdr>
            </w:div>
            <w:div w:id="407001078">
              <w:marLeft w:val="0"/>
              <w:marRight w:val="0"/>
              <w:marTop w:val="0"/>
              <w:marBottom w:val="0"/>
              <w:divBdr>
                <w:top w:val="none" w:sz="0" w:space="0" w:color="auto"/>
                <w:left w:val="none" w:sz="0" w:space="0" w:color="auto"/>
                <w:bottom w:val="none" w:sz="0" w:space="0" w:color="auto"/>
                <w:right w:val="none" w:sz="0" w:space="0" w:color="auto"/>
              </w:divBdr>
            </w:div>
            <w:div w:id="193925282">
              <w:marLeft w:val="0"/>
              <w:marRight w:val="0"/>
              <w:marTop w:val="0"/>
              <w:marBottom w:val="60"/>
              <w:divBdr>
                <w:top w:val="none" w:sz="0" w:space="0" w:color="auto"/>
                <w:left w:val="none" w:sz="0" w:space="0" w:color="auto"/>
                <w:bottom w:val="none" w:sz="0" w:space="0" w:color="auto"/>
                <w:right w:val="none" w:sz="0" w:space="0" w:color="auto"/>
              </w:divBdr>
            </w:div>
            <w:div w:id="307632609">
              <w:marLeft w:val="0"/>
              <w:marRight w:val="0"/>
              <w:marTop w:val="0"/>
              <w:marBottom w:val="60"/>
              <w:divBdr>
                <w:top w:val="none" w:sz="0" w:space="0" w:color="auto"/>
                <w:left w:val="none" w:sz="0" w:space="0" w:color="auto"/>
                <w:bottom w:val="none" w:sz="0" w:space="0" w:color="auto"/>
                <w:right w:val="none" w:sz="0" w:space="0" w:color="auto"/>
              </w:divBdr>
            </w:div>
            <w:div w:id="1477263331">
              <w:marLeft w:val="0"/>
              <w:marRight w:val="0"/>
              <w:marTop w:val="0"/>
              <w:marBottom w:val="60"/>
              <w:divBdr>
                <w:top w:val="none" w:sz="0" w:space="0" w:color="auto"/>
                <w:left w:val="none" w:sz="0" w:space="0" w:color="auto"/>
                <w:bottom w:val="none" w:sz="0" w:space="0" w:color="auto"/>
                <w:right w:val="none" w:sz="0" w:space="0" w:color="auto"/>
              </w:divBdr>
            </w:div>
            <w:div w:id="2050259528">
              <w:marLeft w:val="0"/>
              <w:marRight w:val="0"/>
              <w:marTop w:val="0"/>
              <w:marBottom w:val="60"/>
              <w:divBdr>
                <w:top w:val="none" w:sz="0" w:space="0" w:color="auto"/>
                <w:left w:val="none" w:sz="0" w:space="0" w:color="auto"/>
                <w:bottom w:val="none" w:sz="0" w:space="0" w:color="auto"/>
                <w:right w:val="none" w:sz="0" w:space="0" w:color="auto"/>
              </w:divBdr>
            </w:div>
            <w:div w:id="955913040">
              <w:marLeft w:val="0"/>
              <w:marRight w:val="0"/>
              <w:marTop w:val="0"/>
              <w:marBottom w:val="60"/>
              <w:divBdr>
                <w:top w:val="none" w:sz="0" w:space="0" w:color="auto"/>
                <w:left w:val="none" w:sz="0" w:space="0" w:color="auto"/>
                <w:bottom w:val="none" w:sz="0" w:space="0" w:color="auto"/>
                <w:right w:val="none" w:sz="0" w:space="0" w:color="auto"/>
              </w:divBdr>
            </w:div>
            <w:div w:id="2050716765">
              <w:marLeft w:val="0"/>
              <w:marRight w:val="0"/>
              <w:marTop w:val="0"/>
              <w:marBottom w:val="60"/>
              <w:divBdr>
                <w:top w:val="none" w:sz="0" w:space="0" w:color="auto"/>
                <w:left w:val="none" w:sz="0" w:space="0" w:color="auto"/>
                <w:bottom w:val="none" w:sz="0" w:space="0" w:color="auto"/>
                <w:right w:val="none" w:sz="0" w:space="0" w:color="auto"/>
              </w:divBdr>
            </w:div>
            <w:div w:id="835849865">
              <w:marLeft w:val="0"/>
              <w:marRight w:val="0"/>
              <w:marTop w:val="0"/>
              <w:marBottom w:val="60"/>
              <w:divBdr>
                <w:top w:val="none" w:sz="0" w:space="0" w:color="auto"/>
                <w:left w:val="none" w:sz="0" w:space="0" w:color="auto"/>
                <w:bottom w:val="none" w:sz="0" w:space="0" w:color="auto"/>
                <w:right w:val="none" w:sz="0" w:space="0" w:color="auto"/>
              </w:divBdr>
            </w:div>
            <w:div w:id="711539547">
              <w:marLeft w:val="0"/>
              <w:marRight w:val="0"/>
              <w:marTop w:val="0"/>
              <w:marBottom w:val="60"/>
              <w:divBdr>
                <w:top w:val="none" w:sz="0" w:space="0" w:color="auto"/>
                <w:left w:val="none" w:sz="0" w:space="0" w:color="auto"/>
                <w:bottom w:val="none" w:sz="0" w:space="0" w:color="auto"/>
                <w:right w:val="none" w:sz="0" w:space="0" w:color="auto"/>
              </w:divBdr>
            </w:div>
            <w:div w:id="851838278">
              <w:marLeft w:val="0"/>
              <w:marRight w:val="0"/>
              <w:marTop w:val="0"/>
              <w:marBottom w:val="60"/>
              <w:divBdr>
                <w:top w:val="none" w:sz="0" w:space="0" w:color="auto"/>
                <w:left w:val="none" w:sz="0" w:space="0" w:color="auto"/>
                <w:bottom w:val="none" w:sz="0" w:space="0" w:color="auto"/>
                <w:right w:val="none" w:sz="0" w:space="0" w:color="auto"/>
              </w:divBdr>
            </w:div>
            <w:div w:id="1532573726">
              <w:marLeft w:val="0"/>
              <w:marRight w:val="0"/>
              <w:marTop w:val="0"/>
              <w:marBottom w:val="60"/>
              <w:divBdr>
                <w:top w:val="none" w:sz="0" w:space="0" w:color="auto"/>
                <w:left w:val="none" w:sz="0" w:space="0" w:color="auto"/>
                <w:bottom w:val="none" w:sz="0" w:space="0" w:color="auto"/>
                <w:right w:val="none" w:sz="0" w:space="0" w:color="auto"/>
              </w:divBdr>
            </w:div>
            <w:div w:id="1996255674">
              <w:marLeft w:val="0"/>
              <w:marRight w:val="0"/>
              <w:marTop w:val="0"/>
              <w:marBottom w:val="60"/>
              <w:divBdr>
                <w:top w:val="none" w:sz="0" w:space="0" w:color="auto"/>
                <w:left w:val="none" w:sz="0" w:space="0" w:color="auto"/>
                <w:bottom w:val="none" w:sz="0" w:space="0" w:color="auto"/>
                <w:right w:val="none" w:sz="0" w:space="0" w:color="auto"/>
              </w:divBdr>
            </w:div>
            <w:div w:id="475071531">
              <w:marLeft w:val="0"/>
              <w:marRight w:val="0"/>
              <w:marTop w:val="0"/>
              <w:marBottom w:val="60"/>
              <w:divBdr>
                <w:top w:val="none" w:sz="0" w:space="0" w:color="auto"/>
                <w:left w:val="none" w:sz="0" w:space="0" w:color="auto"/>
                <w:bottom w:val="none" w:sz="0" w:space="0" w:color="auto"/>
                <w:right w:val="none" w:sz="0" w:space="0" w:color="auto"/>
              </w:divBdr>
            </w:div>
            <w:div w:id="2084134777">
              <w:marLeft w:val="0"/>
              <w:marRight w:val="0"/>
              <w:marTop w:val="0"/>
              <w:marBottom w:val="60"/>
              <w:divBdr>
                <w:top w:val="none" w:sz="0" w:space="0" w:color="auto"/>
                <w:left w:val="none" w:sz="0" w:space="0" w:color="auto"/>
                <w:bottom w:val="none" w:sz="0" w:space="0" w:color="auto"/>
                <w:right w:val="none" w:sz="0" w:space="0" w:color="auto"/>
              </w:divBdr>
            </w:div>
            <w:div w:id="1292512941">
              <w:marLeft w:val="0"/>
              <w:marRight w:val="0"/>
              <w:marTop w:val="0"/>
              <w:marBottom w:val="60"/>
              <w:divBdr>
                <w:top w:val="none" w:sz="0" w:space="0" w:color="auto"/>
                <w:left w:val="none" w:sz="0" w:space="0" w:color="auto"/>
                <w:bottom w:val="none" w:sz="0" w:space="0" w:color="auto"/>
                <w:right w:val="none" w:sz="0" w:space="0" w:color="auto"/>
              </w:divBdr>
            </w:div>
            <w:div w:id="1024330030">
              <w:marLeft w:val="0"/>
              <w:marRight w:val="0"/>
              <w:marTop w:val="0"/>
              <w:marBottom w:val="60"/>
              <w:divBdr>
                <w:top w:val="none" w:sz="0" w:space="0" w:color="auto"/>
                <w:left w:val="none" w:sz="0" w:space="0" w:color="auto"/>
                <w:bottom w:val="none" w:sz="0" w:space="0" w:color="auto"/>
                <w:right w:val="none" w:sz="0" w:space="0" w:color="auto"/>
              </w:divBdr>
            </w:div>
            <w:div w:id="958150783">
              <w:marLeft w:val="0"/>
              <w:marRight w:val="0"/>
              <w:marTop w:val="0"/>
              <w:marBottom w:val="60"/>
              <w:divBdr>
                <w:top w:val="none" w:sz="0" w:space="0" w:color="auto"/>
                <w:left w:val="none" w:sz="0" w:space="0" w:color="auto"/>
                <w:bottom w:val="none" w:sz="0" w:space="0" w:color="auto"/>
                <w:right w:val="none" w:sz="0" w:space="0" w:color="auto"/>
              </w:divBdr>
            </w:div>
            <w:div w:id="1947692529">
              <w:marLeft w:val="0"/>
              <w:marRight w:val="0"/>
              <w:marTop w:val="0"/>
              <w:marBottom w:val="60"/>
              <w:divBdr>
                <w:top w:val="none" w:sz="0" w:space="0" w:color="auto"/>
                <w:left w:val="none" w:sz="0" w:space="0" w:color="auto"/>
                <w:bottom w:val="none" w:sz="0" w:space="0" w:color="auto"/>
                <w:right w:val="none" w:sz="0" w:space="0" w:color="auto"/>
              </w:divBdr>
            </w:div>
            <w:div w:id="1866357576">
              <w:marLeft w:val="0"/>
              <w:marRight w:val="0"/>
              <w:marTop w:val="0"/>
              <w:marBottom w:val="60"/>
              <w:divBdr>
                <w:top w:val="none" w:sz="0" w:space="0" w:color="auto"/>
                <w:left w:val="none" w:sz="0" w:space="0" w:color="auto"/>
                <w:bottom w:val="none" w:sz="0" w:space="0" w:color="auto"/>
                <w:right w:val="none" w:sz="0" w:space="0" w:color="auto"/>
              </w:divBdr>
            </w:div>
            <w:div w:id="252057657">
              <w:marLeft w:val="0"/>
              <w:marRight w:val="0"/>
              <w:marTop w:val="0"/>
              <w:marBottom w:val="60"/>
              <w:divBdr>
                <w:top w:val="none" w:sz="0" w:space="0" w:color="auto"/>
                <w:left w:val="none" w:sz="0" w:space="0" w:color="auto"/>
                <w:bottom w:val="none" w:sz="0" w:space="0" w:color="auto"/>
                <w:right w:val="none" w:sz="0" w:space="0" w:color="auto"/>
              </w:divBdr>
            </w:div>
            <w:div w:id="1274170547">
              <w:marLeft w:val="0"/>
              <w:marRight w:val="0"/>
              <w:marTop w:val="0"/>
              <w:marBottom w:val="60"/>
              <w:divBdr>
                <w:top w:val="none" w:sz="0" w:space="0" w:color="auto"/>
                <w:left w:val="none" w:sz="0" w:space="0" w:color="auto"/>
                <w:bottom w:val="none" w:sz="0" w:space="0" w:color="auto"/>
                <w:right w:val="none" w:sz="0" w:space="0" w:color="auto"/>
              </w:divBdr>
            </w:div>
            <w:div w:id="361371352">
              <w:marLeft w:val="0"/>
              <w:marRight w:val="0"/>
              <w:marTop w:val="0"/>
              <w:marBottom w:val="60"/>
              <w:divBdr>
                <w:top w:val="none" w:sz="0" w:space="0" w:color="auto"/>
                <w:left w:val="none" w:sz="0" w:space="0" w:color="auto"/>
                <w:bottom w:val="none" w:sz="0" w:space="0" w:color="auto"/>
                <w:right w:val="none" w:sz="0" w:space="0" w:color="auto"/>
              </w:divBdr>
            </w:div>
            <w:div w:id="1704793547">
              <w:marLeft w:val="0"/>
              <w:marRight w:val="0"/>
              <w:marTop w:val="0"/>
              <w:marBottom w:val="60"/>
              <w:divBdr>
                <w:top w:val="none" w:sz="0" w:space="0" w:color="auto"/>
                <w:left w:val="none" w:sz="0" w:space="0" w:color="auto"/>
                <w:bottom w:val="none" w:sz="0" w:space="0" w:color="auto"/>
                <w:right w:val="none" w:sz="0" w:space="0" w:color="auto"/>
              </w:divBdr>
            </w:div>
            <w:div w:id="232813098">
              <w:marLeft w:val="0"/>
              <w:marRight w:val="0"/>
              <w:marTop w:val="0"/>
              <w:marBottom w:val="60"/>
              <w:divBdr>
                <w:top w:val="none" w:sz="0" w:space="0" w:color="auto"/>
                <w:left w:val="none" w:sz="0" w:space="0" w:color="auto"/>
                <w:bottom w:val="none" w:sz="0" w:space="0" w:color="auto"/>
                <w:right w:val="none" w:sz="0" w:space="0" w:color="auto"/>
              </w:divBdr>
            </w:div>
          </w:divsChild>
        </w:div>
        <w:div w:id="122430467">
          <w:marLeft w:val="0"/>
          <w:marRight w:val="0"/>
          <w:marTop w:val="0"/>
          <w:marBottom w:val="0"/>
          <w:divBdr>
            <w:top w:val="none" w:sz="0" w:space="0" w:color="auto"/>
            <w:left w:val="none" w:sz="0" w:space="0" w:color="auto"/>
            <w:bottom w:val="none" w:sz="0" w:space="0" w:color="auto"/>
            <w:right w:val="none" w:sz="0" w:space="0" w:color="auto"/>
          </w:divBdr>
          <w:divsChild>
            <w:div w:id="1736902241">
              <w:marLeft w:val="0"/>
              <w:marRight w:val="0"/>
              <w:marTop w:val="0"/>
              <w:marBottom w:val="60"/>
              <w:divBdr>
                <w:top w:val="none" w:sz="0" w:space="0" w:color="auto"/>
                <w:left w:val="none" w:sz="0" w:space="0" w:color="auto"/>
                <w:bottom w:val="none" w:sz="0" w:space="0" w:color="auto"/>
                <w:right w:val="none" w:sz="0" w:space="0" w:color="auto"/>
              </w:divBdr>
            </w:div>
            <w:div w:id="1111972253">
              <w:marLeft w:val="0"/>
              <w:marRight w:val="0"/>
              <w:marTop w:val="0"/>
              <w:marBottom w:val="60"/>
              <w:divBdr>
                <w:top w:val="none" w:sz="0" w:space="0" w:color="auto"/>
                <w:left w:val="none" w:sz="0" w:space="0" w:color="auto"/>
                <w:bottom w:val="none" w:sz="0" w:space="0" w:color="auto"/>
                <w:right w:val="none" w:sz="0" w:space="0" w:color="auto"/>
              </w:divBdr>
            </w:div>
            <w:div w:id="2074038033">
              <w:marLeft w:val="0"/>
              <w:marRight w:val="0"/>
              <w:marTop w:val="0"/>
              <w:marBottom w:val="60"/>
              <w:divBdr>
                <w:top w:val="none" w:sz="0" w:space="0" w:color="auto"/>
                <w:left w:val="none" w:sz="0" w:space="0" w:color="auto"/>
                <w:bottom w:val="none" w:sz="0" w:space="0" w:color="auto"/>
                <w:right w:val="none" w:sz="0" w:space="0" w:color="auto"/>
              </w:divBdr>
            </w:div>
            <w:div w:id="1765564147">
              <w:marLeft w:val="0"/>
              <w:marRight w:val="0"/>
              <w:marTop w:val="0"/>
              <w:marBottom w:val="60"/>
              <w:divBdr>
                <w:top w:val="none" w:sz="0" w:space="0" w:color="auto"/>
                <w:left w:val="none" w:sz="0" w:space="0" w:color="auto"/>
                <w:bottom w:val="none" w:sz="0" w:space="0" w:color="auto"/>
                <w:right w:val="none" w:sz="0" w:space="0" w:color="auto"/>
              </w:divBdr>
            </w:div>
            <w:div w:id="951863203">
              <w:marLeft w:val="0"/>
              <w:marRight w:val="0"/>
              <w:marTop w:val="0"/>
              <w:marBottom w:val="60"/>
              <w:divBdr>
                <w:top w:val="none" w:sz="0" w:space="0" w:color="auto"/>
                <w:left w:val="none" w:sz="0" w:space="0" w:color="auto"/>
                <w:bottom w:val="none" w:sz="0" w:space="0" w:color="auto"/>
                <w:right w:val="none" w:sz="0" w:space="0" w:color="auto"/>
              </w:divBdr>
            </w:div>
            <w:div w:id="1676414809">
              <w:marLeft w:val="0"/>
              <w:marRight w:val="0"/>
              <w:marTop w:val="0"/>
              <w:marBottom w:val="60"/>
              <w:divBdr>
                <w:top w:val="none" w:sz="0" w:space="0" w:color="auto"/>
                <w:left w:val="none" w:sz="0" w:space="0" w:color="auto"/>
                <w:bottom w:val="none" w:sz="0" w:space="0" w:color="auto"/>
                <w:right w:val="none" w:sz="0" w:space="0" w:color="auto"/>
              </w:divBdr>
            </w:div>
            <w:div w:id="13937705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12119192">
      <w:marLeft w:val="0"/>
      <w:marRight w:val="0"/>
      <w:marTop w:val="180"/>
      <w:marBottom w:val="180"/>
      <w:divBdr>
        <w:top w:val="none" w:sz="0" w:space="0" w:color="auto"/>
        <w:left w:val="none" w:sz="0" w:space="0" w:color="auto"/>
        <w:bottom w:val="none" w:sz="0" w:space="0" w:color="auto"/>
        <w:right w:val="none" w:sz="0" w:space="0" w:color="auto"/>
      </w:divBdr>
    </w:div>
    <w:div w:id="712582548">
      <w:marLeft w:val="0"/>
      <w:marRight w:val="0"/>
      <w:marTop w:val="0"/>
      <w:marBottom w:val="0"/>
      <w:divBdr>
        <w:top w:val="none" w:sz="0" w:space="0" w:color="auto"/>
        <w:left w:val="none" w:sz="0" w:space="0" w:color="auto"/>
        <w:bottom w:val="none" w:sz="0" w:space="0" w:color="auto"/>
        <w:right w:val="none" w:sz="0" w:space="0" w:color="auto"/>
      </w:divBdr>
    </w:div>
    <w:div w:id="713431890">
      <w:marLeft w:val="0"/>
      <w:marRight w:val="0"/>
      <w:marTop w:val="0"/>
      <w:marBottom w:val="240"/>
      <w:divBdr>
        <w:top w:val="none" w:sz="0" w:space="0" w:color="auto"/>
        <w:left w:val="none" w:sz="0" w:space="0" w:color="auto"/>
        <w:bottom w:val="none" w:sz="0" w:space="0" w:color="auto"/>
        <w:right w:val="none" w:sz="0" w:space="0" w:color="auto"/>
      </w:divBdr>
    </w:div>
    <w:div w:id="716203988">
      <w:marLeft w:val="0"/>
      <w:marRight w:val="0"/>
      <w:marTop w:val="120"/>
      <w:marBottom w:val="120"/>
      <w:divBdr>
        <w:top w:val="none" w:sz="0" w:space="0" w:color="auto"/>
        <w:left w:val="none" w:sz="0" w:space="0" w:color="auto"/>
        <w:bottom w:val="none" w:sz="0" w:space="0" w:color="auto"/>
        <w:right w:val="none" w:sz="0" w:space="0" w:color="auto"/>
      </w:divBdr>
    </w:div>
    <w:div w:id="716585762">
      <w:marLeft w:val="0"/>
      <w:marRight w:val="0"/>
      <w:marTop w:val="0"/>
      <w:marBottom w:val="240"/>
      <w:divBdr>
        <w:top w:val="none" w:sz="0" w:space="0" w:color="auto"/>
        <w:left w:val="none" w:sz="0" w:space="0" w:color="auto"/>
        <w:bottom w:val="none" w:sz="0" w:space="0" w:color="auto"/>
        <w:right w:val="none" w:sz="0" w:space="0" w:color="auto"/>
      </w:divBdr>
    </w:div>
    <w:div w:id="718675744">
      <w:marLeft w:val="0"/>
      <w:marRight w:val="0"/>
      <w:marTop w:val="100"/>
      <w:marBottom w:val="0"/>
      <w:divBdr>
        <w:top w:val="none" w:sz="0" w:space="0" w:color="auto"/>
        <w:left w:val="none" w:sz="0" w:space="0" w:color="auto"/>
        <w:bottom w:val="none" w:sz="0" w:space="0" w:color="auto"/>
        <w:right w:val="none" w:sz="0" w:space="0" w:color="auto"/>
      </w:divBdr>
    </w:div>
    <w:div w:id="720787858">
      <w:marLeft w:val="0"/>
      <w:marRight w:val="0"/>
      <w:marTop w:val="0"/>
      <w:marBottom w:val="0"/>
      <w:divBdr>
        <w:top w:val="none" w:sz="0" w:space="0" w:color="auto"/>
        <w:left w:val="none" w:sz="0" w:space="0" w:color="auto"/>
        <w:bottom w:val="none" w:sz="0" w:space="0" w:color="auto"/>
        <w:right w:val="none" w:sz="0" w:space="0" w:color="auto"/>
      </w:divBdr>
      <w:divsChild>
        <w:div w:id="733938632">
          <w:marLeft w:val="0"/>
          <w:marRight w:val="0"/>
          <w:marTop w:val="0"/>
          <w:marBottom w:val="0"/>
          <w:divBdr>
            <w:top w:val="none" w:sz="0" w:space="0" w:color="auto"/>
            <w:left w:val="none" w:sz="0" w:space="0" w:color="auto"/>
            <w:bottom w:val="none" w:sz="0" w:space="0" w:color="auto"/>
            <w:right w:val="none" w:sz="0" w:space="0" w:color="auto"/>
          </w:divBdr>
        </w:div>
      </w:divsChild>
    </w:div>
    <w:div w:id="723216857">
      <w:marLeft w:val="0"/>
      <w:marRight w:val="0"/>
      <w:marTop w:val="120"/>
      <w:marBottom w:val="240"/>
      <w:divBdr>
        <w:top w:val="none" w:sz="0" w:space="0" w:color="auto"/>
        <w:left w:val="none" w:sz="0" w:space="0" w:color="auto"/>
        <w:bottom w:val="none" w:sz="0" w:space="0" w:color="auto"/>
        <w:right w:val="none" w:sz="0" w:space="0" w:color="auto"/>
      </w:divBdr>
    </w:div>
    <w:div w:id="724717608">
      <w:marLeft w:val="0"/>
      <w:marRight w:val="0"/>
      <w:marTop w:val="0"/>
      <w:marBottom w:val="0"/>
      <w:divBdr>
        <w:top w:val="none" w:sz="0" w:space="0" w:color="auto"/>
        <w:left w:val="none" w:sz="0" w:space="0" w:color="auto"/>
        <w:bottom w:val="none" w:sz="0" w:space="0" w:color="auto"/>
        <w:right w:val="none" w:sz="0" w:space="0" w:color="auto"/>
      </w:divBdr>
    </w:div>
    <w:div w:id="725177438">
      <w:marLeft w:val="0"/>
      <w:marRight w:val="0"/>
      <w:marTop w:val="0"/>
      <w:marBottom w:val="240"/>
      <w:divBdr>
        <w:top w:val="none" w:sz="0" w:space="0" w:color="auto"/>
        <w:left w:val="none" w:sz="0" w:space="0" w:color="auto"/>
        <w:bottom w:val="none" w:sz="0" w:space="0" w:color="auto"/>
        <w:right w:val="none" w:sz="0" w:space="0" w:color="auto"/>
      </w:divBdr>
    </w:div>
    <w:div w:id="729769462">
      <w:marLeft w:val="0"/>
      <w:marRight w:val="0"/>
      <w:marTop w:val="0"/>
      <w:marBottom w:val="0"/>
      <w:divBdr>
        <w:top w:val="none" w:sz="0" w:space="0" w:color="auto"/>
        <w:left w:val="none" w:sz="0" w:space="0" w:color="auto"/>
        <w:bottom w:val="none" w:sz="0" w:space="0" w:color="auto"/>
        <w:right w:val="none" w:sz="0" w:space="0" w:color="auto"/>
      </w:divBdr>
    </w:div>
    <w:div w:id="732586483">
      <w:marLeft w:val="0"/>
      <w:marRight w:val="0"/>
      <w:marTop w:val="180"/>
      <w:marBottom w:val="180"/>
      <w:divBdr>
        <w:top w:val="none" w:sz="0" w:space="0" w:color="auto"/>
        <w:left w:val="none" w:sz="0" w:space="0" w:color="auto"/>
        <w:bottom w:val="none" w:sz="0" w:space="0" w:color="auto"/>
        <w:right w:val="none" w:sz="0" w:space="0" w:color="auto"/>
      </w:divBdr>
    </w:div>
    <w:div w:id="732587196">
      <w:marLeft w:val="0"/>
      <w:marRight w:val="0"/>
      <w:marTop w:val="0"/>
      <w:marBottom w:val="180"/>
      <w:divBdr>
        <w:top w:val="none" w:sz="0" w:space="0" w:color="auto"/>
        <w:left w:val="none" w:sz="0" w:space="0" w:color="auto"/>
        <w:bottom w:val="none" w:sz="0" w:space="0" w:color="auto"/>
        <w:right w:val="none" w:sz="0" w:space="0" w:color="auto"/>
      </w:divBdr>
    </w:div>
    <w:div w:id="734090401">
      <w:marLeft w:val="0"/>
      <w:marRight w:val="0"/>
      <w:marTop w:val="120"/>
      <w:marBottom w:val="120"/>
      <w:divBdr>
        <w:top w:val="none" w:sz="0" w:space="0" w:color="auto"/>
        <w:left w:val="none" w:sz="0" w:space="0" w:color="auto"/>
        <w:bottom w:val="none" w:sz="0" w:space="0" w:color="auto"/>
        <w:right w:val="none" w:sz="0" w:space="0" w:color="auto"/>
      </w:divBdr>
    </w:div>
    <w:div w:id="734857042">
      <w:marLeft w:val="0"/>
      <w:marRight w:val="0"/>
      <w:marTop w:val="0"/>
      <w:marBottom w:val="180"/>
      <w:divBdr>
        <w:top w:val="none" w:sz="0" w:space="0" w:color="auto"/>
        <w:left w:val="none" w:sz="0" w:space="0" w:color="auto"/>
        <w:bottom w:val="none" w:sz="0" w:space="0" w:color="auto"/>
        <w:right w:val="none" w:sz="0" w:space="0" w:color="auto"/>
      </w:divBdr>
    </w:div>
    <w:div w:id="735782863">
      <w:marLeft w:val="0"/>
      <w:marRight w:val="0"/>
      <w:marTop w:val="0"/>
      <w:marBottom w:val="0"/>
      <w:divBdr>
        <w:top w:val="none" w:sz="0" w:space="0" w:color="auto"/>
        <w:left w:val="none" w:sz="0" w:space="0" w:color="auto"/>
        <w:bottom w:val="none" w:sz="0" w:space="0" w:color="auto"/>
        <w:right w:val="none" w:sz="0" w:space="0" w:color="auto"/>
      </w:divBdr>
    </w:div>
    <w:div w:id="737290197">
      <w:marLeft w:val="0"/>
      <w:marRight w:val="0"/>
      <w:marTop w:val="0"/>
      <w:marBottom w:val="240"/>
      <w:divBdr>
        <w:top w:val="none" w:sz="0" w:space="0" w:color="auto"/>
        <w:left w:val="none" w:sz="0" w:space="0" w:color="auto"/>
        <w:bottom w:val="none" w:sz="0" w:space="0" w:color="auto"/>
        <w:right w:val="none" w:sz="0" w:space="0" w:color="auto"/>
      </w:divBdr>
    </w:div>
    <w:div w:id="739134349">
      <w:marLeft w:val="0"/>
      <w:marRight w:val="0"/>
      <w:marTop w:val="0"/>
      <w:marBottom w:val="0"/>
      <w:divBdr>
        <w:top w:val="none" w:sz="0" w:space="0" w:color="auto"/>
        <w:left w:val="none" w:sz="0" w:space="0" w:color="auto"/>
        <w:bottom w:val="none" w:sz="0" w:space="0" w:color="auto"/>
        <w:right w:val="none" w:sz="0" w:space="0" w:color="auto"/>
      </w:divBdr>
    </w:div>
    <w:div w:id="739905752">
      <w:marLeft w:val="0"/>
      <w:marRight w:val="0"/>
      <w:marTop w:val="0"/>
      <w:marBottom w:val="0"/>
      <w:divBdr>
        <w:top w:val="none" w:sz="0" w:space="0" w:color="auto"/>
        <w:left w:val="none" w:sz="0" w:space="0" w:color="auto"/>
        <w:bottom w:val="none" w:sz="0" w:space="0" w:color="auto"/>
        <w:right w:val="none" w:sz="0" w:space="0" w:color="auto"/>
      </w:divBdr>
      <w:divsChild>
        <w:div w:id="35591537">
          <w:marLeft w:val="0"/>
          <w:marRight w:val="0"/>
          <w:marTop w:val="0"/>
          <w:marBottom w:val="0"/>
          <w:divBdr>
            <w:top w:val="none" w:sz="0" w:space="0" w:color="auto"/>
            <w:left w:val="none" w:sz="0" w:space="0" w:color="auto"/>
            <w:bottom w:val="none" w:sz="0" w:space="0" w:color="auto"/>
            <w:right w:val="none" w:sz="0" w:space="0" w:color="auto"/>
          </w:divBdr>
        </w:div>
      </w:divsChild>
    </w:div>
    <w:div w:id="740636581">
      <w:marLeft w:val="0"/>
      <w:marRight w:val="0"/>
      <w:marTop w:val="120"/>
      <w:marBottom w:val="120"/>
      <w:divBdr>
        <w:top w:val="none" w:sz="0" w:space="0" w:color="auto"/>
        <w:left w:val="none" w:sz="0" w:space="0" w:color="auto"/>
        <w:bottom w:val="none" w:sz="0" w:space="0" w:color="auto"/>
        <w:right w:val="none" w:sz="0" w:space="0" w:color="auto"/>
      </w:divBdr>
    </w:div>
    <w:div w:id="742332357">
      <w:marLeft w:val="0"/>
      <w:marRight w:val="0"/>
      <w:marTop w:val="0"/>
      <w:marBottom w:val="240"/>
      <w:divBdr>
        <w:top w:val="none" w:sz="0" w:space="0" w:color="auto"/>
        <w:left w:val="none" w:sz="0" w:space="0" w:color="auto"/>
        <w:bottom w:val="none" w:sz="0" w:space="0" w:color="auto"/>
        <w:right w:val="none" w:sz="0" w:space="0" w:color="auto"/>
      </w:divBdr>
    </w:div>
    <w:div w:id="742920206">
      <w:marLeft w:val="0"/>
      <w:marRight w:val="0"/>
      <w:marTop w:val="0"/>
      <w:marBottom w:val="180"/>
      <w:divBdr>
        <w:top w:val="none" w:sz="0" w:space="0" w:color="auto"/>
        <w:left w:val="none" w:sz="0" w:space="0" w:color="auto"/>
        <w:bottom w:val="none" w:sz="0" w:space="0" w:color="auto"/>
        <w:right w:val="none" w:sz="0" w:space="0" w:color="auto"/>
      </w:divBdr>
    </w:div>
    <w:div w:id="744645004">
      <w:marLeft w:val="0"/>
      <w:marRight w:val="0"/>
      <w:marTop w:val="0"/>
      <w:marBottom w:val="0"/>
      <w:divBdr>
        <w:top w:val="none" w:sz="0" w:space="0" w:color="auto"/>
        <w:left w:val="none" w:sz="0" w:space="0" w:color="auto"/>
        <w:bottom w:val="none" w:sz="0" w:space="0" w:color="auto"/>
        <w:right w:val="none" w:sz="0" w:space="0" w:color="auto"/>
      </w:divBdr>
      <w:divsChild>
        <w:div w:id="117646436">
          <w:marLeft w:val="0"/>
          <w:marRight w:val="0"/>
          <w:marTop w:val="0"/>
          <w:marBottom w:val="0"/>
          <w:divBdr>
            <w:top w:val="none" w:sz="0" w:space="0" w:color="auto"/>
            <w:left w:val="none" w:sz="0" w:space="0" w:color="auto"/>
            <w:bottom w:val="none" w:sz="0" w:space="0" w:color="auto"/>
            <w:right w:val="none" w:sz="0" w:space="0" w:color="auto"/>
          </w:divBdr>
        </w:div>
      </w:divsChild>
    </w:div>
    <w:div w:id="746072010">
      <w:marLeft w:val="0"/>
      <w:marRight w:val="0"/>
      <w:marTop w:val="0"/>
      <w:marBottom w:val="240"/>
      <w:divBdr>
        <w:top w:val="none" w:sz="0" w:space="0" w:color="auto"/>
        <w:left w:val="none" w:sz="0" w:space="0" w:color="auto"/>
        <w:bottom w:val="none" w:sz="0" w:space="0" w:color="auto"/>
        <w:right w:val="none" w:sz="0" w:space="0" w:color="auto"/>
      </w:divBdr>
    </w:div>
    <w:div w:id="746346808">
      <w:marLeft w:val="0"/>
      <w:marRight w:val="0"/>
      <w:marTop w:val="0"/>
      <w:marBottom w:val="0"/>
      <w:divBdr>
        <w:top w:val="none" w:sz="0" w:space="0" w:color="auto"/>
        <w:left w:val="none" w:sz="0" w:space="0" w:color="auto"/>
        <w:bottom w:val="none" w:sz="0" w:space="0" w:color="auto"/>
        <w:right w:val="none" w:sz="0" w:space="0" w:color="auto"/>
      </w:divBdr>
    </w:div>
    <w:div w:id="748892064">
      <w:marLeft w:val="0"/>
      <w:marRight w:val="0"/>
      <w:marTop w:val="180"/>
      <w:marBottom w:val="180"/>
      <w:divBdr>
        <w:top w:val="none" w:sz="0" w:space="0" w:color="auto"/>
        <w:left w:val="none" w:sz="0" w:space="0" w:color="auto"/>
        <w:bottom w:val="none" w:sz="0" w:space="0" w:color="auto"/>
        <w:right w:val="none" w:sz="0" w:space="0" w:color="auto"/>
      </w:divBdr>
    </w:div>
    <w:div w:id="751896065">
      <w:marLeft w:val="0"/>
      <w:marRight w:val="0"/>
      <w:marTop w:val="120"/>
      <w:marBottom w:val="120"/>
      <w:divBdr>
        <w:top w:val="none" w:sz="0" w:space="0" w:color="auto"/>
        <w:left w:val="none" w:sz="0" w:space="0" w:color="auto"/>
        <w:bottom w:val="none" w:sz="0" w:space="0" w:color="auto"/>
        <w:right w:val="none" w:sz="0" w:space="0" w:color="auto"/>
      </w:divBdr>
    </w:div>
    <w:div w:id="752167863">
      <w:marLeft w:val="0"/>
      <w:marRight w:val="0"/>
      <w:marTop w:val="0"/>
      <w:marBottom w:val="180"/>
      <w:divBdr>
        <w:top w:val="none" w:sz="0" w:space="0" w:color="auto"/>
        <w:left w:val="none" w:sz="0" w:space="0" w:color="auto"/>
        <w:bottom w:val="none" w:sz="0" w:space="0" w:color="auto"/>
        <w:right w:val="none" w:sz="0" w:space="0" w:color="auto"/>
      </w:divBdr>
    </w:div>
    <w:div w:id="752549938">
      <w:marLeft w:val="0"/>
      <w:marRight w:val="0"/>
      <w:marTop w:val="0"/>
      <w:marBottom w:val="240"/>
      <w:divBdr>
        <w:top w:val="none" w:sz="0" w:space="0" w:color="auto"/>
        <w:left w:val="none" w:sz="0" w:space="0" w:color="auto"/>
        <w:bottom w:val="none" w:sz="0" w:space="0" w:color="auto"/>
        <w:right w:val="none" w:sz="0" w:space="0" w:color="auto"/>
      </w:divBdr>
    </w:div>
    <w:div w:id="754666063">
      <w:marLeft w:val="0"/>
      <w:marRight w:val="0"/>
      <w:marTop w:val="0"/>
      <w:marBottom w:val="180"/>
      <w:divBdr>
        <w:top w:val="none" w:sz="0" w:space="0" w:color="auto"/>
        <w:left w:val="none" w:sz="0" w:space="0" w:color="auto"/>
        <w:bottom w:val="none" w:sz="0" w:space="0" w:color="auto"/>
        <w:right w:val="none" w:sz="0" w:space="0" w:color="auto"/>
      </w:divBdr>
    </w:div>
    <w:div w:id="759718731">
      <w:marLeft w:val="0"/>
      <w:marRight w:val="0"/>
      <w:marTop w:val="0"/>
      <w:marBottom w:val="0"/>
      <w:divBdr>
        <w:top w:val="none" w:sz="0" w:space="0" w:color="auto"/>
        <w:left w:val="none" w:sz="0" w:space="0" w:color="auto"/>
        <w:bottom w:val="none" w:sz="0" w:space="0" w:color="auto"/>
        <w:right w:val="none" w:sz="0" w:space="0" w:color="auto"/>
      </w:divBdr>
    </w:div>
    <w:div w:id="760683970">
      <w:marLeft w:val="0"/>
      <w:marRight w:val="0"/>
      <w:marTop w:val="0"/>
      <w:marBottom w:val="0"/>
      <w:divBdr>
        <w:top w:val="none" w:sz="0" w:space="0" w:color="auto"/>
        <w:left w:val="none" w:sz="0" w:space="0" w:color="auto"/>
        <w:bottom w:val="none" w:sz="0" w:space="0" w:color="auto"/>
        <w:right w:val="none" w:sz="0" w:space="0" w:color="auto"/>
      </w:divBdr>
      <w:divsChild>
        <w:div w:id="902984233">
          <w:marLeft w:val="0"/>
          <w:marRight w:val="0"/>
          <w:marTop w:val="0"/>
          <w:marBottom w:val="0"/>
          <w:divBdr>
            <w:top w:val="none" w:sz="0" w:space="0" w:color="auto"/>
            <w:left w:val="none" w:sz="0" w:space="0" w:color="auto"/>
            <w:bottom w:val="none" w:sz="0" w:space="0" w:color="auto"/>
            <w:right w:val="none" w:sz="0" w:space="0" w:color="auto"/>
          </w:divBdr>
        </w:div>
      </w:divsChild>
    </w:div>
    <w:div w:id="760830528">
      <w:marLeft w:val="0"/>
      <w:marRight w:val="0"/>
      <w:marTop w:val="0"/>
      <w:marBottom w:val="180"/>
      <w:divBdr>
        <w:top w:val="none" w:sz="0" w:space="0" w:color="auto"/>
        <w:left w:val="none" w:sz="0" w:space="0" w:color="auto"/>
        <w:bottom w:val="none" w:sz="0" w:space="0" w:color="auto"/>
        <w:right w:val="none" w:sz="0" w:space="0" w:color="auto"/>
      </w:divBdr>
    </w:div>
    <w:div w:id="761219479">
      <w:marLeft w:val="0"/>
      <w:marRight w:val="0"/>
      <w:marTop w:val="0"/>
      <w:marBottom w:val="240"/>
      <w:divBdr>
        <w:top w:val="none" w:sz="0" w:space="0" w:color="auto"/>
        <w:left w:val="none" w:sz="0" w:space="0" w:color="auto"/>
        <w:bottom w:val="none" w:sz="0" w:space="0" w:color="auto"/>
        <w:right w:val="none" w:sz="0" w:space="0" w:color="auto"/>
      </w:divBdr>
    </w:div>
    <w:div w:id="764348374">
      <w:marLeft w:val="0"/>
      <w:marRight w:val="0"/>
      <w:marTop w:val="0"/>
      <w:marBottom w:val="180"/>
      <w:divBdr>
        <w:top w:val="none" w:sz="0" w:space="0" w:color="auto"/>
        <w:left w:val="none" w:sz="0" w:space="0" w:color="auto"/>
        <w:bottom w:val="none" w:sz="0" w:space="0" w:color="auto"/>
        <w:right w:val="none" w:sz="0" w:space="0" w:color="auto"/>
      </w:divBdr>
    </w:div>
    <w:div w:id="768431942">
      <w:marLeft w:val="0"/>
      <w:marRight w:val="0"/>
      <w:marTop w:val="100"/>
      <w:marBottom w:val="0"/>
      <w:divBdr>
        <w:top w:val="none" w:sz="0" w:space="0" w:color="auto"/>
        <w:left w:val="none" w:sz="0" w:space="0" w:color="auto"/>
        <w:bottom w:val="none" w:sz="0" w:space="0" w:color="auto"/>
        <w:right w:val="none" w:sz="0" w:space="0" w:color="auto"/>
      </w:divBdr>
    </w:div>
    <w:div w:id="768892202">
      <w:marLeft w:val="0"/>
      <w:marRight w:val="0"/>
      <w:marTop w:val="0"/>
      <w:marBottom w:val="240"/>
      <w:divBdr>
        <w:top w:val="none" w:sz="0" w:space="0" w:color="auto"/>
        <w:left w:val="none" w:sz="0" w:space="0" w:color="auto"/>
        <w:bottom w:val="none" w:sz="0" w:space="0" w:color="auto"/>
        <w:right w:val="none" w:sz="0" w:space="0" w:color="auto"/>
      </w:divBdr>
    </w:div>
    <w:div w:id="769471436">
      <w:marLeft w:val="0"/>
      <w:marRight w:val="0"/>
      <w:marTop w:val="0"/>
      <w:marBottom w:val="240"/>
      <w:divBdr>
        <w:top w:val="none" w:sz="0" w:space="0" w:color="auto"/>
        <w:left w:val="none" w:sz="0" w:space="0" w:color="auto"/>
        <w:bottom w:val="none" w:sz="0" w:space="0" w:color="auto"/>
        <w:right w:val="none" w:sz="0" w:space="0" w:color="auto"/>
      </w:divBdr>
    </w:div>
    <w:div w:id="770079889">
      <w:marLeft w:val="0"/>
      <w:marRight w:val="0"/>
      <w:marTop w:val="0"/>
      <w:marBottom w:val="0"/>
      <w:divBdr>
        <w:top w:val="none" w:sz="0" w:space="0" w:color="auto"/>
        <w:left w:val="none" w:sz="0" w:space="0" w:color="auto"/>
        <w:bottom w:val="none" w:sz="0" w:space="0" w:color="auto"/>
        <w:right w:val="none" w:sz="0" w:space="0" w:color="auto"/>
      </w:divBdr>
      <w:divsChild>
        <w:div w:id="28841890">
          <w:marLeft w:val="0"/>
          <w:marRight w:val="0"/>
          <w:marTop w:val="0"/>
          <w:marBottom w:val="0"/>
          <w:divBdr>
            <w:top w:val="none" w:sz="0" w:space="0" w:color="auto"/>
            <w:left w:val="none" w:sz="0" w:space="0" w:color="auto"/>
            <w:bottom w:val="none" w:sz="0" w:space="0" w:color="auto"/>
            <w:right w:val="none" w:sz="0" w:space="0" w:color="auto"/>
          </w:divBdr>
        </w:div>
      </w:divsChild>
    </w:div>
    <w:div w:id="770245024">
      <w:marLeft w:val="0"/>
      <w:marRight w:val="0"/>
      <w:marTop w:val="0"/>
      <w:marBottom w:val="180"/>
      <w:divBdr>
        <w:top w:val="none" w:sz="0" w:space="0" w:color="auto"/>
        <w:left w:val="none" w:sz="0" w:space="0" w:color="auto"/>
        <w:bottom w:val="none" w:sz="0" w:space="0" w:color="auto"/>
        <w:right w:val="none" w:sz="0" w:space="0" w:color="auto"/>
      </w:divBdr>
    </w:div>
    <w:div w:id="770785320">
      <w:marLeft w:val="0"/>
      <w:marRight w:val="0"/>
      <w:marTop w:val="0"/>
      <w:marBottom w:val="0"/>
      <w:divBdr>
        <w:top w:val="none" w:sz="0" w:space="0" w:color="auto"/>
        <w:left w:val="none" w:sz="0" w:space="0" w:color="auto"/>
        <w:bottom w:val="none" w:sz="0" w:space="0" w:color="auto"/>
        <w:right w:val="none" w:sz="0" w:space="0" w:color="auto"/>
      </w:divBdr>
    </w:div>
    <w:div w:id="775946564">
      <w:marLeft w:val="0"/>
      <w:marRight w:val="0"/>
      <w:marTop w:val="0"/>
      <w:marBottom w:val="0"/>
      <w:divBdr>
        <w:top w:val="none" w:sz="0" w:space="0" w:color="auto"/>
        <w:left w:val="none" w:sz="0" w:space="0" w:color="auto"/>
        <w:bottom w:val="none" w:sz="0" w:space="0" w:color="auto"/>
        <w:right w:val="none" w:sz="0" w:space="0" w:color="auto"/>
      </w:divBdr>
      <w:divsChild>
        <w:div w:id="1776244600">
          <w:marLeft w:val="0"/>
          <w:marRight w:val="0"/>
          <w:marTop w:val="0"/>
          <w:marBottom w:val="0"/>
          <w:divBdr>
            <w:top w:val="none" w:sz="0" w:space="0" w:color="auto"/>
            <w:left w:val="none" w:sz="0" w:space="0" w:color="auto"/>
            <w:bottom w:val="none" w:sz="0" w:space="0" w:color="auto"/>
            <w:right w:val="none" w:sz="0" w:space="0" w:color="auto"/>
          </w:divBdr>
        </w:div>
      </w:divsChild>
    </w:div>
    <w:div w:id="777217098">
      <w:marLeft w:val="0"/>
      <w:marRight w:val="0"/>
      <w:marTop w:val="0"/>
      <w:marBottom w:val="180"/>
      <w:divBdr>
        <w:top w:val="none" w:sz="0" w:space="0" w:color="auto"/>
        <w:left w:val="none" w:sz="0" w:space="0" w:color="auto"/>
        <w:bottom w:val="none" w:sz="0" w:space="0" w:color="auto"/>
        <w:right w:val="none" w:sz="0" w:space="0" w:color="auto"/>
      </w:divBdr>
    </w:div>
    <w:div w:id="777601269">
      <w:marLeft w:val="0"/>
      <w:marRight w:val="0"/>
      <w:marTop w:val="0"/>
      <w:marBottom w:val="180"/>
      <w:divBdr>
        <w:top w:val="none" w:sz="0" w:space="0" w:color="auto"/>
        <w:left w:val="none" w:sz="0" w:space="0" w:color="auto"/>
        <w:bottom w:val="none" w:sz="0" w:space="0" w:color="auto"/>
        <w:right w:val="none" w:sz="0" w:space="0" w:color="auto"/>
      </w:divBdr>
    </w:div>
    <w:div w:id="782193428">
      <w:marLeft w:val="0"/>
      <w:marRight w:val="0"/>
      <w:marTop w:val="0"/>
      <w:marBottom w:val="60"/>
      <w:divBdr>
        <w:top w:val="none" w:sz="0" w:space="0" w:color="auto"/>
        <w:left w:val="none" w:sz="0" w:space="0" w:color="auto"/>
        <w:bottom w:val="none" w:sz="0" w:space="0" w:color="auto"/>
        <w:right w:val="none" w:sz="0" w:space="0" w:color="auto"/>
      </w:divBdr>
    </w:div>
    <w:div w:id="782727718">
      <w:marLeft w:val="0"/>
      <w:marRight w:val="0"/>
      <w:marTop w:val="180"/>
      <w:marBottom w:val="180"/>
      <w:divBdr>
        <w:top w:val="none" w:sz="0" w:space="0" w:color="auto"/>
        <w:left w:val="none" w:sz="0" w:space="0" w:color="auto"/>
        <w:bottom w:val="none" w:sz="0" w:space="0" w:color="auto"/>
        <w:right w:val="none" w:sz="0" w:space="0" w:color="auto"/>
      </w:divBdr>
    </w:div>
    <w:div w:id="783573888">
      <w:marLeft w:val="0"/>
      <w:marRight w:val="0"/>
      <w:marTop w:val="0"/>
      <w:marBottom w:val="180"/>
      <w:divBdr>
        <w:top w:val="none" w:sz="0" w:space="0" w:color="auto"/>
        <w:left w:val="none" w:sz="0" w:space="0" w:color="auto"/>
        <w:bottom w:val="none" w:sz="0" w:space="0" w:color="auto"/>
        <w:right w:val="none" w:sz="0" w:space="0" w:color="auto"/>
      </w:divBdr>
    </w:div>
    <w:div w:id="784539834">
      <w:marLeft w:val="0"/>
      <w:marRight w:val="0"/>
      <w:marTop w:val="180"/>
      <w:marBottom w:val="180"/>
      <w:divBdr>
        <w:top w:val="none" w:sz="0" w:space="0" w:color="auto"/>
        <w:left w:val="none" w:sz="0" w:space="0" w:color="auto"/>
        <w:bottom w:val="none" w:sz="0" w:space="0" w:color="auto"/>
        <w:right w:val="none" w:sz="0" w:space="0" w:color="auto"/>
      </w:divBdr>
    </w:div>
    <w:div w:id="785123596">
      <w:marLeft w:val="0"/>
      <w:marRight w:val="0"/>
      <w:marTop w:val="180"/>
      <w:marBottom w:val="180"/>
      <w:divBdr>
        <w:top w:val="none" w:sz="0" w:space="0" w:color="auto"/>
        <w:left w:val="none" w:sz="0" w:space="0" w:color="auto"/>
        <w:bottom w:val="none" w:sz="0" w:space="0" w:color="auto"/>
        <w:right w:val="none" w:sz="0" w:space="0" w:color="auto"/>
      </w:divBdr>
    </w:div>
    <w:div w:id="788544858">
      <w:marLeft w:val="0"/>
      <w:marRight w:val="0"/>
      <w:marTop w:val="0"/>
      <w:marBottom w:val="240"/>
      <w:divBdr>
        <w:top w:val="none" w:sz="0" w:space="0" w:color="auto"/>
        <w:left w:val="none" w:sz="0" w:space="0" w:color="auto"/>
        <w:bottom w:val="none" w:sz="0" w:space="0" w:color="auto"/>
        <w:right w:val="none" w:sz="0" w:space="0" w:color="auto"/>
      </w:divBdr>
    </w:div>
    <w:div w:id="788546862">
      <w:marLeft w:val="0"/>
      <w:marRight w:val="0"/>
      <w:marTop w:val="0"/>
      <w:marBottom w:val="240"/>
      <w:divBdr>
        <w:top w:val="none" w:sz="0" w:space="0" w:color="auto"/>
        <w:left w:val="none" w:sz="0" w:space="0" w:color="auto"/>
        <w:bottom w:val="none" w:sz="0" w:space="0" w:color="auto"/>
        <w:right w:val="none" w:sz="0" w:space="0" w:color="auto"/>
      </w:divBdr>
    </w:div>
    <w:div w:id="788547012">
      <w:marLeft w:val="0"/>
      <w:marRight w:val="0"/>
      <w:marTop w:val="180"/>
      <w:marBottom w:val="180"/>
      <w:divBdr>
        <w:top w:val="none" w:sz="0" w:space="0" w:color="auto"/>
        <w:left w:val="none" w:sz="0" w:space="0" w:color="auto"/>
        <w:bottom w:val="none" w:sz="0" w:space="0" w:color="auto"/>
        <w:right w:val="none" w:sz="0" w:space="0" w:color="auto"/>
      </w:divBdr>
    </w:div>
    <w:div w:id="790169388">
      <w:marLeft w:val="0"/>
      <w:marRight w:val="0"/>
      <w:marTop w:val="0"/>
      <w:marBottom w:val="240"/>
      <w:divBdr>
        <w:top w:val="none" w:sz="0" w:space="0" w:color="auto"/>
        <w:left w:val="none" w:sz="0" w:space="0" w:color="auto"/>
        <w:bottom w:val="none" w:sz="0" w:space="0" w:color="auto"/>
        <w:right w:val="none" w:sz="0" w:space="0" w:color="auto"/>
      </w:divBdr>
    </w:div>
    <w:div w:id="792285939">
      <w:marLeft w:val="0"/>
      <w:marRight w:val="0"/>
      <w:marTop w:val="0"/>
      <w:marBottom w:val="0"/>
      <w:divBdr>
        <w:top w:val="none" w:sz="0" w:space="0" w:color="auto"/>
        <w:left w:val="none" w:sz="0" w:space="0" w:color="auto"/>
        <w:bottom w:val="none" w:sz="0" w:space="0" w:color="auto"/>
        <w:right w:val="none" w:sz="0" w:space="0" w:color="auto"/>
      </w:divBdr>
    </w:div>
    <w:div w:id="792597583">
      <w:marLeft w:val="0"/>
      <w:marRight w:val="0"/>
      <w:marTop w:val="180"/>
      <w:marBottom w:val="180"/>
      <w:divBdr>
        <w:top w:val="none" w:sz="0" w:space="0" w:color="auto"/>
        <w:left w:val="none" w:sz="0" w:space="0" w:color="auto"/>
        <w:bottom w:val="none" w:sz="0" w:space="0" w:color="auto"/>
        <w:right w:val="none" w:sz="0" w:space="0" w:color="auto"/>
      </w:divBdr>
    </w:div>
    <w:div w:id="793522771">
      <w:marLeft w:val="0"/>
      <w:marRight w:val="0"/>
      <w:marTop w:val="0"/>
      <w:marBottom w:val="0"/>
      <w:divBdr>
        <w:top w:val="none" w:sz="0" w:space="0" w:color="auto"/>
        <w:left w:val="none" w:sz="0" w:space="0" w:color="auto"/>
        <w:bottom w:val="none" w:sz="0" w:space="0" w:color="auto"/>
        <w:right w:val="none" w:sz="0" w:space="0" w:color="auto"/>
      </w:divBdr>
      <w:divsChild>
        <w:div w:id="717582618">
          <w:marLeft w:val="0"/>
          <w:marRight w:val="0"/>
          <w:marTop w:val="0"/>
          <w:marBottom w:val="0"/>
          <w:divBdr>
            <w:top w:val="none" w:sz="0" w:space="0" w:color="auto"/>
            <w:left w:val="none" w:sz="0" w:space="0" w:color="auto"/>
            <w:bottom w:val="none" w:sz="0" w:space="0" w:color="auto"/>
            <w:right w:val="none" w:sz="0" w:space="0" w:color="auto"/>
          </w:divBdr>
        </w:div>
      </w:divsChild>
    </w:div>
    <w:div w:id="796216639">
      <w:marLeft w:val="0"/>
      <w:marRight w:val="0"/>
      <w:marTop w:val="0"/>
      <w:marBottom w:val="240"/>
      <w:divBdr>
        <w:top w:val="none" w:sz="0" w:space="0" w:color="auto"/>
        <w:left w:val="none" w:sz="0" w:space="0" w:color="auto"/>
        <w:bottom w:val="none" w:sz="0" w:space="0" w:color="auto"/>
        <w:right w:val="none" w:sz="0" w:space="0" w:color="auto"/>
      </w:divBdr>
    </w:div>
    <w:div w:id="796921504">
      <w:marLeft w:val="0"/>
      <w:marRight w:val="0"/>
      <w:marTop w:val="100"/>
      <w:marBottom w:val="0"/>
      <w:divBdr>
        <w:top w:val="none" w:sz="0" w:space="0" w:color="auto"/>
        <w:left w:val="none" w:sz="0" w:space="0" w:color="auto"/>
        <w:bottom w:val="none" w:sz="0" w:space="0" w:color="auto"/>
        <w:right w:val="none" w:sz="0" w:space="0" w:color="auto"/>
      </w:divBdr>
    </w:div>
    <w:div w:id="797723064">
      <w:marLeft w:val="0"/>
      <w:marRight w:val="0"/>
      <w:marTop w:val="0"/>
      <w:marBottom w:val="240"/>
      <w:divBdr>
        <w:top w:val="none" w:sz="0" w:space="0" w:color="auto"/>
        <w:left w:val="none" w:sz="0" w:space="0" w:color="auto"/>
        <w:bottom w:val="none" w:sz="0" w:space="0" w:color="auto"/>
        <w:right w:val="none" w:sz="0" w:space="0" w:color="auto"/>
      </w:divBdr>
    </w:div>
    <w:div w:id="797796895">
      <w:marLeft w:val="0"/>
      <w:marRight w:val="0"/>
      <w:marTop w:val="0"/>
      <w:marBottom w:val="0"/>
      <w:divBdr>
        <w:top w:val="none" w:sz="0" w:space="0" w:color="auto"/>
        <w:left w:val="none" w:sz="0" w:space="0" w:color="auto"/>
        <w:bottom w:val="none" w:sz="0" w:space="0" w:color="auto"/>
        <w:right w:val="none" w:sz="0" w:space="0" w:color="auto"/>
      </w:divBdr>
    </w:div>
    <w:div w:id="799111396">
      <w:marLeft w:val="0"/>
      <w:marRight w:val="0"/>
      <w:marTop w:val="120"/>
      <w:marBottom w:val="240"/>
      <w:divBdr>
        <w:top w:val="none" w:sz="0" w:space="0" w:color="auto"/>
        <w:left w:val="none" w:sz="0" w:space="0" w:color="auto"/>
        <w:bottom w:val="none" w:sz="0" w:space="0" w:color="auto"/>
        <w:right w:val="none" w:sz="0" w:space="0" w:color="auto"/>
      </w:divBdr>
    </w:div>
    <w:div w:id="799151921">
      <w:marLeft w:val="0"/>
      <w:marRight w:val="0"/>
      <w:marTop w:val="120"/>
      <w:marBottom w:val="240"/>
      <w:divBdr>
        <w:top w:val="none" w:sz="0" w:space="0" w:color="auto"/>
        <w:left w:val="none" w:sz="0" w:space="0" w:color="auto"/>
        <w:bottom w:val="none" w:sz="0" w:space="0" w:color="auto"/>
        <w:right w:val="none" w:sz="0" w:space="0" w:color="auto"/>
      </w:divBdr>
    </w:div>
    <w:div w:id="800342992">
      <w:marLeft w:val="0"/>
      <w:marRight w:val="0"/>
      <w:marTop w:val="0"/>
      <w:marBottom w:val="0"/>
      <w:divBdr>
        <w:top w:val="none" w:sz="0" w:space="0" w:color="auto"/>
        <w:left w:val="none" w:sz="0" w:space="0" w:color="auto"/>
        <w:bottom w:val="none" w:sz="0" w:space="0" w:color="auto"/>
        <w:right w:val="none" w:sz="0" w:space="0" w:color="auto"/>
      </w:divBdr>
      <w:divsChild>
        <w:div w:id="640699141">
          <w:marLeft w:val="0"/>
          <w:marRight w:val="0"/>
          <w:marTop w:val="0"/>
          <w:marBottom w:val="0"/>
          <w:divBdr>
            <w:top w:val="none" w:sz="0" w:space="0" w:color="auto"/>
            <w:left w:val="none" w:sz="0" w:space="0" w:color="auto"/>
            <w:bottom w:val="none" w:sz="0" w:space="0" w:color="auto"/>
            <w:right w:val="none" w:sz="0" w:space="0" w:color="auto"/>
          </w:divBdr>
        </w:div>
      </w:divsChild>
    </w:div>
    <w:div w:id="801189855">
      <w:marLeft w:val="0"/>
      <w:marRight w:val="0"/>
      <w:marTop w:val="0"/>
      <w:marBottom w:val="180"/>
      <w:divBdr>
        <w:top w:val="none" w:sz="0" w:space="0" w:color="auto"/>
        <w:left w:val="none" w:sz="0" w:space="0" w:color="auto"/>
        <w:bottom w:val="none" w:sz="0" w:space="0" w:color="auto"/>
        <w:right w:val="none" w:sz="0" w:space="0" w:color="auto"/>
      </w:divBdr>
    </w:div>
    <w:div w:id="811214811">
      <w:marLeft w:val="0"/>
      <w:marRight w:val="0"/>
      <w:marTop w:val="120"/>
      <w:marBottom w:val="120"/>
      <w:divBdr>
        <w:top w:val="none" w:sz="0" w:space="0" w:color="auto"/>
        <w:left w:val="none" w:sz="0" w:space="0" w:color="auto"/>
        <w:bottom w:val="none" w:sz="0" w:space="0" w:color="auto"/>
        <w:right w:val="none" w:sz="0" w:space="0" w:color="auto"/>
      </w:divBdr>
    </w:div>
    <w:div w:id="811294876">
      <w:marLeft w:val="0"/>
      <w:marRight w:val="0"/>
      <w:marTop w:val="120"/>
      <w:marBottom w:val="180"/>
      <w:divBdr>
        <w:top w:val="none" w:sz="0" w:space="0" w:color="auto"/>
        <w:left w:val="none" w:sz="0" w:space="0" w:color="auto"/>
        <w:bottom w:val="none" w:sz="0" w:space="0" w:color="auto"/>
        <w:right w:val="none" w:sz="0" w:space="0" w:color="auto"/>
      </w:divBdr>
    </w:div>
    <w:div w:id="811336424">
      <w:marLeft w:val="0"/>
      <w:marRight w:val="0"/>
      <w:marTop w:val="0"/>
      <w:marBottom w:val="0"/>
      <w:divBdr>
        <w:top w:val="none" w:sz="0" w:space="0" w:color="auto"/>
        <w:left w:val="none" w:sz="0" w:space="0" w:color="auto"/>
        <w:bottom w:val="none" w:sz="0" w:space="0" w:color="auto"/>
        <w:right w:val="none" w:sz="0" w:space="0" w:color="auto"/>
      </w:divBdr>
    </w:div>
    <w:div w:id="811870292">
      <w:marLeft w:val="0"/>
      <w:marRight w:val="0"/>
      <w:marTop w:val="0"/>
      <w:marBottom w:val="240"/>
      <w:divBdr>
        <w:top w:val="none" w:sz="0" w:space="0" w:color="auto"/>
        <w:left w:val="none" w:sz="0" w:space="0" w:color="auto"/>
        <w:bottom w:val="none" w:sz="0" w:space="0" w:color="auto"/>
        <w:right w:val="none" w:sz="0" w:space="0" w:color="auto"/>
      </w:divBdr>
    </w:div>
    <w:div w:id="812059753">
      <w:marLeft w:val="0"/>
      <w:marRight w:val="0"/>
      <w:marTop w:val="0"/>
      <w:marBottom w:val="0"/>
      <w:divBdr>
        <w:top w:val="none" w:sz="0" w:space="0" w:color="auto"/>
        <w:left w:val="none" w:sz="0" w:space="0" w:color="auto"/>
        <w:bottom w:val="none" w:sz="0" w:space="0" w:color="auto"/>
        <w:right w:val="none" w:sz="0" w:space="0" w:color="auto"/>
      </w:divBdr>
      <w:divsChild>
        <w:div w:id="1678652124">
          <w:marLeft w:val="0"/>
          <w:marRight w:val="0"/>
          <w:marTop w:val="0"/>
          <w:marBottom w:val="0"/>
          <w:divBdr>
            <w:top w:val="none" w:sz="0" w:space="0" w:color="auto"/>
            <w:left w:val="none" w:sz="0" w:space="0" w:color="auto"/>
            <w:bottom w:val="none" w:sz="0" w:space="0" w:color="auto"/>
            <w:right w:val="none" w:sz="0" w:space="0" w:color="auto"/>
          </w:divBdr>
        </w:div>
      </w:divsChild>
    </w:div>
    <w:div w:id="812211597">
      <w:marLeft w:val="0"/>
      <w:marRight w:val="0"/>
      <w:marTop w:val="0"/>
      <w:marBottom w:val="0"/>
      <w:divBdr>
        <w:top w:val="none" w:sz="0" w:space="0" w:color="auto"/>
        <w:left w:val="none" w:sz="0" w:space="0" w:color="auto"/>
        <w:bottom w:val="none" w:sz="0" w:space="0" w:color="auto"/>
        <w:right w:val="none" w:sz="0" w:space="0" w:color="auto"/>
      </w:divBdr>
    </w:div>
    <w:div w:id="812596799">
      <w:marLeft w:val="0"/>
      <w:marRight w:val="0"/>
      <w:marTop w:val="0"/>
      <w:marBottom w:val="180"/>
      <w:divBdr>
        <w:top w:val="none" w:sz="0" w:space="0" w:color="auto"/>
        <w:left w:val="none" w:sz="0" w:space="0" w:color="auto"/>
        <w:bottom w:val="none" w:sz="0" w:space="0" w:color="auto"/>
        <w:right w:val="none" w:sz="0" w:space="0" w:color="auto"/>
      </w:divBdr>
    </w:div>
    <w:div w:id="813644118">
      <w:marLeft w:val="0"/>
      <w:marRight w:val="0"/>
      <w:marTop w:val="0"/>
      <w:marBottom w:val="240"/>
      <w:divBdr>
        <w:top w:val="none" w:sz="0" w:space="0" w:color="auto"/>
        <w:left w:val="none" w:sz="0" w:space="0" w:color="auto"/>
        <w:bottom w:val="none" w:sz="0" w:space="0" w:color="auto"/>
        <w:right w:val="none" w:sz="0" w:space="0" w:color="auto"/>
      </w:divBdr>
    </w:div>
    <w:div w:id="816343805">
      <w:marLeft w:val="0"/>
      <w:marRight w:val="0"/>
      <w:marTop w:val="180"/>
      <w:marBottom w:val="180"/>
      <w:divBdr>
        <w:top w:val="none" w:sz="0" w:space="0" w:color="auto"/>
        <w:left w:val="none" w:sz="0" w:space="0" w:color="auto"/>
        <w:bottom w:val="none" w:sz="0" w:space="0" w:color="auto"/>
        <w:right w:val="none" w:sz="0" w:space="0" w:color="auto"/>
      </w:divBdr>
    </w:div>
    <w:div w:id="819424151">
      <w:marLeft w:val="0"/>
      <w:marRight w:val="0"/>
      <w:marTop w:val="0"/>
      <w:marBottom w:val="0"/>
      <w:divBdr>
        <w:top w:val="none" w:sz="0" w:space="0" w:color="auto"/>
        <w:left w:val="none" w:sz="0" w:space="0" w:color="auto"/>
        <w:bottom w:val="none" w:sz="0" w:space="0" w:color="auto"/>
        <w:right w:val="none" w:sz="0" w:space="0" w:color="auto"/>
      </w:divBdr>
    </w:div>
    <w:div w:id="822351296">
      <w:marLeft w:val="0"/>
      <w:marRight w:val="0"/>
      <w:marTop w:val="0"/>
      <w:marBottom w:val="0"/>
      <w:divBdr>
        <w:top w:val="none" w:sz="0" w:space="0" w:color="auto"/>
        <w:left w:val="none" w:sz="0" w:space="0" w:color="auto"/>
        <w:bottom w:val="none" w:sz="0" w:space="0" w:color="auto"/>
        <w:right w:val="none" w:sz="0" w:space="0" w:color="auto"/>
      </w:divBdr>
      <w:divsChild>
        <w:div w:id="167990656">
          <w:marLeft w:val="0"/>
          <w:marRight w:val="0"/>
          <w:marTop w:val="0"/>
          <w:marBottom w:val="0"/>
          <w:divBdr>
            <w:top w:val="none" w:sz="0" w:space="0" w:color="auto"/>
            <w:left w:val="none" w:sz="0" w:space="0" w:color="auto"/>
            <w:bottom w:val="none" w:sz="0" w:space="0" w:color="auto"/>
            <w:right w:val="none" w:sz="0" w:space="0" w:color="auto"/>
          </w:divBdr>
        </w:div>
      </w:divsChild>
    </w:div>
    <w:div w:id="822432078">
      <w:marLeft w:val="0"/>
      <w:marRight w:val="0"/>
      <w:marTop w:val="0"/>
      <w:marBottom w:val="0"/>
      <w:divBdr>
        <w:top w:val="none" w:sz="0" w:space="0" w:color="auto"/>
        <w:left w:val="none" w:sz="0" w:space="0" w:color="auto"/>
        <w:bottom w:val="none" w:sz="0" w:space="0" w:color="auto"/>
        <w:right w:val="none" w:sz="0" w:space="0" w:color="auto"/>
      </w:divBdr>
      <w:divsChild>
        <w:div w:id="1374385611">
          <w:marLeft w:val="0"/>
          <w:marRight w:val="0"/>
          <w:marTop w:val="0"/>
          <w:marBottom w:val="0"/>
          <w:divBdr>
            <w:top w:val="none" w:sz="0" w:space="0" w:color="auto"/>
            <w:left w:val="none" w:sz="0" w:space="0" w:color="auto"/>
            <w:bottom w:val="none" w:sz="0" w:space="0" w:color="auto"/>
            <w:right w:val="none" w:sz="0" w:space="0" w:color="auto"/>
          </w:divBdr>
        </w:div>
        <w:div w:id="481046738">
          <w:marLeft w:val="0"/>
          <w:marRight w:val="0"/>
          <w:marTop w:val="0"/>
          <w:marBottom w:val="0"/>
          <w:divBdr>
            <w:top w:val="none" w:sz="0" w:space="0" w:color="auto"/>
            <w:left w:val="none" w:sz="0" w:space="0" w:color="auto"/>
            <w:bottom w:val="none" w:sz="0" w:space="0" w:color="auto"/>
            <w:right w:val="none" w:sz="0" w:space="0" w:color="auto"/>
          </w:divBdr>
        </w:div>
        <w:div w:id="2079084372">
          <w:marLeft w:val="0"/>
          <w:marRight w:val="0"/>
          <w:marTop w:val="0"/>
          <w:marBottom w:val="0"/>
          <w:divBdr>
            <w:top w:val="none" w:sz="0" w:space="0" w:color="auto"/>
            <w:left w:val="none" w:sz="0" w:space="0" w:color="auto"/>
            <w:bottom w:val="none" w:sz="0" w:space="0" w:color="auto"/>
            <w:right w:val="none" w:sz="0" w:space="0" w:color="auto"/>
          </w:divBdr>
        </w:div>
      </w:divsChild>
    </w:div>
    <w:div w:id="823162358">
      <w:marLeft w:val="0"/>
      <w:marRight w:val="0"/>
      <w:marTop w:val="100"/>
      <w:marBottom w:val="180"/>
      <w:divBdr>
        <w:top w:val="none" w:sz="0" w:space="0" w:color="auto"/>
        <w:left w:val="none" w:sz="0" w:space="0" w:color="auto"/>
        <w:bottom w:val="none" w:sz="0" w:space="0" w:color="auto"/>
        <w:right w:val="none" w:sz="0" w:space="0" w:color="auto"/>
      </w:divBdr>
    </w:div>
    <w:div w:id="824706828">
      <w:marLeft w:val="0"/>
      <w:marRight w:val="0"/>
      <w:marTop w:val="0"/>
      <w:marBottom w:val="240"/>
      <w:divBdr>
        <w:top w:val="none" w:sz="0" w:space="0" w:color="auto"/>
        <w:left w:val="none" w:sz="0" w:space="0" w:color="auto"/>
        <w:bottom w:val="none" w:sz="0" w:space="0" w:color="auto"/>
        <w:right w:val="none" w:sz="0" w:space="0" w:color="auto"/>
      </w:divBdr>
    </w:div>
    <w:div w:id="824735796">
      <w:marLeft w:val="0"/>
      <w:marRight w:val="0"/>
      <w:marTop w:val="0"/>
      <w:marBottom w:val="0"/>
      <w:divBdr>
        <w:top w:val="none" w:sz="0" w:space="0" w:color="auto"/>
        <w:left w:val="none" w:sz="0" w:space="0" w:color="auto"/>
        <w:bottom w:val="none" w:sz="0" w:space="0" w:color="auto"/>
        <w:right w:val="none" w:sz="0" w:space="0" w:color="auto"/>
      </w:divBdr>
      <w:divsChild>
        <w:div w:id="1974601249">
          <w:marLeft w:val="0"/>
          <w:marRight w:val="0"/>
          <w:marTop w:val="0"/>
          <w:marBottom w:val="0"/>
          <w:divBdr>
            <w:top w:val="none" w:sz="0" w:space="0" w:color="auto"/>
            <w:left w:val="none" w:sz="0" w:space="0" w:color="auto"/>
            <w:bottom w:val="none" w:sz="0" w:space="0" w:color="auto"/>
            <w:right w:val="none" w:sz="0" w:space="0" w:color="auto"/>
          </w:divBdr>
        </w:div>
      </w:divsChild>
    </w:div>
    <w:div w:id="825979623">
      <w:marLeft w:val="0"/>
      <w:marRight w:val="0"/>
      <w:marTop w:val="180"/>
      <w:marBottom w:val="180"/>
      <w:divBdr>
        <w:top w:val="none" w:sz="0" w:space="0" w:color="auto"/>
        <w:left w:val="none" w:sz="0" w:space="0" w:color="auto"/>
        <w:bottom w:val="none" w:sz="0" w:space="0" w:color="auto"/>
        <w:right w:val="none" w:sz="0" w:space="0" w:color="auto"/>
      </w:divBdr>
    </w:div>
    <w:div w:id="826171305">
      <w:marLeft w:val="0"/>
      <w:marRight w:val="0"/>
      <w:marTop w:val="0"/>
      <w:marBottom w:val="0"/>
      <w:divBdr>
        <w:top w:val="none" w:sz="0" w:space="0" w:color="auto"/>
        <w:left w:val="none" w:sz="0" w:space="0" w:color="auto"/>
        <w:bottom w:val="none" w:sz="0" w:space="0" w:color="auto"/>
        <w:right w:val="none" w:sz="0" w:space="0" w:color="auto"/>
      </w:divBdr>
    </w:div>
    <w:div w:id="827481439">
      <w:marLeft w:val="0"/>
      <w:marRight w:val="0"/>
      <w:marTop w:val="0"/>
      <w:marBottom w:val="180"/>
      <w:divBdr>
        <w:top w:val="none" w:sz="0" w:space="0" w:color="auto"/>
        <w:left w:val="none" w:sz="0" w:space="0" w:color="auto"/>
        <w:bottom w:val="none" w:sz="0" w:space="0" w:color="auto"/>
        <w:right w:val="none" w:sz="0" w:space="0" w:color="auto"/>
      </w:divBdr>
    </w:div>
    <w:div w:id="832720442">
      <w:marLeft w:val="0"/>
      <w:marRight w:val="0"/>
      <w:marTop w:val="120"/>
      <w:marBottom w:val="120"/>
      <w:divBdr>
        <w:top w:val="none" w:sz="0" w:space="0" w:color="auto"/>
        <w:left w:val="none" w:sz="0" w:space="0" w:color="auto"/>
        <w:bottom w:val="none" w:sz="0" w:space="0" w:color="auto"/>
        <w:right w:val="none" w:sz="0" w:space="0" w:color="auto"/>
      </w:divBdr>
    </w:div>
    <w:div w:id="836074796">
      <w:marLeft w:val="0"/>
      <w:marRight w:val="0"/>
      <w:marTop w:val="0"/>
      <w:marBottom w:val="0"/>
      <w:divBdr>
        <w:top w:val="none" w:sz="0" w:space="0" w:color="auto"/>
        <w:left w:val="none" w:sz="0" w:space="0" w:color="auto"/>
        <w:bottom w:val="none" w:sz="0" w:space="0" w:color="auto"/>
        <w:right w:val="none" w:sz="0" w:space="0" w:color="auto"/>
      </w:divBdr>
    </w:div>
    <w:div w:id="836306347">
      <w:marLeft w:val="0"/>
      <w:marRight w:val="0"/>
      <w:marTop w:val="0"/>
      <w:marBottom w:val="180"/>
      <w:divBdr>
        <w:top w:val="none" w:sz="0" w:space="0" w:color="auto"/>
        <w:left w:val="none" w:sz="0" w:space="0" w:color="auto"/>
        <w:bottom w:val="none" w:sz="0" w:space="0" w:color="auto"/>
        <w:right w:val="none" w:sz="0" w:space="0" w:color="auto"/>
      </w:divBdr>
    </w:div>
    <w:div w:id="836458525">
      <w:marLeft w:val="0"/>
      <w:marRight w:val="0"/>
      <w:marTop w:val="0"/>
      <w:marBottom w:val="180"/>
      <w:divBdr>
        <w:top w:val="none" w:sz="0" w:space="0" w:color="auto"/>
        <w:left w:val="none" w:sz="0" w:space="0" w:color="auto"/>
        <w:bottom w:val="none" w:sz="0" w:space="0" w:color="auto"/>
        <w:right w:val="none" w:sz="0" w:space="0" w:color="auto"/>
      </w:divBdr>
    </w:div>
    <w:div w:id="836576839">
      <w:marLeft w:val="0"/>
      <w:marRight w:val="0"/>
      <w:marTop w:val="100"/>
      <w:marBottom w:val="0"/>
      <w:divBdr>
        <w:top w:val="none" w:sz="0" w:space="0" w:color="auto"/>
        <w:left w:val="none" w:sz="0" w:space="0" w:color="auto"/>
        <w:bottom w:val="none" w:sz="0" w:space="0" w:color="auto"/>
        <w:right w:val="none" w:sz="0" w:space="0" w:color="auto"/>
      </w:divBdr>
    </w:div>
    <w:div w:id="837426407">
      <w:marLeft w:val="0"/>
      <w:marRight w:val="0"/>
      <w:marTop w:val="0"/>
      <w:marBottom w:val="180"/>
      <w:divBdr>
        <w:top w:val="none" w:sz="0" w:space="0" w:color="auto"/>
        <w:left w:val="none" w:sz="0" w:space="0" w:color="auto"/>
        <w:bottom w:val="none" w:sz="0" w:space="0" w:color="auto"/>
        <w:right w:val="none" w:sz="0" w:space="0" w:color="auto"/>
      </w:divBdr>
    </w:div>
    <w:div w:id="838009479">
      <w:marLeft w:val="0"/>
      <w:marRight w:val="0"/>
      <w:marTop w:val="0"/>
      <w:marBottom w:val="240"/>
      <w:divBdr>
        <w:top w:val="none" w:sz="0" w:space="0" w:color="auto"/>
        <w:left w:val="none" w:sz="0" w:space="0" w:color="auto"/>
        <w:bottom w:val="none" w:sz="0" w:space="0" w:color="auto"/>
        <w:right w:val="none" w:sz="0" w:space="0" w:color="auto"/>
      </w:divBdr>
    </w:div>
    <w:div w:id="838933932">
      <w:marLeft w:val="0"/>
      <w:marRight w:val="0"/>
      <w:marTop w:val="0"/>
      <w:marBottom w:val="180"/>
      <w:divBdr>
        <w:top w:val="none" w:sz="0" w:space="0" w:color="auto"/>
        <w:left w:val="none" w:sz="0" w:space="0" w:color="auto"/>
        <w:bottom w:val="none" w:sz="0" w:space="0" w:color="auto"/>
        <w:right w:val="none" w:sz="0" w:space="0" w:color="auto"/>
      </w:divBdr>
    </w:div>
    <w:div w:id="843400299">
      <w:marLeft w:val="0"/>
      <w:marRight w:val="0"/>
      <w:marTop w:val="0"/>
      <w:marBottom w:val="240"/>
      <w:divBdr>
        <w:top w:val="none" w:sz="0" w:space="0" w:color="auto"/>
        <w:left w:val="none" w:sz="0" w:space="0" w:color="auto"/>
        <w:bottom w:val="none" w:sz="0" w:space="0" w:color="auto"/>
        <w:right w:val="none" w:sz="0" w:space="0" w:color="auto"/>
      </w:divBdr>
    </w:div>
    <w:div w:id="850220991">
      <w:marLeft w:val="0"/>
      <w:marRight w:val="0"/>
      <w:marTop w:val="0"/>
      <w:marBottom w:val="180"/>
      <w:divBdr>
        <w:top w:val="none" w:sz="0" w:space="0" w:color="auto"/>
        <w:left w:val="none" w:sz="0" w:space="0" w:color="auto"/>
        <w:bottom w:val="none" w:sz="0" w:space="0" w:color="auto"/>
        <w:right w:val="none" w:sz="0" w:space="0" w:color="auto"/>
      </w:divBdr>
    </w:div>
    <w:div w:id="852185292">
      <w:marLeft w:val="0"/>
      <w:marRight w:val="0"/>
      <w:marTop w:val="0"/>
      <w:marBottom w:val="0"/>
      <w:divBdr>
        <w:top w:val="none" w:sz="0" w:space="0" w:color="auto"/>
        <w:left w:val="none" w:sz="0" w:space="0" w:color="auto"/>
        <w:bottom w:val="none" w:sz="0" w:space="0" w:color="auto"/>
        <w:right w:val="none" w:sz="0" w:space="0" w:color="auto"/>
      </w:divBdr>
      <w:divsChild>
        <w:div w:id="1424567000">
          <w:marLeft w:val="0"/>
          <w:marRight w:val="0"/>
          <w:marTop w:val="0"/>
          <w:marBottom w:val="0"/>
          <w:divBdr>
            <w:top w:val="none" w:sz="0" w:space="0" w:color="auto"/>
            <w:left w:val="none" w:sz="0" w:space="0" w:color="auto"/>
            <w:bottom w:val="none" w:sz="0" w:space="0" w:color="auto"/>
            <w:right w:val="none" w:sz="0" w:space="0" w:color="auto"/>
          </w:divBdr>
        </w:div>
      </w:divsChild>
    </w:div>
    <w:div w:id="853953806">
      <w:marLeft w:val="0"/>
      <w:marRight w:val="0"/>
      <w:marTop w:val="0"/>
      <w:marBottom w:val="240"/>
      <w:divBdr>
        <w:top w:val="none" w:sz="0" w:space="0" w:color="auto"/>
        <w:left w:val="none" w:sz="0" w:space="0" w:color="auto"/>
        <w:bottom w:val="none" w:sz="0" w:space="0" w:color="auto"/>
        <w:right w:val="none" w:sz="0" w:space="0" w:color="auto"/>
      </w:divBdr>
    </w:div>
    <w:div w:id="856700675">
      <w:marLeft w:val="0"/>
      <w:marRight w:val="0"/>
      <w:marTop w:val="0"/>
      <w:marBottom w:val="240"/>
      <w:divBdr>
        <w:top w:val="none" w:sz="0" w:space="0" w:color="auto"/>
        <w:left w:val="none" w:sz="0" w:space="0" w:color="auto"/>
        <w:bottom w:val="none" w:sz="0" w:space="0" w:color="auto"/>
        <w:right w:val="none" w:sz="0" w:space="0" w:color="auto"/>
      </w:divBdr>
    </w:div>
    <w:div w:id="860703705">
      <w:marLeft w:val="0"/>
      <w:marRight w:val="0"/>
      <w:marTop w:val="120"/>
      <w:marBottom w:val="120"/>
      <w:divBdr>
        <w:top w:val="none" w:sz="0" w:space="0" w:color="auto"/>
        <w:left w:val="none" w:sz="0" w:space="0" w:color="auto"/>
        <w:bottom w:val="none" w:sz="0" w:space="0" w:color="auto"/>
        <w:right w:val="none" w:sz="0" w:space="0" w:color="auto"/>
      </w:divBdr>
    </w:div>
    <w:div w:id="860704093">
      <w:marLeft w:val="0"/>
      <w:marRight w:val="0"/>
      <w:marTop w:val="0"/>
      <w:marBottom w:val="0"/>
      <w:divBdr>
        <w:top w:val="none" w:sz="0" w:space="0" w:color="auto"/>
        <w:left w:val="none" w:sz="0" w:space="0" w:color="auto"/>
        <w:bottom w:val="none" w:sz="0" w:space="0" w:color="auto"/>
        <w:right w:val="none" w:sz="0" w:space="0" w:color="auto"/>
      </w:divBdr>
    </w:div>
    <w:div w:id="861044314">
      <w:marLeft w:val="0"/>
      <w:marRight w:val="0"/>
      <w:marTop w:val="0"/>
      <w:marBottom w:val="0"/>
      <w:divBdr>
        <w:top w:val="none" w:sz="0" w:space="0" w:color="auto"/>
        <w:left w:val="none" w:sz="0" w:space="0" w:color="auto"/>
        <w:bottom w:val="none" w:sz="0" w:space="0" w:color="auto"/>
        <w:right w:val="none" w:sz="0" w:space="0" w:color="auto"/>
      </w:divBdr>
    </w:div>
    <w:div w:id="864946406">
      <w:marLeft w:val="0"/>
      <w:marRight w:val="0"/>
      <w:marTop w:val="0"/>
      <w:marBottom w:val="0"/>
      <w:divBdr>
        <w:top w:val="none" w:sz="0" w:space="0" w:color="auto"/>
        <w:left w:val="none" w:sz="0" w:space="0" w:color="auto"/>
        <w:bottom w:val="none" w:sz="0" w:space="0" w:color="auto"/>
        <w:right w:val="none" w:sz="0" w:space="0" w:color="auto"/>
      </w:divBdr>
    </w:div>
    <w:div w:id="865631747">
      <w:marLeft w:val="0"/>
      <w:marRight w:val="0"/>
      <w:marTop w:val="0"/>
      <w:marBottom w:val="240"/>
      <w:divBdr>
        <w:top w:val="none" w:sz="0" w:space="0" w:color="auto"/>
        <w:left w:val="none" w:sz="0" w:space="0" w:color="auto"/>
        <w:bottom w:val="none" w:sz="0" w:space="0" w:color="auto"/>
        <w:right w:val="none" w:sz="0" w:space="0" w:color="auto"/>
      </w:divBdr>
    </w:div>
    <w:div w:id="866212360">
      <w:marLeft w:val="0"/>
      <w:marRight w:val="0"/>
      <w:marTop w:val="0"/>
      <w:marBottom w:val="0"/>
      <w:divBdr>
        <w:top w:val="none" w:sz="0" w:space="0" w:color="auto"/>
        <w:left w:val="none" w:sz="0" w:space="0" w:color="auto"/>
        <w:bottom w:val="none" w:sz="0" w:space="0" w:color="auto"/>
        <w:right w:val="none" w:sz="0" w:space="0" w:color="auto"/>
      </w:divBdr>
      <w:divsChild>
        <w:div w:id="568344668">
          <w:marLeft w:val="0"/>
          <w:marRight w:val="0"/>
          <w:marTop w:val="0"/>
          <w:marBottom w:val="0"/>
          <w:divBdr>
            <w:top w:val="none" w:sz="0" w:space="0" w:color="auto"/>
            <w:left w:val="none" w:sz="0" w:space="0" w:color="auto"/>
            <w:bottom w:val="none" w:sz="0" w:space="0" w:color="auto"/>
            <w:right w:val="none" w:sz="0" w:space="0" w:color="auto"/>
          </w:divBdr>
        </w:div>
      </w:divsChild>
    </w:div>
    <w:div w:id="866262033">
      <w:marLeft w:val="0"/>
      <w:marRight w:val="0"/>
      <w:marTop w:val="0"/>
      <w:marBottom w:val="0"/>
      <w:divBdr>
        <w:top w:val="none" w:sz="0" w:space="0" w:color="auto"/>
        <w:left w:val="none" w:sz="0" w:space="0" w:color="auto"/>
        <w:bottom w:val="none" w:sz="0" w:space="0" w:color="auto"/>
        <w:right w:val="none" w:sz="0" w:space="0" w:color="auto"/>
      </w:divBdr>
    </w:div>
    <w:div w:id="866329197">
      <w:marLeft w:val="0"/>
      <w:marRight w:val="0"/>
      <w:marTop w:val="0"/>
      <w:marBottom w:val="0"/>
      <w:divBdr>
        <w:top w:val="none" w:sz="0" w:space="0" w:color="auto"/>
        <w:left w:val="none" w:sz="0" w:space="0" w:color="auto"/>
        <w:bottom w:val="none" w:sz="0" w:space="0" w:color="auto"/>
        <w:right w:val="none" w:sz="0" w:space="0" w:color="auto"/>
      </w:divBdr>
    </w:div>
    <w:div w:id="866874947">
      <w:marLeft w:val="0"/>
      <w:marRight w:val="0"/>
      <w:marTop w:val="0"/>
      <w:marBottom w:val="240"/>
      <w:divBdr>
        <w:top w:val="none" w:sz="0" w:space="0" w:color="auto"/>
        <w:left w:val="none" w:sz="0" w:space="0" w:color="auto"/>
        <w:bottom w:val="none" w:sz="0" w:space="0" w:color="auto"/>
        <w:right w:val="none" w:sz="0" w:space="0" w:color="auto"/>
      </w:divBdr>
    </w:div>
    <w:div w:id="870728629">
      <w:marLeft w:val="0"/>
      <w:marRight w:val="0"/>
      <w:marTop w:val="0"/>
      <w:marBottom w:val="0"/>
      <w:divBdr>
        <w:top w:val="none" w:sz="0" w:space="0" w:color="auto"/>
        <w:left w:val="none" w:sz="0" w:space="0" w:color="auto"/>
        <w:bottom w:val="none" w:sz="0" w:space="0" w:color="auto"/>
        <w:right w:val="none" w:sz="0" w:space="0" w:color="auto"/>
      </w:divBdr>
    </w:div>
    <w:div w:id="870917976">
      <w:marLeft w:val="0"/>
      <w:marRight w:val="0"/>
      <w:marTop w:val="0"/>
      <w:marBottom w:val="0"/>
      <w:divBdr>
        <w:top w:val="none" w:sz="0" w:space="0" w:color="auto"/>
        <w:left w:val="none" w:sz="0" w:space="0" w:color="auto"/>
        <w:bottom w:val="none" w:sz="0" w:space="0" w:color="auto"/>
        <w:right w:val="none" w:sz="0" w:space="0" w:color="auto"/>
      </w:divBdr>
    </w:div>
    <w:div w:id="876938661">
      <w:marLeft w:val="0"/>
      <w:marRight w:val="0"/>
      <w:marTop w:val="0"/>
      <w:marBottom w:val="0"/>
      <w:divBdr>
        <w:top w:val="none" w:sz="0" w:space="0" w:color="auto"/>
        <w:left w:val="none" w:sz="0" w:space="0" w:color="auto"/>
        <w:bottom w:val="none" w:sz="0" w:space="0" w:color="auto"/>
        <w:right w:val="none" w:sz="0" w:space="0" w:color="auto"/>
      </w:divBdr>
    </w:div>
    <w:div w:id="876939892">
      <w:marLeft w:val="0"/>
      <w:marRight w:val="0"/>
      <w:marTop w:val="0"/>
      <w:marBottom w:val="240"/>
      <w:divBdr>
        <w:top w:val="none" w:sz="0" w:space="0" w:color="auto"/>
        <w:left w:val="none" w:sz="0" w:space="0" w:color="auto"/>
        <w:bottom w:val="none" w:sz="0" w:space="0" w:color="auto"/>
        <w:right w:val="none" w:sz="0" w:space="0" w:color="auto"/>
      </w:divBdr>
    </w:div>
    <w:div w:id="876965011">
      <w:marLeft w:val="0"/>
      <w:marRight w:val="0"/>
      <w:marTop w:val="180"/>
      <w:marBottom w:val="180"/>
      <w:divBdr>
        <w:top w:val="none" w:sz="0" w:space="0" w:color="auto"/>
        <w:left w:val="none" w:sz="0" w:space="0" w:color="auto"/>
        <w:bottom w:val="none" w:sz="0" w:space="0" w:color="auto"/>
        <w:right w:val="none" w:sz="0" w:space="0" w:color="auto"/>
      </w:divBdr>
    </w:div>
    <w:div w:id="877205897">
      <w:marLeft w:val="0"/>
      <w:marRight w:val="0"/>
      <w:marTop w:val="0"/>
      <w:marBottom w:val="0"/>
      <w:divBdr>
        <w:top w:val="none" w:sz="0" w:space="0" w:color="auto"/>
        <w:left w:val="none" w:sz="0" w:space="0" w:color="auto"/>
        <w:bottom w:val="none" w:sz="0" w:space="0" w:color="auto"/>
        <w:right w:val="none" w:sz="0" w:space="0" w:color="auto"/>
      </w:divBdr>
    </w:div>
    <w:div w:id="881869485">
      <w:marLeft w:val="0"/>
      <w:marRight w:val="0"/>
      <w:marTop w:val="180"/>
      <w:marBottom w:val="180"/>
      <w:divBdr>
        <w:top w:val="none" w:sz="0" w:space="0" w:color="auto"/>
        <w:left w:val="none" w:sz="0" w:space="0" w:color="auto"/>
        <w:bottom w:val="none" w:sz="0" w:space="0" w:color="auto"/>
        <w:right w:val="none" w:sz="0" w:space="0" w:color="auto"/>
      </w:divBdr>
    </w:div>
    <w:div w:id="882248380">
      <w:marLeft w:val="0"/>
      <w:marRight w:val="0"/>
      <w:marTop w:val="0"/>
      <w:marBottom w:val="240"/>
      <w:divBdr>
        <w:top w:val="none" w:sz="0" w:space="0" w:color="auto"/>
        <w:left w:val="none" w:sz="0" w:space="0" w:color="auto"/>
        <w:bottom w:val="none" w:sz="0" w:space="0" w:color="auto"/>
        <w:right w:val="none" w:sz="0" w:space="0" w:color="auto"/>
      </w:divBdr>
    </w:div>
    <w:div w:id="883324058">
      <w:marLeft w:val="0"/>
      <w:marRight w:val="0"/>
      <w:marTop w:val="0"/>
      <w:marBottom w:val="0"/>
      <w:divBdr>
        <w:top w:val="none" w:sz="0" w:space="0" w:color="auto"/>
        <w:left w:val="none" w:sz="0" w:space="0" w:color="auto"/>
        <w:bottom w:val="none" w:sz="0" w:space="0" w:color="auto"/>
        <w:right w:val="none" w:sz="0" w:space="0" w:color="auto"/>
      </w:divBdr>
      <w:divsChild>
        <w:div w:id="1162621420">
          <w:marLeft w:val="0"/>
          <w:marRight w:val="0"/>
          <w:marTop w:val="0"/>
          <w:marBottom w:val="0"/>
          <w:divBdr>
            <w:top w:val="none" w:sz="0" w:space="0" w:color="auto"/>
            <w:left w:val="none" w:sz="0" w:space="0" w:color="auto"/>
            <w:bottom w:val="none" w:sz="0" w:space="0" w:color="auto"/>
            <w:right w:val="none" w:sz="0" w:space="0" w:color="auto"/>
          </w:divBdr>
        </w:div>
      </w:divsChild>
    </w:div>
    <w:div w:id="884760121">
      <w:marLeft w:val="0"/>
      <w:marRight w:val="0"/>
      <w:marTop w:val="100"/>
      <w:marBottom w:val="100"/>
      <w:divBdr>
        <w:top w:val="none" w:sz="0" w:space="0" w:color="auto"/>
        <w:left w:val="none" w:sz="0" w:space="0" w:color="auto"/>
        <w:bottom w:val="none" w:sz="0" w:space="0" w:color="auto"/>
        <w:right w:val="none" w:sz="0" w:space="0" w:color="auto"/>
      </w:divBdr>
    </w:div>
    <w:div w:id="887690941">
      <w:marLeft w:val="0"/>
      <w:marRight w:val="0"/>
      <w:marTop w:val="0"/>
      <w:marBottom w:val="0"/>
      <w:divBdr>
        <w:top w:val="none" w:sz="0" w:space="0" w:color="auto"/>
        <w:left w:val="none" w:sz="0" w:space="0" w:color="auto"/>
        <w:bottom w:val="none" w:sz="0" w:space="0" w:color="auto"/>
        <w:right w:val="none" w:sz="0" w:space="0" w:color="auto"/>
      </w:divBdr>
    </w:div>
    <w:div w:id="888686196">
      <w:marLeft w:val="0"/>
      <w:marRight w:val="0"/>
      <w:marTop w:val="0"/>
      <w:marBottom w:val="0"/>
      <w:divBdr>
        <w:top w:val="none" w:sz="0" w:space="0" w:color="auto"/>
        <w:left w:val="none" w:sz="0" w:space="0" w:color="auto"/>
        <w:bottom w:val="none" w:sz="0" w:space="0" w:color="auto"/>
        <w:right w:val="none" w:sz="0" w:space="0" w:color="auto"/>
      </w:divBdr>
      <w:divsChild>
        <w:div w:id="473136275">
          <w:marLeft w:val="0"/>
          <w:marRight w:val="0"/>
          <w:marTop w:val="0"/>
          <w:marBottom w:val="0"/>
          <w:divBdr>
            <w:top w:val="none" w:sz="0" w:space="0" w:color="auto"/>
            <w:left w:val="none" w:sz="0" w:space="0" w:color="auto"/>
            <w:bottom w:val="none" w:sz="0" w:space="0" w:color="auto"/>
            <w:right w:val="none" w:sz="0" w:space="0" w:color="auto"/>
          </w:divBdr>
        </w:div>
      </w:divsChild>
    </w:div>
    <w:div w:id="889074351">
      <w:marLeft w:val="0"/>
      <w:marRight w:val="0"/>
      <w:marTop w:val="0"/>
      <w:marBottom w:val="180"/>
      <w:divBdr>
        <w:top w:val="none" w:sz="0" w:space="0" w:color="auto"/>
        <w:left w:val="none" w:sz="0" w:space="0" w:color="auto"/>
        <w:bottom w:val="none" w:sz="0" w:space="0" w:color="auto"/>
        <w:right w:val="none" w:sz="0" w:space="0" w:color="auto"/>
      </w:divBdr>
    </w:div>
    <w:div w:id="892696553">
      <w:marLeft w:val="0"/>
      <w:marRight w:val="0"/>
      <w:marTop w:val="0"/>
      <w:marBottom w:val="0"/>
      <w:divBdr>
        <w:top w:val="none" w:sz="0" w:space="0" w:color="auto"/>
        <w:left w:val="none" w:sz="0" w:space="0" w:color="auto"/>
        <w:bottom w:val="none" w:sz="0" w:space="0" w:color="auto"/>
        <w:right w:val="none" w:sz="0" w:space="0" w:color="auto"/>
      </w:divBdr>
    </w:div>
    <w:div w:id="893469482">
      <w:marLeft w:val="0"/>
      <w:marRight w:val="0"/>
      <w:marTop w:val="0"/>
      <w:marBottom w:val="180"/>
      <w:divBdr>
        <w:top w:val="none" w:sz="0" w:space="0" w:color="auto"/>
        <w:left w:val="none" w:sz="0" w:space="0" w:color="auto"/>
        <w:bottom w:val="none" w:sz="0" w:space="0" w:color="auto"/>
        <w:right w:val="none" w:sz="0" w:space="0" w:color="auto"/>
      </w:divBdr>
    </w:div>
    <w:div w:id="895241027">
      <w:marLeft w:val="0"/>
      <w:marRight w:val="0"/>
      <w:marTop w:val="0"/>
      <w:marBottom w:val="240"/>
      <w:divBdr>
        <w:top w:val="none" w:sz="0" w:space="0" w:color="auto"/>
        <w:left w:val="none" w:sz="0" w:space="0" w:color="auto"/>
        <w:bottom w:val="none" w:sz="0" w:space="0" w:color="auto"/>
        <w:right w:val="none" w:sz="0" w:space="0" w:color="auto"/>
      </w:divBdr>
    </w:div>
    <w:div w:id="898443528">
      <w:marLeft w:val="0"/>
      <w:marRight w:val="0"/>
      <w:marTop w:val="0"/>
      <w:marBottom w:val="180"/>
      <w:divBdr>
        <w:top w:val="none" w:sz="0" w:space="0" w:color="auto"/>
        <w:left w:val="none" w:sz="0" w:space="0" w:color="auto"/>
        <w:bottom w:val="none" w:sz="0" w:space="0" w:color="auto"/>
        <w:right w:val="none" w:sz="0" w:space="0" w:color="auto"/>
      </w:divBdr>
    </w:div>
    <w:div w:id="900023582">
      <w:marLeft w:val="0"/>
      <w:marRight w:val="0"/>
      <w:marTop w:val="120"/>
      <w:marBottom w:val="120"/>
      <w:divBdr>
        <w:top w:val="none" w:sz="0" w:space="0" w:color="auto"/>
        <w:left w:val="none" w:sz="0" w:space="0" w:color="auto"/>
        <w:bottom w:val="none" w:sz="0" w:space="0" w:color="auto"/>
        <w:right w:val="none" w:sz="0" w:space="0" w:color="auto"/>
      </w:divBdr>
    </w:div>
    <w:div w:id="901600004">
      <w:marLeft w:val="0"/>
      <w:marRight w:val="0"/>
      <w:marTop w:val="180"/>
      <w:marBottom w:val="180"/>
      <w:divBdr>
        <w:top w:val="none" w:sz="0" w:space="0" w:color="auto"/>
        <w:left w:val="none" w:sz="0" w:space="0" w:color="auto"/>
        <w:bottom w:val="none" w:sz="0" w:space="0" w:color="auto"/>
        <w:right w:val="none" w:sz="0" w:space="0" w:color="auto"/>
      </w:divBdr>
    </w:div>
    <w:div w:id="903026696">
      <w:marLeft w:val="0"/>
      <w:marRight w:val="0"/>
      <w:marTop w:val="0"/>
      <w:marBottom w:val="0"/>
      <w:divBdr>
        <w:top w:val="none" w:sz="0" w:space="0" w:color="auto"/>
        <w:left w:val="none" w:sz="0" w:space="0" w:color="auto"/>
        <w:bottom w:val="none" w:sz="0" w:space="0" w:color="auto"/>
        <w:right w:val="none" w:sz="0" w:space="0" w:color="auto"/>
      </w:divBdr>
      <w:divsChild>
        <w:div w:id="39138212">
          <w:marLeft w:val="0"/>
          <w:marRight w:val="0"/>
          <w:marTop w:val="0"/>
          <w:marBottom w:val="0"/>
          <w:divBdr>
            <w:top w:val="none" w:sz="0" w:space="0" w:color="auto"/>
            <w:left w:val="none" w:sz="0" w:space="0" w:color="auto"/>
            <w:bottom w:val="none" w:sz="0" w:space="0" w:color="auto"/>
            <w:right w:val="none" w:sz="0" w:space="0" w:color="auto"/>
          </w:divBdr>
        </w:div>
      </w:divsChild>
    </w:div>
    <w:div w:id="903026831">
      <w:marLeft w:val="0"/>
      <w:marRight w:val="0"/>
      <w:marTop w:val="180"/>
      <w:marBottom w:val="180"/>
      <w:divBdr>
        <w:top w:val="none" w:sz="0" w:space="0" w:color="auto"/>
        <w:left w:val="none" w:sz="0" w:space="0" w:color="auto"/>
        <w:bottom w:val="none" w:sz="0" w:space="0" w:color="auto"/>
        <w:right w:val="none" w:sz="0" w:space="0" w:color="auto"/>
      </w:divBdr>
    </w:div>
    <w:div w:id="907573840">
      <w:marLeft w:val="0"/>
      <w:marRight w:val="0"/>
      <w:marTop w:val="0"/>
      <w:marBottom w:val="0"/>
      <w:divBdr>
        <w:top w:val="none" w:sz="0" w:space="0" w:color="auto"/>
        <w:left w:val="none" w:sz="0" w:space="0" w:color="auto"/>
        <w:bottom w:val="none" w:sz="0" w:space="0" w:color="auto"/>
        <w:right w:val="none" w:sz="0" w:space="0" w:color="auto"/>
      </w:divBdr>
    </w:div>
    <w:div w:id="909967987">
      <w:marLeft w:val="0"/>
      <w:marRight w:val="0"/>
      <w:marTop w:val="0"/>
      <w:marBottom w:val="0"/>
      <w:divBdr>
        <w:top w:val="none" w:sz="0" w:space="0" w:color="auto"/>
        <w:left w:val="none" w:sz="0" w:space="0" w:color="auto"/>
        <w:bottom w:val="none" w:sz="0" w:space="0" w:color="auto"/>
        <w:right w:val="none" w:sz="0" w:space="0" w:color="auto"/>
      </w:divBdr>
    </w:div>
    <w:div w:id="910234562">
      <w:marLeft w:val="0"/>
      <w:marRight w:val="0"/>
      <w:marTop w:val="0"/>
      <w:marBottom w:val="240"/>
      <w:divBdr>
        <w:top w:val="none" w:sz="0" w:space="0" w:color="auto"/>
        <w:left w:val="none" w:sz="0" w:space="0" w:color="auto"/>
        <w:bottom w:val="none" w:sz="0" w:space="0" w:color="auto"/>
        <w:right w:val="none" w:sz="0" w:space="0" w:color="auto"/>
      </w:divBdr>
    </w:div>
    <w:div w:id="910773115">
      <w:marLeft w:val="0"/>
      <w:marRight w:val="0"/>
      <w:marTop w:val="0"/>
      <w:marBottom w:val="180"/>
      <w:divBdr>
        <w:top w:val="none" w:sz="0" w:space="0" w:color="auto"/>
        <w:left w:val="none" w:sz="0" w:space="0" w:color="auto"/>
        <w:bottom w:val="none" w:sz="0" w:space="0" w:color="auto"/>
        <w:right w:val="none" w:sz="0" w:space="0" w:color="auto"/>
      </w:divBdr>
    </w:div>
    <w:div w:id="911890927">
      <w:marLeft w:val="0"/>
      <w:marRight w:val="0"/>
      <w:marTop w:val="0"/>
      <w:marBottom w:val="0"/>
      <w:divBdr>
        <w:top w:val="none" w:sz="0" w:space="0" w:color="auto"/>
        <w:left w:val="none" w:sz="0" w:space="0" w:color="auto"/>
        <w:bottom w:val="none" w:sz="0" w:space="0" w:color="auto"/>
        <w:right w:val="none" w:sz="0" w:space="0" w:color="auto"/>
      </w:divBdr>
    </w:div>
    <w:div w:id="913782934">
      <w:marLeft w:val="0"/>
      <w:marRight w:val="0"/>
      <w:marTop w:val="0"/>
      <w:marBottom w:val="0"/>
      <w:divBdr>
        <w:top w:val="none" w:sz="0" w:space="0" w:color="auto"/>
        <w:left w:val="none" w:sz="0" w:space="0" w:color="auto"/>
        <w:bottom w:val="none" w:sz="0" w:space="0" w:color="auto"/>
        <w:right w:val="none" w:sz="0" w:space="0" w:color="auto"/>
      </w:divBdr>
      <w:divsChild>
        <w:div w:id="448399388">
          <w:marLeft w:val="0"/>
          <w:marRight w:val="0"/>
          <w:marTop w:val="0"/>
          <w:marBottom w:val="0"/>
          <w:divBdr>
            <w:top w:val="none" w:sz="0" w:space="0" w:color="auto"/>
            <w:left w:val="none" w:sz="0" w:space="0" w:color="auto"/>
            <w:bottom w:val="none" w:sz="0" w:space="0" w:color="auto"/>
            <w:right w:val="none" w:sz="0" w:space="0" w:color="auto"/>
          </w:divBdr>
        </w:div>
      </w:divsChild>
    </w:div>
    <w:div w:id="915551007">
      <w:marLeft w:val="0"/>
      <w:marRight w:val="0"/>
      <w:marTop w:val="0"/>
      <w:marBottom w:val="0"/>
      <w:divBdr>
        <w:top w:val="none" w:sz="0" w:space="0" w:color="auto"/>
        <w:left w:val="none" w:sz="0" w:space="0" w:color="auto"/>
        <w:bottom w:val="none" w:sz="0" w:space="0" w:color="auto"/>
        <w:right w:val="none" w:sz="0" w:space="0" w:color="auto"/>
      </w:divBdr>
    </w:div>
    <w:div w:id="916475887">
      <w:marLeft w:val="0"/>
      <w:marRight w:val="0"/>
      <w:marTop w:val="0"/>
      <w:marBottom w:val="240"/>
      <w:divBdr>
        <w:top w:val="none" w:sz="0" w:space="0" w:color="auto"/>
        <w:left w:val="none" w:sz="0" w:space="0" w:color="auto"/>
        <w:bottom w:val="none" w:sz="0" w:space="0" w:color="auto"/>
        <w:right w:val="none" w:sz="0" w:space="0" w:color="auto"/>
      </w:divBdr>
    </w:div>
    <w:div w:id="916597364">
      <w:marLeft w:val="0"/>
      <w:marRight w:val="0"/>
      <w:marTop w:val="0"/>
      <w:marBottom w:val="0"/>
      <w:divBdr>
        <w:top w:val="none" w:sz="0" w:space="0" w:color="auto"/>
        <w:left w:val="none" w:sz="0" w:space="0" w:color="auto"/>
        <w:bottom w:val="none" w:sz="0" w:space="0" w:color="auto"/>
        <w:right w:val="none" w:sz="0" w:space="0" w:color="auto"/>
      </w:divBdr>
      <w:divsChild>
        <w:div w:id="1979140366">
          <w:marLeft w:val="0"/>
          <w:marRight w:val="0"/>
          <w:marTop w:val="0"/>
          <w:marBottom w:val="0"/>
          <w:divBdr>
            <w:top w:val="none" w:sz="0" w:space="0" w:color="auto"/>
            <w:left w:val="none" w:sz="0" w:space="0" w:color="auto"/>
            <w:bottom w:val="none" w:sz="0" w:space="0" w:color="auto"/>
            <w:right w:val="none" w:sz="0" w:space="0" w:color="auto"/>
          </w:divBdr>
        </w:div>
      </w:divsChild>
    </w:div>
    <w:div w:id="916785366">
      <w:marLeft w:val="0"/>
      <w:marRight w:val="0"/>
      <w:marTop w:val="180"/>
      <w:marBottom w:val="180"/>
      <w:divBdr>
        <w:top w:val="none" w:sz="0" w:space="0" w:color="auto"/>
        <w:left w:val="none" w:sz="0" w:space="0" w:color="auto"/>
        <w:bottom w:val="none" w:sz="0" w:space="0" w:color="auto"/>
        <w:right w:val="none" w:sz="0" w:space="0" w:color="auto"/>
      </w:divBdr>
    </w:div>
    <w:div w:id="916939600">
      <w:marLeft w:val="0"/>
      <w:marRight w:val="0"/>
      <w:marTop w:val="120"/>
      <w:marBottom w:val="240"/>
      <w:divBdr>
        <w:top w:val="none" w:sz="0" w:space="0" w:color="auto"/>
        <w:left w:val="none" w:sz="0" w:space="0" w:color="auto"/>
        <w:bottom w:val="none" w:sz="0" w:space="0" w:color="auto"/>
        <w:right w:val="none" w:sz="0" w:space="0" w:color="auto"/>
      </w:divBdr>
    </w:div>
    <w:div w:id="918977974">
      <w:marLeft w:val="0"/>
      <w:marRight w:val="0"/>
      <w:marTop w:val="0"/>
      <w:marBottom w:val="0"/>
      <w:divBdr>
        <w:top w:val="none" w:sz="0" w:space="0" w:color="auto"/>
        <w:left w:val="none" w:sz="0" w:space="0" w:color="auto"/>
        <w:bottom w:val="none" w:sz="0" w:space="0" w:color="auto"/>
        <w:right w:val="none" w:sz="0" w:space="0" w:color="auto"/>
      </w:divBdr>
    </w:div>
    <w:div w:id="919563810">
      <w:marLeft w:val="0"/>
      <w:marRight w:val="0"/>
      <w:marTop w:val="0"/>
      <w:marBottom w:val="0"/>
      <w:divBdr>
        <w:top w:val="none" w:sz="0" w:space="0" w:color="auto"/>
        <w:left w:val="none" w:sz="0" w:space="0" w:color="auto"/>
        <w:bottom w:val="none" w:sz="0" w:space="0" w:color="auto"/>
        <w:right w:val="none" w:sz="0" w:space="0" w:color="auto"/>
      </w:divBdr>
    </w:div>
    <w:div w:id="919950843">
      <w:marLeft w:val="0"/>
      <w:marRight w:val="0"/>
      <w:marTop w:val="0"/>
      <w:marBottom w:val="0"/>
      <w:divBdr>
        <w:top w:val="none" w:sz="0" w:space="0" w:color="auto"/>
        <w:left w:val="none" w:sz="0" w:space="0" w:color="auto"/>
        <w:bottom w:val="none" w:sz="0" w:space="0" w:color="auto"/>
        <w:right w:val="none" w:sz="0" w:space="0" w:color="auto"/>
      </w:divBdr>
      <w:divsChild>
        <w:div w:id="1971980003">
          <w:marLeft w:val="0"/>
          <w:marRight w:val="0"/>
          <w:marTop w:val="0"/>
          <w:marBottom w:val="0"/>
          <w:divBdr>
            <w:top w:val="none" w:sz="0" w:space="0" w:color="auto"/>
            <w:left w:val="none" w:sz="0" w:space="0" w:color="auto"/>
            <w:bottom w:val="none" w:sz="0" w:space="0" w:color="auto"/>
            <w:right w:val="none" w:sz="0" w:space="0" w:color="auto"/>
          </w:divBdr>
        </w:div>
      </w:divsChild>
    </w:div>
    <w:div w:id="921255300">
      <w:marLeft w:val="0"/>
      <w:marRight w:val="0"/>
      <w:marTop w:val="120"/>
      <w:marBottom w:val="120"/>
      <w:divBdr>
        <w:top w:val="none" w:sz="0" w:space="0" w:color="auto"/>
        <w:left w:val="none" w:sz="0" w:space="0" w:color="auto"/>
        <w:bottom w:val="none" w:sz="0" w:space="0" w:color="auto"/>
        <w:right w:val="none" w:sz="0" w:space="0" w:color="auto"/>
      </w:divBdr>
    </w:div>
    <w:div w:id="922225011">
      <w:marLeft w:val="0"/>
      <w:marRight w:val="0"/>
      <w:marTop w:val="0"/>
      <w:marBottom w:val="180"/>
      <w:divBdr>
        <w:top w:val="none" w:sz="0" w:space="0" w:color="auto"/>
        <w:left w:val="none" w:sz="0" w:space="0" w:color="auto"/>
        <w:bottom w:val="none" w:sz="0" w:space="0" w:color="auto"/>
        <w:right w:val="none" w:sz="0" w:space="0" w:color="auto"/>
      </w:divBdr>
    </w:div>
    <w:div w:id="923685334">
      <w:marLeft w:val="0"/>
      <w:marRight w:val="0"/>
      <w:marTop w:val="0"/>
      <w:marBottom w:val="0"/>
      <w:divBdr>
        <w:top w:val="none" w:sz="0" w:space="0" w:color="auto"/>
        <w:left w:val="none" w:sz="0" w:space="0" w:color="auto"/>
        <w:bottom w:val="none" w:sz="0" w:space="0" w:color="auto"/>
        <w:right w:val="none" w:sz="0" w:space="0" w:color="auto"/>
      </w:divBdr>
    </w:div>
    <w:div w:id="924339142">
      <w:marLeft w:val="0"/>
      <w:marRight w:val="0"/>
      <w:marTop w:val="0"/>
      <w:marBottom w:val="0"/>
      <w:divBdr>
        <w:top w:val="none" w:sz="0" w:space="0" w:color="auto"/>
        <w:left w:val="none" w:sz="0" w:space="0" w:color="auto"/>
        <w:bottom w:val="none" w:sz="0" w:space="0" w:color="auto"/>
        <w:right w:val="none" w:sz="0" w:space="0" w:color="auto"/>
      </w:divBdr>
      <w:divsChild>
        <w:div w:id="1614021413">
          <w:marLeft w:val="0"/>
          <w:marRight w:val="0"/>
          <w:marTop w:val="0"/>
          <w:marBottom w:val="0"/>
          <w:divBdr>
            <w:top w:val="none" w:sz="0" w:space="0" w:color="auto"/>
            <w:left w:val="none" w:sz="0" w:space="0" w:color="auto"/>
            <w:bottom w:val="none" w:sz="0" w:space="0" w:color="auto"/>
            <w:right w:val="none" w:sz="0" w:space="0" w:color="auto"/>
          </w:divBdr>
        </w:div>
      </w:divsChild>
    </w:div>
    <w:div w:id="925459856">
      <w:marLeft w:val="0"/>
      <w:marRight w:val="0"/>
      <w:marTop w:val="0"/>
      <w:marBottom w:val="240"/>
      <w:divBdr>
        <w:top w:val="none" w:sz="0" w:space="0" w:color="auto"/>
        <w:left w:val="none" w:sz="0" w:space="0" w:color="auto"/>
        <w:bottom w:val="none" w:sz="0" w:space="0" w:color="auto"/>
        <w:right w:val="none" w:sz="0" w:space="0" w:color="auto"/>
      </w:divBdr>
    </w:div>
    <w:div w:id="926773022">
      <w:marLeft w:val="0"/>
      <w:marRight w:val="0"/>
      <w:marTop w:val="0"/>
      <w:marBottom w:val="240"/>
      <w:divBdr>
        <w:top w:val="none" w:sz="0" w:space="0" w:color="auto"/>
        <w:left w:val="none" w:sz="0" w:space="0" w:color="auto"/>
        <w:bottom w:val="none" w:sz="0" w:space="0" w:color="auto"/>
        <w:right w:val="none" w:sz="0" w:space="0" w:color="auto"/>
      </w:divBdr>
    </w:div>
    <w:div w:id="928805307">
      <w:marLeft w:val="0"/>
      <w:marRight w:val="0"/>
      <w:marTop w:val="0"/>
      <w:marBottom w:val="0"/>
      <w:divBdr>
        <w:top w:val="none" w:sz="0" w:space="0" w:color="auto"/>
        <w:left w:val="none" w:sz="0" w:space="0" w:color="auto"/>
        <w:bottom w:val="none" w:sz="0" w:space="0" w:color="auto"/>
        <w:right w:val="none" w:sz="0" w:space="0" w:color="auto"/>
      </w:divBdr>
    </w:div>
    <w:div w:id="930161999">
      <w:marLeft w:val="0"/>
      <w:marRight w:val="0"/>
      <w:marTop w:val="0"/>
      <w:marBottom w:val="0"/>
      <w:divBdr>
        <w:top w:val="none" w:sz="0" w:space="0" w:color="auto"/>
        <w:left w:val="none" w:sz="0" w:space="0" w:color="auto"/>
        <w:bottom w:val="none" w:sz="0" w:space="0" w:color="auto"/>
        <w:right w:val="none" w:sz="0" w:space="0" w:color="auto"/>
      </w:divBdr>
    </w:div>
    <w:div w:id="933435956">
      <w:marLeft w:val="0"/>
      <w:marRight w:val="0"/>
      <w:marTop w:val="0"/>
      <w:marBottom w:val="180"/>
      <w:divBdr>
        <w:top w:val="none" w:sz="0" w:space="0" w:color="auto"/>
        <w:left w:val="none" w:sz="0" w:space="0" w:color="auto"/>
        <w:bottom w:val="none" w:sz="0" w:space="0" w:color="auto"/>
        <w:right w:val="none" w:sz="0" w:space="0" w:color="auto"/>
      </w:divBdr>
    </w:div>
    <w:div w:id="934022232">
      <w:marLeft w:val="0"/>
      <w:marRight w:val="0"/>
      <w:marTop w:val="0"/>
      <w:marBottom w:val="240"/>
      <w:divBdr>
        <w:top w:val="none" w:sz="0" w:space="0" w:color="auto"/>
        <w:left w:val="none" w:sz="0" w:space="0" w:color="auto"/>
        <w:bottom w:val="none" w:sz="0" w:space="0" w:color="auto"/>
        <w:right w:val="none" w:sz="0" w:space="0" w:color="auto"/>
      </w:divBdr>
    </w:div>
    <w:div w:id="936251368">
      <w:marLeft w:val="0"/>
      <w:marRight w:val="0"/>
      <w:marTop w:val="0"/>
      <w:marBottom w:val="240"/>
      <w:divBdr>
        <w:top w:val="none" w:sz="0" w:space="0" w:color="auto"/>
        <w:left w:val="none" w:sz="0" w:space="0" w:color="auto"/>
        <w:bottom w:val="none" w:sz="0" w:space="0" w:color="auto"/>
        <w:right w:val="none" w:sz="0" w:space="0" w:color="auto"/>
      </w:divBdr>
    </w:div>
    <w:div w:id="937256536">
      <w:marLeft w:val="0"/>
      <w:marRight w:val="0"/>
      <w:marTop w:val="0"/>
      <w:marBottom w:val="240"/>
      <w:divBdr>
        <w:top w:val="none" w:sz="0" w:space="0" w:color="auto"/>
        <w:left w:val="none" w:sz="0" w:space="0" w:color="auto"/>
        <w:bottom w:val="none" w:sz="0" w:space="0" w:color="auto"/>
        <w:right w:val="none" w:sz="0" w:space="0" w:color="auto"/>
      </w:divBdr>
    </w:div>
    <w:div w:id="938833200">
      <w:marLeft w:val="0"/>
      <w:marRight w:val="0"/>
      <w:marTop w:val="0"/>
      <w:marBottom w:val="180"/>
      <w:divBdr>
        <w:top w:val="none" w:sz="0" w:space="0" w:color="auto"/>
        <w:left w:val="none" w:sz="0" w:space="0" w:color="auto"/>
        <w:bottom w:val="none" w:sz="0" w:space="0" w:color="auto"/>
        <w:right w:val="none" w:sz="0" w:space="0" w:color="auto"/>
      </w:divBdr>
    </w:div>
    <w:div w:id="938945791">
      <w:marLeft w:val="0"/>
      <w:marRight w:val="0"/>
      <w:marTop w:val="0"/>
      <w:marBottom w:val="0"/>
      <w:divBdr>
        <w:top w:val="none" w:sz="0" w:space="0" w:color="auto"/>
        <w:left w:val="none" w:sz="0" w:space="0" w:color="auto"/>
        <w:bottom w:val="none" w:sz="0" w:space="0" w:color="auto"/>
        <w:right w:val="none" w:sz="0" w:space="0" w:color="auto"/>
      </w:divBdr>
    </w:div>
    <w:div w:id="942420039">
      <w:marLeft w:val="0"/>
      <w:marRight w:val="0"/>
      <w:marTop w:val="0"/>
      <w:marBottom w:val="0"/>
      <w:divBdr>
        <w:top w:val="none" w:sz="0" w:space="0" w:color="auto"/>
        <w:left w:val="none" w:sz="0" w:space="0" w:color="auto"/>
        <w:bottom w:val="none" w:sz="0" w:space="0" w:color="auto"/>
        <w:right w:val="none" w:sz="0" w:space="0" w:color="auto"/>
      </w:divBdr>
    </w:div>
    <w:div w:id="943153395">
      <w:marLeft w:val="0"/>
      <w:marRight w:val="0"/>
      <w:marTop w:val="0"/>
      <w:marBottom w:val="240"/>
      <w:divBdr>
        <w:top w:val="none" w:sz="0" w:space="0" w:color="auto"/>
        <w:left w:val="none" w:sz="0" w:space="0" w:color="auto"/>
        <w:bottom w:val="none" w:sz="0" w:space="0" w:color="auto"/>
        <w:right w:val="none" w:sz="0" w:space="0" w:color="auto"/>
      </w:divBdr>
    </w:div>
    <w:div w:id="943534711">
      <w:marLeft w:val="0"/>
      <w:marRight w:val="0"/>
      <w:marTop w:val="0"/>
      <w:marBottom w:val="0"/>
      <w:divBdr>
        <w:top w:val="none" w:sz="0" w:space="0" w:color="auto"/>
        <w:left w:val="none" w:sz="0" w:space="0" w:color="auto"/>
        <w:bottom w:val="none" w:sz="0" w:space="0" w:color="auto"/>
        <w:right w:val="none" w:sz="0" w:space="0" w:color="auto"/>
      </w:divBdr>
    </w:div>
    <w:div w:id="944656997">
      <w:marLeft w:val="0"/>
      <w:marRight w:val="0"/>
      <w:marTop w:val="120"/>
      <w:marBottom w:val="120"/>
      <w:divBdr>
        <w:top w:val="none" w:sz="0" w:space="0" w:color="auto"/>
        <w:left w:val="none" w:sz="0" w:space="0" w:color="auto"/>
        <w:bottom w:val="none" w:sz="0" w:space="0" w:color="auto"/>
        <w:right w:val="none" w:sz="0" w:space="0" w:color="auto"/>
      </w:divBdr>
    </w:div>
    <w:div w:id="946041640">
      <w:marLeft w:val="0"/>
      <w:marRight w:val="0"/>
      <w:marTop w:val="100"/>
      <w:marBottom w:val="0"/>
      <w:divBdr>
        <w:top w:val="none" w:sz="0" w:space="0" w:color="auto"/>
        <w:left w:val="none" w:sz="0" w:space="0" w:color="auto"/>
        <w:bottom w:val="none" w:sz="0" w:space="0" w:color="auto"/>
        <w:right w:val="none" w:sz="0" w:space="0" w:color="auto"/>
      </w:divBdr>
      <w:divsChild>
        <w:div w:id="1467158713">
          <w:marLeft w:val="0"/>
          <w:marRight w:val="0"/>
          <w:marTop w:val="0"/>
          <w:marBottom w:val="0"/>
          <w:divBdr>
            <w:top w:val="none" w:sz="0" w:space="0" w:color="auto"/>
            <w:left w:val="none" w:sz="0" w:space="0" w:color="auto"/>
            <w:bottom w:val="none" w:sz="0" w:space="0" w:color="auto"/>
            <w:right w:val="none" w:sz="0" w:space="0" w:color="auto"/>
          </w:divBdr>
        </w:div>
        <w:div w:id="553927975">
          <w:marLeft w:val="0"/>
          <w:marRight w:val="0"/>
          <w:marTop w:val="0"/>
          <w:marBottom w:val="0"/>
          <w:divBdr>
            <w:top w:val="none" w:sz="0" w:space="0" w:color="auto"/>
            <w:left w:val="none" w:sz="0" w:space="0" w:color="auto"/>
            <w:bottom w:val="none" w:sz="0" w:space="0" w:color="auto"/>
            <w:right w:val="none" w:sz="0" w:space="0" w:color="auto"/>
          </w:divBdr>
        </w:div>
        <w:div w:id="186602560">
          <w:marLeft w:val="0"/>
          <w:marRight w:val="0"/>
          <w:marTop w:val="0"/>
          <w:marBottom w:val="0"/>
          <w:divBdr>
            <w:top w:val="none" w:sz="0" w:space="0" w:color="auto"/>
            <w:left w:val="none" w:sz="0" w:space="0" w:color="auto"/>
            <w:bottom w:val="none" w:sz="0" w:space="0" w:color="auto"/>
            <w:right w:val="none" w:sz="0" w:space="0" w:color="auto"/>
          </w:divBdr>
        </w:div>
      </w:divsChild>
    </w:div>
    <w:div w:id="947005981">
      <w:marLeft w:val="0"/>
      <w:marRight w:val="0"/>
      <w:marTop w:val="120"/>
      <w:marBottom w:val="120"/>
      <w:divBdr>
        <w:top w:val="none" w:sz="0" w:space="0" w:color="auto"/>
        <w:left w:val="none" w:sz="0" w:space="0" w:color="auto"/>
        <w:bottom w:val="none" w:sz="0" w:space="0" w:color="auto"/>
        <w:right w:val="none" w:sz="0" w:space="0" w:color="auto"/>
      </w:divBdr>
    </w:div>
    <w:div w:id="948511090">
      <w:marLeft w:val="0"/>
      <w:marRight w:val="0"/>
      <w:marTop w:val="0"/>
      <w:marBottom w:val="180"/>
      <w:divBdr>
        <w:top w:val="none" w:sz="0" w:space="0" w:color="auto"/>
        <w:left w:val="none" w:sz="0" w:space="0" w:color="auto"/>
        <w:bottom w:val="none" w:sz="0" w:space="0" w:color="auto"/>
        <w:right w:val="none" w:sz="0" w:space="0" w:color="auto"/>
      </w:divBdr>
    </w:div>
    <w:div w:id="948662148">
      <w:marLeft w:val="0"/>
      <w:marRight w:val="0"/>
      <w:marTop w:val="0"/>
      <w:marBottom w:val="0"/>
      <w:divBdr>
        <w:top w:val="none" w:sz="0" w:space="0" w:color="auto"/>
        <w:left w:val="none" w:sz="0" w:space="0" w:color="auto"/>
        <w:bottom w:val="none" w:sz="0" w:space="0" w:color="auto"/>
        <w:right w:val="none" w:sz="0" w:space="0" w:color="auto"/>
      </w:divBdr>
    </w:div>
    <w:div w:id="949355902">
      <w:marLeft w:val="0"/>
      <w:marRight w:val="0"/>
      <w:marTop w:val="0"/>
      <w:marBottom w:val="0"/>
      <w:divBdr>
        <w:top w:val="none" w:sz="0" w:space="0" w:color="auto"/>
        <w:left w:val="none" w:sz="0" w:space="0" w:color="auto"/>
        <w:bottom w:val="none" w:sz="0" w:space="0" w:color="auto"/>
        <w:right w:val="none" w:sz="0" w:space="0" w:color="auto"/>
      </w:divBdr>
      <w:divsChild>
        <w:div w:id="1633897445">
          <w:marLeft w:val="0"/>
          <w:marRight w:val="0"/>
          <w:marTop w:val="0"/>
          <w:marBottom w:val="0"/>
          <w:divBdr>
            <w:top w:val="none" w:sz="0" w:space="0" w:color="auto"/>
            <w:left w:val="none" w:sz="0" w:space="0" w:color="auto"/>
            <w:bottom w:val="none" w:sz="0" w:space="0" w:color="auto"/>
            <w:right w:val="none" w:sz="0" w:space="0" w:color="auto"/>
          </w:divBdr>
        </w:div>
      </w:divsChild>
    </w:div>
    <w:div w:id="950166804">
      <w:marLeft w:val="0"/>
      <w:marRight w:val="0"/>
      <w:marTop w:val="0"/>
      <w:marBottom w:val="0"/>
      <w:divBdr>
        <w:top w:val="none" w:sz="0" w:space="0" w:color="auto"/>
        <w:left w:val="none" w:sz="0" w:space="0" w:color="auto"/>
        <w:bottom w:val="none" w:sz="0" w:space="0" w:color="auto"/>
        <w:right w:val="none" w:sz="0" w:space="0" w:color="auto"/>
      </w:divBdr>
      <w:divsChild>
        <w:div w:id="1108231394">
          <w:marLeft w:val="0"/>
          <w:marRight w:val="0"/>
          <w:marTop w:val="0"/>
          <w:marBottom w:val="0"/>
          <w:divBdr>
            <w:top w:val="none" w:sz="0" w:space="0" w:color="auto"/>
            <w:left w:val="none" w:sz="0" w:space="0" w:color="auto"/>
            <w:bottom w:val="none" w:sz="0" w:space="0" w:color="auto"/>
            <w:right w:val="none" w:sz="0" w:space="0" w:color="auto"/>
          </w:divBdr>
        </w:div>
      </w:divsChild>
    </w:div>
    <w:div w:id="951590715">
      <w:marLeft w:val="0"/>
      <w:marRight w:val="0"/>
      <w:marTop w:val="0"/>
      <w:marBottom w:val="0"/>
      <w:divBdr>
        <w:top w:val="none" w:sz="0" w:space="0" w:color="auto"/>
        <w:left w:val="none" w:sz="0" w:space="0" w:color="auto"/>
        <w:bottom w:val="none" w:sz="0" w:space="0" w:color="auto"/>
        <w:right w:val="none" w:sz="0" w:space="0" w:color="auto"/>
      </w:divBdr>
      <w:divsChild>
        <w:div w:id="344014287">
          <w:marLeft w:val="0"/>
          <w:marRight w:val="0"/>
          <w:marTop w:val="0"/>
          <w:marBottom w:val="0"/>
          <w:divBdr>
            <w:top w:val="none" w:sz="0" w:space="0" w:color="auto"/>
            <w:left w:val="none" w:sz="0" w:space="0" w:color="auto"/>
            <w:bottom w:val="none" w:sz="0" w:space="0" w:color="auto"/>
            <w:right w:val="none" w:sz="0" w:space="0" w:color="auto"/>
          </w:divBdr>
        </w:div>
      </w:divsChild>
    </w:div>
    <w:div w:id="953099209">
      <w:marLeft w:val="0"/>
      <w:marRight w:val="0"/>
      <w:marTop w:val="0"/>
      <w:marBottom w:val="0"/>
      <w:divBdr>
        <w:top w:val="none" w:sz="0" w:space="0" w:color="auto"/>
        <w:left w:val="none" w:sz="0" w:space="0" w:color="auto"/>
        <w:bottom w:val="none" w:sz="0" w:space="0" w:color="auto"/>
        <w:right w:val="none" w:sz="0" w:space="0" w:color="auto"/>
      </w:divBdr>
      <w:divsChild>
        <w:div w:id="1977880228">
          <w:marLeft w:val="0"/>
          <w:marRight w:val="0"/>
          <w:marTop w:val="0"/>
          <w:marBottom w:val="0"/>
          <w:divBdr>
            <w:top w:val="none" w:sz="0" w:space="0" w:color="auto"/>
            <w:left w:val="none" w:sz="0" w:space="0" w:color="auto"/>
            <w:bottom w:val="none" w:sz="0" w:space="0" w:color="auto"/>
            <w:right w:val="none" w:sz="0" w:space="0" w:color="auto"/>
          </w:divBdr>
        </w:div>
      </w:divsChild>
    </w:div>
    <w:div w:id="953177290">
      <w:marLeft w:val="0"/>
      <w:marRight w:val="0"/>
      <w:marTop w:val="0"/>
      <w:marBottom w:val="240"/>
      <w:divBdr>
        <w:top w:val="none" w:sz="0" w:space="0" w:color="auto"/>
        <w:left w:val="none" w:sz="0" w:space="0" w:color="auto"/>
        <w:bottom w:val="none" w:sz="0" w:space="0" w:color="auto"/>
        <w:right w:val="none" w:sz="0" w:space="0" w:color="auto"/>
      </w:divBdr>
    </w:div>
    <w:div w:id="953634751">
      <w:marLeft w:val="0"/>
      <w:marRight w:val="0"/>
      <w:marTop w:val="0"/>
      <w:marBottom w:val="0"/>
      <w:divBdr>
        <w:top w:val="none" w:sz="0" w:space="0" w:color="auto"/>
        <w:left w:val="none" w:sz="0" w:space="0" w:color="auto"/>
        <w:bottom w:val="none" w:sz="0" w:space="0" w:color="auto"/>
        <w:right w:val="none" w:sz="0" w:space="0" w:color="auto"/>
      </w:divBdr>
    </w:div>
    <w:div w:id="955136732">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180"/>
      <w:marBottom w:val="180"/>
      <w:divBdr>
        <w:top w:val="none" w:sz="0" w:space="0" w:color="auto"/>
        <w:left w:val="none" w:sz="0" w:space="0" w:color="auto"/>
        <w:bottom w:val="none" w:sz="0" w:space="0" w:color="auto"/>
        <w:right w:val="none" w:sz="0" w:space="0" w:color="auto"/>
      </w:divBdr>
    </w:div>
    <w:div w:id="957368114">
      <w:marLeft w:val="0"/>
      <w:marRight w:val="0"/>
      <w:marTop w:val="0"/>
      <w:marBottom w:val="0"/>
      <w:divBdr>
        <w:top w:val="none" w:sz="0" w:space="0" w:color="auto"/>
        <w:left w:val="none" w:sz="0" w:space="0" w:color="auto"/>
        <w:bottom w:val="none" w:sz="0" w:space="0" w:color="auto"/>
        <w:right w:val="none" w:sz="0" w:space="0" w:color="auto"/>
      </w:divBdr>
      <w:divsChild>
        <w:div w:id="761877511">
          <w:marLeft w:val="0"/>
          <w:marRight w:val="0"/>
          <w:marTop w:val="0"/>
          <w:marBottom w:val="0"/>
          <w:divBdr>
            <w:top w:val="none" w:sz="0" w:space="0" w:color="auto"/>
            <w:left w:val="none" w:sz="0" w:space="0" w:color="auto"/>
            <w:bottom w:val="none" w:sz="0" w:space="0" w:color="auto"/>
            <w:right w:val="none" w:sz="0" w:space="0" w:color="auto"/>
          </w:divBdr>
        </w:div>
      </w:divsChild>
    </w:div>
    <w:div w:id="959333976">
      <w:marLeft w:val="0"/>
      <w:marRight w:val="0"/>
      <w:marTop w:val="0"/>
      <w:marBottom w:val="240"/>
      <w:divBdr>
        <w:top w:val="none" w:sz="0" w:space="0" w:color="auto"/>
        <w:left w:val="none" w:sz="0" w:space="0" w:color="auto"/>
        <w:bottom w:val="none" w:sz="0" w:space="0" w:color="auto"/>
        <w:right w:val="none" w:sz="0" w:space="0" w:color="auto"/>
      </w:divBdr>
    </w:div>
    <w:div w:id="959578743">
      <w:marLeft w:val="0"/>
      <w:marRight w:val="0"/>
      <w:marTop w:val="0"/>
      <w:marBottom w:val="0"/>
      <w:divBdr>
        <w:top w:val="none" w:sz="0" w:space="0" w:color="auto"/>
        <w:left w:val="none" w:sz="0" w:space="0" w:color="auto"/>
        <w:bottom w:val="none" w:sz="0" w:space="0" w:color="auto"/>
        <w:right w:val="none" w:sz="0" w:space="0" w:color="auto"/>
      </w:divBdr>
      <w:divsChild>
        <w:div w:id="182785103">
          <w:marLeft w:val="0"/>
          <w:marRight w:val="0"/>
          <w:marTop w:val="0"/>
          <w:marBottom w:val="0"/>
          <w:divBdr>
            <w:top w:val="none" w:sz="0" w:space="0" w:color="auto"/>
            <w:left w:val="none" w:sz="0" w:space="0" w:color="auto"/>
            <w:bottom w:val="none" w:sz="0" w:space="0" w:color="auto"/>
            <w:right w:val="none" w:sz="0" w:space="0" w:color="auto"/>
          </w:divBdr>
        </w:div>
      </w:divsChild>
    </w:div>
    <w:div w:id="961767733">
      <w:marLeft w:val="0"/>
      <w:marRight w:val="0"/>
      <w:marTop w:val="100"/>
      <w:marBottom w:val="0"/>
      <w:divBdr>
        <w:top w:val="none" w:sz="0" w:space="0" w:color="auto"/>
        <w:left w:val="none" w:sz="0" w:space="0" w:color="auto"/>
        <w:bottom w:val="none" w:sz="0" w:space="0" w:color="auto"/>
        <w:right w:val="none" w:sz="0" w:space="0" w:color="auto"/>
      </w:divBdr>
    </w:div>
    <w:div w:id="963734938">
      <w:marLeft w:val="0"/>
      <w:marRight w:val="0"/>
      <w:marTop w:val="0"/>
      <w:marBottom w:val="0"/>
      <w:divBdr>
        <w:top w:val="none" w:sz="0" w:space="0" w:color="auto"/>
        <w:left w:val="none" w:sz="0" w:space="0" w:color="auto"/>
        <w:bottom w:val="none" w:sz="0" w:space="0" w:color="auto"/>
        <w:right w:val="none" w:sz="0" w:space="0" w:color="auto"/>
      </w:divBdr>
    </w:div>
    <w:div w:id="964119033">
      <w:marLeft w:val="0"/>
      <w:marRight w:val="0"/>
      <w:marTop w:val="0"/>
      <w:marBottom w:val="0"/>
      <w:divBdr>
        <w:top w:val="none" w:sz="0" w:space="0" w:color="auto"/>
        <w:left w:val="none" w:sz="0" w:space="0" w:color="auto"/>
        <w:bottom w:val="none" w:sz="0" w:space="0" w:color="auto"/>
        <w:right w:val="none" w:sz="0" w:space="0" w:color="auto"/>
      </w:divBdr>
      <w:divsChild>
        <w:div w:id="1324777275">
          <w:marLeft w:val="0"/>
          <w:marRight w:val="0"/>
          <w:marTop w:val="0"/>
          <w:marBottom w:val="0"/>
          <w:divBdr>
            <w:top w:val="none" w:sz="0" w:space="0" w:color="auto"/>
            <w:left w:val="none" w:sz="0" w:space="0" w:color="auto"/>
            <w:bottom w:val="none" w:sz="0" w:space="0" w:color="auto"/>
            <w:right w:val="none" w:sz="0" w:space="0" w:color="auto"/>
          </w:divBdr>
        </w:div>
      </w:divsChild>
    </w:div>
    <w:div w:id="964234936">
      <w:marLeft w:val="0"/>
      <w:marRight w:val="0"/>
      <w:marTop w:val="0"/>
      <w:marBottom w:val="180"/>
      <w:divBdr>
        <w:top w:val="none" w:sz="0" w:space="0" w:color="auto"/>
        <w:left w:val="none" w:sz="0" w:space="0" w:color="auto"/>
        <w:bottom w:val="none" w:sz="0" w:space="0" w:color="auto"/>
        <w:right w:val="none" w:sz="0" w:space="0" w:color="auto"/>
      </w:divBdr>
    </w:div>
    <w:div w:id="965165191">
      <w:marLeft w:val="0"/>
      <w:marRight w:val="0"/>
      <w:marTop w:val="180"/>
      <w:marBottom w:val="180"/>
      <w:divBdr>
        <w:top w:val="none" w:sz="0" w:space="0" w:color="auto"/>
        <w:left w:val="none" w:sz="0" w:space="0" w:color="auto"/>
        <w:bottom w:val="none" w:sz="0" w:space="0" w:color="auto"/>
        <w:right w:val="none" w:sz="0" w:space="0" w:color="auto"/>
      </w:divBdr>
      <w:divsChild>
        <w:div w:id="1351950332">
          <w:marLeft w:val="0"/>
          <w:marRight w:val="0"/>
          <w:marTop w:val="0"/>
          <w:marBottom w:val="120"/>
          <w:divBdr>
            <w:top w:val="none" w:sz="0" w:space="0" w:color="auto"/>
            <w:left w:val="none" w:sz="0" w:space="0" w:color="auto"/>
            <w:bottom w:val="none" w:sz="0" w:space="0" w:color="auto"/>
            <w:right w:val="none" w:sz="0" w:space="0" w:color="auto"/>
          </w:divBdr>
        </w:div>
        <w:div w:id="121920533">
          <w:marLeft w:val="0"/>
          <w:marRight w:val="0"/>
          <w:marTop w:val="0"/>
          <w:marBottom w:val="120"/>
          <w:divBdr>
            <w:top w:val="none" w:sz="0" w:space="0" w:color="auto"/>
            <w:left w:val="none" w:sz="0" w:space="0" w:color="auto"/>
            <w:bottom w:val="none" w:sz="0" w:space="0" w:color="auto"/>
            <w:right w:val="none" w:sz="0" w:space="0" w:color="auto"/>
          </w:divBdr>
        </w:div>
      </w:divsChild>
    </w:div>
    <w:div w:id="967277870">
      <w:marLeft w:val="0"/>
      <w:marRight w:val="0"/>
      <w:marTop w:val="0"/>
      <w:marBottom w:val="0"/>
      <w:divBdr>
        <w:top w:val="none" w:sz="0" w:space="0" w:color="auto"/>
        <w:left w:val="none" w:sz="0" w:space="0" w:color="auto"/>
        <w:bottom w:val="none" w:sz="0" w:space="0" w:color="auto"/>
        <w:right w:val="none" w:sz="0" w:space="0" w:color="auto"/>
      </w:divBdr>
      <w:divsChild>
        <w:div w:id="78599949">
          <w:marLeft w:val="0"/>
          <w:marRight w:val="0"/>
          <w:marTop w:val="0"/>
          <w:marBottom w:val="0"/>
          <w:divBdr>
            <w:top w:val="none" w:sz="0" w:space="0" w:color="auto"/>
            <w:left w:val="none" w:sz="0" w:space="0" w:color="auto"/>
            <w:bottom w:val="none" w:sz="0" w:space="0" w:color="auto"/>
            <w:right w:val="none" w:sz="0" w:space="0" w:color="auto"/>
          </w:divBdr>
        </w:div>
      </w:divsChild>
    </w:div>
    <w:div w:id="968319718">
      <w:marLeft w:val="0"/>
      <w:marRight w:val="0"/>
      <w:marTop w:val="0"/>
      <w:marBottom w:val="0"/>
      <w:divBdr>
        <w:top w:val="none" w:sz="0" w:space="0" w:color="auto"/>
        <w:left w:val="none" w:sz="0" w:space="0" w:color="auto"/>
        <w:bottom w:val="none" w:sz="0" w:space="0" w:color="auto"/>
        <w:right w:val="none" w:sz="0" w:space="0" w:color="auto"/>
      </w:divBdr>
      <w:divsChild>
        <w:div w:id="564608790">
          <w:marLeft w:val="0"/>
          <w:marRight w:val="0"/>
          <w:marTop w:val="0"/>
          <w:marBottom w:val="0"/>
          <w:divBdr>
            <w:top w:val="none" w:sz="0" w:space="0" w:color="auto"/>
            <w:left w:val="none" w:sz="0" w:space="0" w:color="auto"/>
            <w:bottom w:val="none" w:sz="0" w:space="0" w:color="auto"/>
            <w:right w:val="none" w:sz="0" w:space="0" w:color="auto"/>
          </w:divBdr>
        </w:div>
      </w:divsChild>
    </w:div>
    <w:div w:id="972751182">
      <w:marLeft w:val="0"/>
      <w:marRight w:val="0"/>
      <w:marTop w:val="0"/>
      <w:marBottom w:val="180"/>
      <w:divBdr>
        <w:top w:val="none" w:sz="0" w:space="0" w:color="auto"/>
        <w:left w:val="none" w:sz="0" w:space="0" w:color="auto"/>
        <w:bottom w:val="none" w:sz="0" w:space="0" w:color="auto"/>
        <w:right w:val="none" w:sz="0" w:space="0" w:color="auto"/>
      </w:divBdr>
    </w:div>
    <w:div w:id="975599115">
      <w:marLeft w:val="0"/>
      <w:marRight w:val="0"/>
      <w:marTop w:val="0"/>
      <w:marBottom w:val="240"/>
      <w:divBdr>
        <w:top w:val="none" w:sz="0" w:space="0" w:color="auto"/>
        <w:left w:val="none" w:sz="0" w:space="0" w:color="auto"/>
        <w:bottom w:val="none" w:sz="0" w:space="0" w:color="auto"/>
        <w:right w:val="none" w:sz="0" w:space="0" w:color="auto"/>
      </w:divBdr>
    </w:div>
    <w:div w:id="980647190">
      <w:marLeft w:val="0"/>
      <w:marRight w:val="0"/>
      <w:marTop w:val="0"/>
      <w:marBottom w:val="0"/>
      <w:divBdr>
        <w:top w:val="none" w:sz="0" w:space="0" w:color="auto"/>
        <w:left w:val="none" w:sz="0" w:space="0" w:color="auto"/>
        <w:bottom w:val="none" w:sz="0" w:space="0" w:color="auto"/>
        <w:right w:val="none" w:sz="0" w:space="0" w:color="auto"/>
      </w:divBdr>
    </w:div>
    <w:div w:id="981034370">
      <w:marLeft w:val="0"/>
      <w:marRight w:val="0"/>
      <w:marTop w:val="120"/>
      <w:marBottom w:val="120"/>
      <w:divBdr>
        <w:top w:val="none" w:sz="0" w:space="0" w:color="auto"/>
        <w:left w:val="none" w:sz="0" w:space="0" w:color="auto"/>
        <w:bottom w:val="none" w:sz="0" w:space="0" w:color="auto"/>
        <w:right w:val="none" w:sz="0" w:space="0" w:color="auto"/>
      </w:divBdr>
    </w:div>
    <w:div w:id="984775975">
      <w:marLeft w:val="0"/>
      <w:marRight w:val="0"/>
      <w:marTop w:val="0"/>
      <w:marBottom w:val="240"/>
      <w:divBdr>
        <w:top w:val="none" w:sz="0" w:space="0" w:color="auto"/>
        <w:left w:val="none" w:sz="0" w:space="0" w:color="auto"/>
        <w:bottom w:val="none" w:sz="0" w:space="0" w:color="auto"/>
        <w:right w:val="none" w:sz="0" w:space="0" w:color="auto"/>
      </w:divBdr>
    </w:div>
    <w:div w:id="987369271">
      <w:marLeft w:val="0"/>
      <w:marRight w:val="0"/>
      <w:marTop w:val="0"/>
      <w:marBottom w:val="60"/>
      <w:divBdr>
        <w:top w:val="none" w:sz="0" w:space="0" w:color="auto"/>
        <w:left w:val="none" w:sz="0" w:space="0" w:color="auto"/>
        <w:bottom w:val="none" w:sz="0" w:space="0" w:color="auto"/>
        <w:right w:val="none" w:sz="0" w:space="0" w:color="auto"/>
      </w:divBdr>
    </w:div>
    <w:div w:id="988826806">
      <w:marLeft w:val="0"/>
      <w:marRight w:val="0"/>
      <w:marTop w:val="120"/>
      <w:marBottom w:val="120"/>
      <w:divBdr>
        <w:top w:val="none" w:sz="0" w:space="0" w:color="auto"/>
        <w:left w:val="none" w:sz="0" w:space="0" w:color="auto"/>
        <w:bottom w:val="none" w:sz="0" w:space="0" w:color="auto"/>
        <w:right w:val="none" w:sz="0" w:space="0" w:color="auto"/>
      </w:divBdr>
    </w:div>
    <w:div w:id="993022205">
      <w:marLeft w:val="0"/>
      <w:marRight w:val="0"/>
      <w:marTop w:val="0"/>
      <w:marBottom w:val="0"/>
      <w:divBdr>
        <w:top w:val="none" w:sz="0" w:space="0" w:color="auto"/>
        <w:left w:val="none" w:sz="0" w:space="0" w:color="auto"/>
        <w:bottom w:val="none" w:sz="0" w:space="0" w:color="auto"/>
        <w:right w:val="none" w:sz="0" w:space="0" w:color="auto"/>
      </w:divBdr>
      <w:divsChild>
        <w:div w:id="1307781775">
          <w:marLeft w:val="0"/>
          <w:marRight w:val="0"/>
          <w:marTop w:val="0"/>
          <w:marBottom w:val="0"/>
          <w:divBdr>
            <w:top w:val="none" w:sz="0" w:space="0" w:color="auto"/>
            <w:left w:val="none" w:sz="0" w:space="0" w:color="auto"/>
            <w:bottom w:val="none" w:sz="0" w:space="0" w:color="auto"/>
            <w:right w:val="none" w:sz="0" w:space="0" w:color="auto"/>
          </w:divBdr>
        </w:div>
      </w:divsChild>
    </w:div>
    <w:div w:id="995256908">
      <w:marLeft w:val="0"/>
      <w:marRight w:val="0"/>
      <w:marTop w:val="0"/>
      <w:marBottom w:val="180"/>
      <w:divBdr>
        <w:top w:val="none" w:sz="0" w:space="0" w:color="auto"/>
        <w:left w:val="none" w:sz="0" w:space="0" w:color="auto"/>
        <w:bottom w:val="none" w:sz="0" w:space="0" w:color="auto"/>
        <w:right w:val="none" w:sz="0" w:space="0" w:color="auto"/>
      </w:divBdr>
    </w:div>
    <w:div w:id="995957861">
      <w:marLeft w:val="0"/>
      <w:marRight w:val="0"/>
      <w:marTop w:val="0"/>
      <w:marBottom w:val="240"/>
      <w:divBdr>
        <w:top w:val="none" w:sz="0" w:space="0" w:color="auto"/>
        <w:left w:val="none" w:sz="0" w:space="0" w:color="auto"/>
        <w:bottom w:val="none" w:sz="0" w:space="0" w:color="auto"/>
        <w:right w:val="none" w:sz="0" w:space="0" w:color="auto"/>
      </w:divBdr>
    </w:div>
    <w:div w:id="996959402">
      <w:marLeft w:val="0"/>
      <w:marRight w:val="0"/>
      <w:marTop w:val="0"/>
      <w:marBottom w:val="0"/>
      <w:divBdr>
        <w:top w:val="none" w:sz="0" w:space="0" w:color="auto"/>
        <w:left w:val="none" w:sz="0" w:space="0" w:color="auto"/>
        <w:bottom w:val="none" w:sz="0" w:space="0" w:color="auto"/>
        <w:right w:val="none" w:sz="0" w:space="0" w:color="auto"/>
      </w:divBdr>
      <w:divsChild>
        <w:div w:id="956445971">
          <w:marLeft w:val="0"/>
          <w:marRight w:val="0"/>
          <w:marTop w:val="0"/>
          <w:marBottom w:val="0"/>
          <w:divBdr>
            <w:top w:val="none" w:sz="0" w:space="0" w:color="auto"/>
            <w:left w:val="none" w:sz="0" w:space="0" w:color="auto"/>
            <w:bottom w:val="none" w:sz="0" w:space="0" w:color="auto"/>
            <w:right w:val="none" w:sz="0" w:space="0" w:color="auto"/>
          </w:divBdr>
        </w:div>
      </w:divsChild>
    </w:div>
    <w:div w:id="999194242">
      <w:marLeft w:val="0"/>
      <w:marRight w:val="0"/>
      <w:marTop w:val="0"/>
      <w:marBottom w:val="180"/>
      <w:divBdr>
        <w:top w:val="none" w:sz="0" w:space="0" w:color="auto"/>
        <w:left w:val="none" w:sz="0" w:space="0" w:color="auto"/>
        <w:bottom w:val="none" w:sz="0" w:space="0" w:color="auto"/>
        <w:right w:val="none" w:sz="0" w:space="0" w:color="auto"/>
      </w:divBdr>
    </w:div>
    <w:div w:id="1002703537">
      <w:marLeft w:val="0"/>
      <w:marRight w:val="0"/>
      <w:marTop w:val="0"/>
      <w:marBottom w:val="180"/>
      <w:divBdr>
        <w:top w:val="none" w:sz="0" w:space="0" w:color="auto"/>
        <w:left w:val="none" w:sz="0" w:space="0" w:color="auto"/>
        <w:bottom w:val="none" w:sz="0" w:space="0" w:color="auto"/>
        <w:right w:val="none" w:sz="0" w:space="0" w:color="auto"/>
      </w:divBdr>
    </w:div>
    <w:div w:id="1006665278">
      <w:marLeft w:val="0"/>
      <w:marRight w:val="0"/>
      <w:marTop w:val="0"/>
      <w:marBottom w:val="180"/>
      <w:divBdr>
        <w:top w:val="none" w:sz="0" w:space="0" w:color="auto"/>
        <w:left w:val="none" w:sz="0" w:space="0" w:color="auto"/>
        <w:bottom w:val="none" w:sz="0" w:space="0" w:color="auto"/>
        <w:right w:val="none" w:sz="0" w:space="0" w:color="auto"/>
      </w:divBdr>
    </w:div>
    <w:div w:id="1011563682">
      <w:marLeft w:val="0"/>
      <w:marRight w:val="0"/>
      <w:marTop w:val="100"/>
      <w:marBottom w:val="0"/>
      <w:divBdr>
        <w:top w:val="none" w:sz="0" w:space="0" w:color="auto"/>
        <w:left w:val="none" w:sz="0" w:space="0" w:color="auto"/>
        <w:bottom w:val="none" w:sz="0" w:space="0" w:color="auto"/>
        <w:right w:val="none" w:sz="0" w:space="0" w:color="auto"/>
      </w:divBdr>
    </w:div>
    <w:div w:id="1012145526">
      <w:marLeft w:val="0"/>
      <w:marRight w:val="0"/>
      <w:marTop w:val="100"/>
      <w:marBottom w:val="0"/>
      <w:divBdr>
        <w:top w:val="none" w:sz="0" w:space="0" w:color="auto"/>
        <w:left w:val="none" w:sz="0" w:space="0" w:color="auto"/>
        <w:bottom w:val="none" w:sz="0" w:space="0" w:color="auto"/>
        <w:right w:val="none" w:sz="0" w:space="0" w:color="auto"/>
      </w:divBdr>
    </w:div>
    <w:div w:id="1013844168">
      <w:marLeft w:val="0"/>
      <w:marRight w:val="0"/>
      <w:marTop w:val="0"/>
      <w:marBottom w:val="180"/>
      <w:divBdr>
        <w:top w:val="none" w:sz="0" w:space="0" w:color="auto"/>
        <w:left w:val="none" w:sz="0" w:space="0" w:color="auto"/>
        <w:bottom w:val="none" w:sz="0" w:space="0" w:color="auto"/>
        <w:right w:val="none" w:sz="0" w:space="0" w:color="auto"/>
      </w:divBdr>
    </w:div>
    <w:div w:id="1017999005">
      <w:marLeft w:val="0"/>
      <w:marRight w:val="0"/>
      <w:marTop w:val="0"/>
      <w:marBottom w:val="240"/>
      <w:divBdr>
        <w:top w:val="none" w:sz="0" w:space="0" w:color="auto"/>
        <w:left w:val="none" w:sz="0" w:space="0" w:color="auto"/>
        <w:bottom w:val="none" w:sz="0" w:space="0" w:color="auto"/>
        <w:right w:val="none" w:sz="0" w:space="0" w:color="auto"/>
      </w:divBdr>
    </w:div>
    <w:div w:id="1019740414">
      <w:marLeft w:val="0"/>
      <w:marRight w:val="0"/>
      <w:marTop w:val="0"/>
      <w:marBottom w:val="240"/>
      <w:divBdr>
        <w:top w:val="none" w:sz="0" w:space="0" w:color="auto"/>
        <w:left w:val="none" w:sz="0" w:space="0" w:color="auto"/>
        <w:bottom w:val="none" w:sz="0" w:space="0" w:color="auto"/>
        <w:right w:val="none" w:sz="0" w:space="0" w:color="auto"/>
      </w:divBdr>
    </w:div>
    <w:div w:id="1020550051">
      <w:marLeft w:val="0"/>
      <w:marRight w:val="0"/>
      <w:marTop w:val="0"/>
      <w:marBottom w:val="180"/>
      <w:divBdr>
        <w:top w:val="none" w:sz="0" w:space="0" w:color="auto"/>
        <w:left w:val="none" w:sz="0" w:space="0" w:color="auto"/>
        <w:bottom w:val="none" w:sz="0" w:space="0" w:color="auto"/>
        <w:right w:val="none" w:sz="0" w:space="0" w:color="auto"/>
      </w:divBdr>
    </w:div>
    <w:div w:id="1022128304">
      <w:marLeft w:val="0"/>
      <w:marRight w:val="0"/>
      <w:marTop w:val="120"/>
      <w:marBottom w:val="120"/>
      <w:divBdr>
        <w:top w:val="none" w:sz="0" w:space="0" w:color="auto"/>
        <w:left w:val="none" w:sz="0" w:space="0" w:color="auto"/>
        <w:bottom w:val="none" w:sz="0" w:space="0" w:color="auto"/>
        <w:right w:val="none" w:sz="0" w:space="0" w:color="auto"/>
      </w:divBdr>
    </w:div>
    <w:div w:id="1023168386">
      <w:marLeft w:val="0"/>
      <w:marRight w:val="0"/>
      <w:marTop w:val="0"/>
      <w:marBottom w:val="240"/>
      <w:divBdr>
        <w:top w:val="none" w:sz="0" w:space="0" w:color="auto"/>
        <w:left w:val="none" w:sz="0" w:space="0" w:color="auto"/>
        <w:bottom w:val="none" w:sz="0" w:space="0" w:color="auto"/>
        <w:right w:val="none" w:sz="0" w:space="0" w:color="auto"/>
      </w:divBdr>
    </w:div>
    <w:div w:id="1031027682">
      <w:marLeft w:val="0"/>
      <w:marRight w:val="0"/>
      <w:marTop w:val="180"/>
      <w:marBottom w:val="180"/>
      <w:divBdr>
        <w:top w:val="none" w:sz="0" w:space="0" w:color="auto"/>
        <w:left w:val="none" w:sz="0" w:space="0" w:color="auto"/>
        <w:bottom w:val="none" w:sz="0" w:space="0" w:color="auto"/>
        <w:right w:val="none" w:sz="0" w:space="0" w:color="auto"/>
      </w:divBdr>
    </w:div>
    <w:div w:id="1031878603">
      <w:marLeft w:val="0"/>
      <w:marRight w:val="0"/>
      <w:marTop w:val="0"/>
      <w:marBottom w:val="0"/>
      <w:divBdr>
        <w:top w:val="none" w:sz="0" w:space="0" w:color="auto"/>
        <w:left w:val="none" w:sz="0" w:space="0" w:color="auto"/>
        <w:bottom w:val="none" w:sz="0" w:space="0" w:color="auto"/>
        <w:right w:val="none" w:sz="0" w:space="0" w:color="auto"/>
      </w:divBdr>
    </w:div>
    <w:div w:id="1032071901">
      <w:marLeft w:val="0"/>
      <w:marRight w:val="0"/>
      <w:marTop w:val="120"/>
      <w:marBottom w:val="180"/>
      <w:divBdr>
        <w:top w:val="none" w:sz="0" w:space="0" w:color="auto"/>
        <w:left w:val="none" w:sz="0" w:space="0" w:color="auto"/>
        <w:bottom w:val="none" w:sz="0" w:space="0" w:color="auto"/>
        <w:right w:val="none" w:sz="0" w:space="0" w:color="auto"/>
      </w:divBdr>
    </w:div>
    <w:div w:id="1033111506">
      <w:marLeft w:val="0"/>
      <w:marRight w:val="0"/>
      <w:marTop w:val="0"/>
      <w:marBottom w:val="180"/>
      <w:divBdr>
        <w:top w:val="none" w:sz="0" w:space="0" w:color="auto"/>
        <w:left w:val="none" w:sz="0" w:space="0" w:color="auto"/>
        <w:bottom w:val="none" w:sz="0" w:space="0" w:color="auto"/>
        <w:right w:val="none" w:sz="0" w:space="0" w:color="auto"/>
      </w:divBdr>
    </w:div>
    <w:div w:id="1034774063">
      <w:marLeft w:val="0"/>
      <w:marRight w:val="0"/>
      <w:marTop w:val="0"/>
      <w:marBottom w:val="240"/>
      <w:divBdr>
        <w:top w:val="none" w:sz="0" w:space="0" w:color="auto"/>
        <w:left w:val="none" w:sz="0" w:space="0" w:color="auto"/>
        <w:bottom w:val="none" w:sz="0" w:space="0" w:color="auto"/>
        <w:right w:val="none" w:sz="0" w:space="0" w:color="auto"/>
      </w:divBdr>
    </w:div>
    <w:div w:id="1036352274">
      <w:marLeft w:val="0"/>
      <w:marRight w:val="0"/>
      <w:marTop w:val="180"/>
      <w:marBottom w:val="180"/>
      <w:divBdr>
        <w:top w:val="none" w:sz="0" w:space="0" w:color="auto"/>
        <w:left w:val="none" w:sz="0" w:space="0" w:color="auto"/>
        <w:bottom w:val="none" w:sz="0" w:space="0" w:color="auto"/>
        <w:right w:val="none" w:sz="0" w:space="0" w:color="auto"/>
      </w:divBdr>
    </w:div>
    <w:div w:id="1036468355">
      <w:marLeft w:val="0"/>
      <w:marRight w:val="0"/>
      <w:marTop w:val="0"/>
      <w:marBottom w:val="0"/>
      <w:divBdr>
        <w:top w:val="none" w:sz="0" w:space="0" w:color="auto"/>
        <w:left w:val="none" w:sz="0" w:space="0" w:color="auto"/>
        <w:bottom w:val="none" w:sz="0" w:space="0" w:color="auto"/>
        <w:right w:val="none" w:sz="0" w:space="0" w:color="auto"/>
      </w:divBdr>
    </w:div>
    <w:div w:id="1038090330">
      <w:marLeft w:val="0"/>
      <w:marRight w:val="0"/>
      <w:marTop w:val="180"/>
      <w:marBottom w:val="180"/>
      <w:divBdr>
        <w:top w:val="none" w:sz="0" w:space="0" w:color="auto"/>
        <w:left w:val="none" w:sz="0" w:space="0" w:color="auto"/>
        <w:bottom w:val="none" w:sz="0" w:space="0" w:color="auto"/>
        <w:right w:val="none" w:sz="0" w:space="0" w:color="auto"/>
      </w:divBdr>
    </w:div>
    <w:div w:id="1039740864">
      <w:marLeft w:val="0"/>
      <w:marRight w:val="0"/>
      <w:marTop w:val="0"/>
      <w:marBottom w:val="180"/>
      <w:divBdr>
        <w:top w:val="none" w:sz="0" w:space="0" w:color="auto"/>
        <w:left w:val="none" w:sz="0" w:space="0" w:color="auto"/>
        <w:bottom w:val="none" w:sz="0" w:space="0" w:color="auto"/>
        <w:right w:val="none" w:sz="0" w:space="0" w:color="auto"/>
      </w:divBdr>
    </w:div>
    <w:div w:id="1040125635">
      <w:marLeft w:val="0"/>
      <w:marRight w:val="0"/>
      <w:marTop w:val="0"/>
      <w:marBottom w:val="0"/>
      <w:divBdr>
        <w:top w:val="none" w:sz="0" w:space="0" w:color="auto"/>
        <w:left w:val="none" w:sz="0" w:space="0" w:color="auto"/>
        <w:bottom w:val="none" w:sz="0" w:space="0" w:color="auto"/>
        <w:right w:val="none" w:sz="0" w:space="0" w:color="auto"/>
      </w:divBdr>
      <w:divsChild>
        <w:div w:id="1709991681">
          <w:marLeft w:val="0"/>
          <w:marRight w:val="0"/>
          <w:marTop w:val="0"/>
          <w:marBottom w:val="0"/>
          <w:divBdr>
            <w:top w:val="none" w:sz="0" w:space="0" w:color="auto"/>
            <w:left w:val="none" w:sz="0" w:space="0" w:color="auto"/>
            <w:bottom w:val="none" w:sz="0" w:space="0" w:color="auto"/>
            <w:right w:val="none" w:sz="0" w:space="0" w:color="auto"/>
          </w:divBdr>
        </w:div>
      </w:divsChild>
    </w:div>
    <w:div w:id="1043602385">
      <w:marLeft w:val="0"/>
      <w:marRight w:val="0"/>
      <w:marTop w:val="0"/>
      <w:marBottom w:val="240"/>
      <w:divBdr>
        <w:top w:val="none" w:sz="0" w:space="0" w:color="auto"/>
        <w:left w:val="none" w:sz="0" w:space="0" w:color="auto"/>
        <w:bottom w:val="none" w:sz="0" w:space="0" w:color="auto"/>
        <w:right w:val="none" w:sz="0" w:space="0" w:color="auto"/>
      </w:divBdr>
    </w:div>
    <w:div w:id="1045645784">
      <w:marLeft w:val="0"/>
      <w:marRight w:val="0"/>
      <w:marTop w:val="0"/>
      <w:marBottom w:val="0"/>
      <w:divBdr>
        <w:top w:val="none" w:sz="0" w:space="0" w:color="auto"/>
        <w:left w:val="none" w:sz="0" w:space="0" w:color="auto"/>
        <w:bottom w:val="none" w:sz="0" w:space="0" w:color="auto"/>
        <w:right w:val="none" w:sz="0" w:space="0" w:color="auto"/>
      </w:divBdr>
    </w:div>
    <w:div w:id="1046565916">
      <w:marLeft w:val="0"/>
      <w:marRight w:val="0"/>
      <w:marTop w:val="180"/>
      <w:marBottom w:val="180"/>
      <w:divBdr>
        <w:top w:val="none" w:sz="0" w:space="0" w:color="auto"/>
        <w:left w:val="none" w:sz="0" w:space="0" w:color="auto"/>
        <w:bottom w:val="none" w:sz="0" w:space="0" w:color="auto"/>
        <w:right w:val="none" w:sz="0" w:space="0" w:color="auto"/>
      </w:divBdr>
    </w:div>
    <w:div w:id="1047141513">
      <w:marLeft w:val="0"/>
      <w:marRight w:val="0"/>
      <w:marTop w:val="0"/>
      <w:marBottom w:val="0"/>
      <w:divBdr>
        <w:top w:val="none" w:sz="0" w:space="0" w:color="auto"/>
        <w:left w:val="none" w:sz="0" w:space="0" w:color="auto"/>
        <w:bottom w:val="none" w:sz="0" w:space="0" w:color="auto"/>
        <w:right w:val="none" w:sz="0" w:space="0" w:color="auto"/>
      </w:divBdr>
    </w:div>
    <w:div w:id="1047149181">
      <w:marLeft w:val="0"/>
      <w:marRight w:val="0"/>
      <w:marTop w:val="0"/>
      <w:marBottom w:val="180"/>
      <w:divBdr>
        <w:top w:val="none" w:sz="0" w:space="0" w:color="auto"/>
        <w:left w:val="none" w:sz="0" w:space="0" w:color="auto"/>
        <w:bottom w:val="none" w:sz="0" w:space="0" w:color="auto"/>
        <w:right w:val="none" w:sz="0" w:space="0" w:color="auto"/>
      </w:divBdr>
    </w:div>
    <w:div w:id="1047489426">
      <w:marLeft w:val="0"/>
      <w:marRight w:val="0"/>
      <w:marTop w:val="120"/>
      <w:marBottom w:val="120"/>
      <w:divBdr>
        <w:top w:val="none" w:sz="0" w:space="0" w:color="auto"/>
        <w:left w:val="none" w:sz="0" w:space="0" w:color="auto"/>
        <w:bottom w:val="none" w:sz="0" w:space="0" w:color="auto"/>
        <w:right w:val="none" w:sz="0" w:space="0" w:color="auto"/>
      </w:divBdr>
    </w:div>
    <w:div w:id="1047490819">
      <w:marLeft w:val="0"/>
      <w:marRight w:val="0"/>
      <w:marTop w:val="0"/>
      <w:marBottom w:val="0"/>
      <w:divBdr>
        <w:top w:val="none" w:sz="0" w:space="0" w:color="auto"/>
        <w:left w:val="none" w:sz="0" w:space="0" w:color="auto"/>
        <w:bottom w:val="none" w:sz="0" w:space="0" w:color="auto"/>
        <w:right w:val="none" w:sz="0" w:space="0" w:color="auto"/>
      </w:divBdr>
      <w:divsChild>
        <w:div w:id="580024290">
          <w:marLeft w:val="0"/>
          <w:marRight w:val="0"/>
          <w:marTop w:val="0"/>
          <w:marBottom w:val="0"/>
          <w:divBdr>
            <w:top w:val="none" w:sz="0" w:space="0" w:color="auto"/>
            <w:left w:val="none" w:sz="0" w:space="0" w:color="auto"/>
            <w:bottom w:val="none" w:sz="0" w:space="0" w:color="auto"/>
            <w:right w:val="none" w:sz="0" w:space="0" w:color="auto"/>
          </w:divBdr>
        </w:div>
      </w:divsChild>
    </w:div>
    <w:div w:id="1047948314">
      <w:marLeft w:val="0"/>
      <w:marRight w:val="0"/>
      <w:marTop w:val="180"/>
      <w:marBottom w:val="180"/>
      <w:divBdr>
        <w:top w:val="none" w:sz="0" w:space="0" w:color="auto"/>
        <w:left w:val="none" w:sz="0" w:space="0" w:color="auto"/>
        <w:bottom w:val="none" w:sz="0" w:space="0" w:color="auto"/>
        <w:right w:val="none" w:sz="0" w:space="0" w:color="auto"/>
      </w:divBdr>
    </w:div>
    <w:div w:id="1049066165">
      <w:marLeft w:val="0"/>
      <w:marRight w:val="0"/>
      <w:marTop w:val="0"/>
      <w:marBottom w:val="0"/>
      <w:divBdr>
        <w:top w:val="none" w:sz="0" w:space="0" w:color="auto"/>
        <w:left w:val="none" w:sz="0" w:space="0" w:color="auto"/>
        <w:bottom w:val="none" w:sz="0" w:space="0" w:color="auto"/>
        <w:right w:val="none" w:sz="0" w:space="0" w:color="auto"/>
      </w:divBdr>
    </w:div>
    <w:div w:id="1049721793">
      <w:marLeft w:val="0"/>
      <w:marRight w:val="0"/>
      <w:marTop w:val="180"/>
      <w:marBottom w:val="180"/>
      <w:divBdr>
        <w:top w:val="none" w:sz="0" w:space="0" w:color="auto"/>
        <w:left w:val="none" w:sz="0" w:space="0" w:color="auto"/>
        <w:bottom w:val="none" w:sz="0" w:space="0" w:color="auto"/>
        <w:right w:val="none" w:sz="0" w:space="0" w:color="auto"/>
      </w:divBdr>
    </w:div>
    <w:div w:id="1051806815">
      <w:marLeft w:val="0"/>
      <w:marRight w:val="0"/>
      <w:marTop w:val="180"/>
      <w:marBottom w:val="180"/>
      <w:divBdr>
        <w:top w:val="none" w:sz="0" w:space="0" w:color="auto"/>
        <w:left w:val="none" w:sz="0" w:space="0" w:color="auto"/>
        <w:bottom w:val="none" w:sz="0" w:space="0" w:color="auto"/>
        <w:right w:val="none" w:sz="0" w:space="0" w:color="auto"/>
      </w:divBdr>
    </w:div>
    <w:div w:id="1052269295">
      <w:marLeft w:val="0"/>
      <w:marRight w:val="0"/>
      <w:marTop w:val="120"/>
      <w:marBottom w:val="120"/>
      <w:divBdr>
        <w:top w:val="none" w:sz="0" w:space="0" w:color="auto"/>
        <w:left w:val="none" w:sz="0" w:space="0" w:color="auto"/>
        <w:bottom w:val="none" w:sz="0" w:space="0" w:color="auto"/>
        <w:right w:val="none" w:sz="0" w:space="0" w:color="auto"/>
      </w:divBdr>
    </w:div>
    <w:div w:id="1054037852">
      <w:marLeft w:val="0"/>
      <w:marRight w:val="0"/>
      <w:marTop w:val="100"/>
      <w:marBottom w:val="0"/>
      <w:divBdr>
        <w:top w:val="none" w:sz="0" w:space="0" w:color="auto"/>
        <w:left w:val="none" w:sz="0" w:space="0" w:color="auto"/>
        <w:bottom w:val="none" w:sz="0" w:space="0" w:color="auto"/>
        <w:right w:val="none" w:sz="0" w:space="0" w:color="auto"/>
      </w:divBdr>
    </w:div>
    <w:div w:id="1058432002">
      <w:marLeft w:val="0"/>
      <w:marRight w:val="0"/>
      <w:marTop w:val="0"/>
      <w:marBottom w:val="180"/>
      <w:divBdr>
        <w:top w:val="none" w:sz="0" w:space="0" w:color="auto"/>
        <w:left w:val="none" w:sz="0" w:space="0" w:color="auto"/>
        <w:bottom w:val="none" w:sz="0" w:space="0" w:color="auto"/>
        <w:right w:val="none" w:sz="0" w:space="0" w:color="auto"/>
      </w:divBdr>
    </w:div>
    <w:div w:id="1059941211">
      <w:marLeft w:val="0"/>
      <w:marRight w:val="0"/>
      <w:marTop w:val="0"/>
      <w:marBottom w:val="0"/>
      <w:divBdr>
        <w:top w:val="none" w:sz="0" w:space="0" w:color="auto"/>
        <w:left w:val="none" w:sz="0" w:space="0" w:color="auto"/>
        <w:bottom w:val="none" w:sz="0" w:space="0" w:color="auto"/>
        <w:right w:val="none" w:sz="0" w:space="0" w:color="auto"/>
      </w:divBdr>
      <w:divsChild>
        <w:div w:id="2124956034">
          <w:marLeft w:val="0"/>
          <w:marRight w:val="0"/>
          <w:marTop w:val="0"/>
          <w:marBottom w:val="0"/>
          <w:divBdr>
            <w:top w:val="none" w:sz="0" w:space="0" w:color="auto"/>
            <w:left w:val="none" w:sz="0" w:space="0" w:color="auto"/>
            <w:bottom w:val="none" w:sz="0" w:space="0" w:color="auto"/>
            <w:right w:val="none" w:sz="0" w:space="0" w:color="auto"/>
          </w:divBdr>
        </w:div>
      </w:divsChild>
    </w:div>
    <w:div w:id="1065570071">
      <w:marLeft w:val="0"/>
      <w:marRight w:val="0"/>
      <w:marTop w:val="180"/>
      <w:marBottom w:val="240"/>
      <w:divBdr>
        <w:top w:val="none" w:sz="0" w:space="0" w:color="auto"/>
        <w:left w:val="none" w:sz="0" w:space="0" w:color="auto"/>
        <w:bottom w:val="none" w:sz="0" w:space="0" w:color="auto"/>
        <w:right w:val="none" w:sz="0" w:space="0" w:color="auto"/>
      </w:divBdr>
    </w:div>
    <w:div w:id="1066762193">
      <w:marLeft w:val="0"/>
      <w:marRight w:val="0"/>
      <w:marTop w:val="180"/>
      <w:marBottom w:val="180"/>
      <w:divBdr>
        <w:top w:val="none" w:sz="0" w:space="0" w:color="auto"/>
        <w:left w:val="none" w:sz="0" w:space="0" w:color="auto"/>
        <w:bottom w:val="none" w:sz="0" w:space="0" w:color="auto"/>
        <w:right w:val="none" w:sz="0" w:space="0" w:color="auto"/>
      </w:divBdr>
    </w:div>
    <w:div w:id="1067267503">
      <w:marLeft w:val="0"/>
      <w:marRight w:val="0"/>
      <w:marTop w:val="180"/>
      <w:marBottom w:val="180"/>
      <w:divBdr>
        <w:top w:val="none" w:sz="0" w:space="0" w:color="auto"/>
        <w:left w:val="none" w:sz="0" w:space="0" w:color="auto"/>
        <w:bottom w:val="none" w:sz="0" w:space="0" w:color="auto"/>
        <w:right w:val="none" w:sz="0" w:space="0" w:color="auto"/>
      </w:divBdr>
    </w:div>
    <w:div w:id="1068845285">
      <w:marLeft w:val="0"/>
      <w:marRight w:val="0"/>
      <w:marTop w:val="0"/>
      <w:marBottom w:val="0"/>
      <w:divBdr>
        <w:top w:val="none" w:sz="0" w:space="0" w:color="auto"/>
        <w:left w:val="none" w:sz="0" w:space="0" w:color="auto"/>
        <w:bottom w:val="none" w:sz="0" w:space="0" w:color="auto"/>
        <w:right w:val="none" w:sz="0" w:space="0" w:color="auto"/>
      </w:divBdr>
      <w:divsChild>
        <w:div w:id="1313604360">
          <w:marLeft w:val="0"/>
          <w:marRight w:val="0"/>
          <w:marTop w:val="0"/>
          <w:marBottom w:val="0"/>
          <w:divBdr>
            <w:top w:val="none" w:sz="0" w:space="0" w:color="auto"/>
            <w:left w:val="none" w:sz="0" w:space="0" w:color="auto"/>
            <w:bottom w:val="none" w:sz="0" w:space="0" w:color="auto"/>
            <w:right w:val="none" w:sz="0" w:space="0" w:color="auto"/>
          </w:divBdr>
        </w:div>
      </w:divsChild>
    </w:div>
    <w:div w:id="1068962419">
      <w:marLeft w:val="0"/>
      <w:marRight w:val="0"/>
      <w:marTop w:val="0"/>
      <w:marBottom w:val="180"/>
      <w:divBdr>
        <w:top w:val="none" w:sz="0" w:space="0" w:color="auto"/>
        <w:left w:val="none" w:sz="0" w:space="0" w:color="auto"/>
        <w:bottom w:val="none" w:sz="0" w:space="0" w:color="auto"/>
        <w:right w:val="none" w:sz="0" w:space="0" w:color="auto"/>
      </w:divBdr>
    </w:div>
    <w:div w:id="1069303030">
      <w:marLeft w:val="0"/>
      <w:marRight w:val="0"/>
      <w:marTop w:val="0"/>
      <w:marBottom w:val="180"/>
      <w:divBdr>
        <w:top w:val="none" w:sz="0" w:space="0" w:color="auto"/>
        <w:left w:val="none" w:sz="0" w:space="0" w:color="auto"/>
        <w:bottom w:val="none" w:sz="0" w:space="0" w:color="auto"/>
        <w:right w:val="none" w:sz="0" w:space="0" w:color="auto"/>
      </w:divBdr>
    </w:div>
    <w:div w:id="1069501409">
      <w:marLeft w:val="0"/>
      <w:marRight w:val="0"/>
      <w:marTop w:val="0"/>
      <w:marBottom w:val="180"/>
      <w:divBdr>
        <w:top w:val="none" w:sz="0" w:space="0" w:color="auto"/>
        <w:left w:val="none" w:sz="0" w:space="0" w:color="auto"/>
        <w:bottom w:val="none" w:sz="0" w:space="0" w:color="auto"/>
        <w:right w:val="none" w:sz="0" w:space="0" w:color="auto"/>
      </w:divBdr>
    </w:div>
    <w:div w:id="1073547032">
      <w:marLeft w:val="0"/>
      <w:marRight w:val="0"/>
      <w:marTop w:val="0"/>
      <w:marBottom w:val="0"/>
      <w:divBdr>
        <w:top w:val="none" w:sz="0" w:space="0" w:color="auto"/>
        <w:left w:val="none" w:sz="0" w:space="0" w:color="auto"/>
        <w:bottom w:val="none" w:sz="0" w:space="0" w:color="auto"/>
        <w:right w:val="none" w:sz="0" w:space="0" w:color="auto"/>
      </w:divBdr>
      <w:divsChild>
        <w:div w:id="1792506079">
          <w:marLeft w:val="0"/>
          <w:marRight w:val="0"/>
          <w:marTop w:val="0"/>
          <w:marBottom w:val="0"/>
          <w:divBdr>
            <w:top w:val="none" w:sz="0" w:space="0" w:color="auto"/>
            <w:left w:val="none" w:sz="0" w:space="0" w:color="auto"/>
            <w:bottom w:val="none" w:sz="0" w:space="0" w:color="auto"/>
            <w:right w:val="none" w:sz="0" w:space="0" w:color="auto"/>
          </w:divBdr>
        </w:div>
      </w:divsChild>
    </w:div>
    <w:div w:id="1073626156">
      <w:marLeft w:val="0"/>
      <w:marRight w:val="0"/>
      <w:marTop w:val="0"/>
      <w:marBottom w:val="240"/>
      <w:divBdr>
        <w:top w:val="none" w:sz="0" w:space="0" w:color="auto"/>
        <w:left w:val="none" w:sz="0" w:space="0" w:color="auto"/>
        <w:bottom w:val="none" w:sz="0" w:space="0" w:color="auto"/>
        <w:right w:val="none" w:sz="0" w:space="0" w:color="auto"/>
      </w:divBdr>
    </w:div>
    <w:div w:id="1074014051">
      <w:marLeft w:val="0"/>
      <w:marRight w:val="0"/>
      <w:marTop w:val="60"/>
      <w:marBottom w:val="0"/>
      <w:divBdr>
        <w:top w:val="none" w:sz="0" w:space="0" w:color="auto"/>
        <w:left w:val="none" w:sz="0" w:space="0" w:color="auto"/>
        <w:bottom w:val="none" w:sz="0" w:space="0" w:color="auto"/>
        <w:right w:val="none" w:sz="0" w:space="0" w:color="auto"/>
      </w:divBdr>
    </w:div>
    <w:div w:id="1074552887">
      <w:marLeft w:val="0"/>
      <w:marRight w:val="0"/>
      <w:marTop w:val="0"/>
      <w:marBottom w:val="240"/>
      <w:divBdr>
        <w:top w:val="none" w:sz="0" w:space="0" w:color="auto"/>
        <w:left w:val="none" w:sz="0" w:space="0" w:color="auto"/>
        <w:bottom w:val="none" w:sz="0" w:space="0" w:color="auto"/>
        <w:right w:val="none" w:sz="0" w:space="0" w:color="auto"/>
      </w:divBdr>
    </w:div>
    <w:div w:id="1076442607">
      <w:marLeft w:val="0"/>
      <w:marRight w:val="0"/>
      <w:marTop w:val="120"/>
      <w:marBottom w:val="120"/>
      <w:divBdr>
        <w:top w:val="none" w:sz="0" w:space="0" w:color="auto"/>
        <w:left w:val="none" w:sz="0" w:space="0" w:color="auto"/>
        <w:bottom w:val="none" w:sz="0" w:space="0" w:color="auto"/>
        <w:right w:val="none" w:sz="0" w:space="0" w:color="auto"/>
      </w:divBdr>
    </w:div>
    <w:div w:id="1079064025">
      <w:marLeft w:val="0"/>
      <w:marRight w:val="0"/>
      <w:marTop w:val="120"/>
      <w:marBottom w:val="120"/>
      <w:divBdr>
        <w:top w:val="none" w:sz="0" w:space="0" w:color="auto"/>
        <w:left w:val="none" w:sz="0" w:space="0" w:color="auto"/>
        <w:bottom w:val="none" w:sz="0" w:space="0" w:color="auto"/>
        <w:right w:val="none" w:sz="0" w:space="0" w:color="auto"/>
      </w:divBdr>
    </w:div>
    <w:div w:id="1079669921">
      <w:marLeft w:val="0"/>
      <w:marRight w:val="0"/>
      <w:marTop w:val="120"/>
      <w:marBottom w:val="180"/>
      <w:divBdr>
        <w:top w:val="none" w:sz="0" w:space="0" w:color="auto"/>
        <w:left w:val="none" w:sz="0" w:space="0" w:color="auto"/>
        <w:bottom w:val="none" w:sz="0" w:space="0" w:color="auto"/>
        <w:right w:val="none" w:sz="0" w:space="0" w:color="auto"/>
      </w:divBdr>
    </w:div>
    <w:div w:id="1081487035">
      <w:marLeft w:val="0"/>
      <w:marRight w:val="0"/>
      <w:marTop w:val="0"/>
      <w:marBottom w:val="0"/>
      <w:divBdr>
        <w:top w:val="none" w:sz="0" w:space="0" w:color="auto"/>
        <w:left w:val="none" w:sz="0" w:space="0" w:color="auto"/>
        <w:bottom w:val="none" w:sz="0" w:space="0" w:color="auto"/>
        <w:right w:val="none" w:sz="0" w:space="0" w:color="auto"/>
      </w:divBdr>
    </w:div>
    <w:div w:id="1083066485">
      <w:marLeft w:val="0"/>
      <w:marRight w:val="0"/>
      <w:marTop w:val="0"/>
      <w:marBottom w:val="0"/>
      <w:divBdr>
        <w:top w:val="none" w:sz="0" w:space="0" w:color="auto"/>
        <w:left w:val="none" w:sz="0" w:space="0" w:color="auto"/>
        <w:bottom w:val="none" w:sz="0" w:space="0" w:color="auto"/>
        <w:right w:val="none" w:sz="0" w:space="0" w:color="auto"/>
      </w:divBdr>
      <w:divsChild>
        <w:div w:id="1777483302">
          <w:marLeft w:val="0"/>
          <w:marRight w:val="0"/>
          <w:marTop w:val="0"/>
          <w:marBottom w:val="0"/>
          <w:divBdr>
            <w:top w:val="none" w:sz="0" w:space="0" w:color="auto"/>
            <w:left w:val="none" w:sz="0" w:space="0" w:color="auto"/>
            <w:bottom w:val="none" w:sz="0" w:space="0" w:color="auto"/>
            <w:right w:val="none" w:sz="0" w:space="0" w:color="auto"/>
          </w:divBdr>
        </w:div>
      </w:divsChild>
    </w:div>
    <w:div w:id="1083263018">
      <w:marLeft w:val="0"/>
      <w:marRight w:val="0"/>
      <w:marTop w:val="180"/>
      <w:marBottom w:val="180"/>
      <w:divBdr>
        <w:top w:val="none" w:sz="0" w:space="0" w:color="auto"/>
        <w:left w:val="none" w:sz="0" w:space="0" w:color="auto"/>
        <w:bottom w:val="none" w:sz="0" w:space="0" w:color="auto"/>
        <w:right w:val="none" w:sz="0" w:space="0" w:color="auto"/>
      </w:divBdr>
    </w:div>
    <w:div w:id="1085151587">
      <w:marLeft w:val="0"/>
      <w:marRight w:val="0"/>
      <w:marTop w:val="240"/>
      <w:marBottom w:val="240"/>
      <w:divBdr>
        <w:top w:val="none" w:sz="0" w:space="0" w:color="auto"/>
        <w:left w:val="none" w:sz="0" w:space="0" w:color="auto"/>
        <w:bottom w:val="none" w:sz="0" w:space="0" w:color="auto"/>
        <w:right w:val="none" w:sz="0" w:space="0" w:color="auto"/>
      </w:divBdr>
    </w:div>
    <w:div w:id="1088425648">
      <w:marLeft w:val="0"/>
      <w:marRight w:val="0"/>
      <w:marTop w:val="0"/>
      <w:marBottom w:val="180"/>
      <w:divBdr>
        <w:top w:val="none" w:sz="0" w:space="0" w:color="auto"/>
        <w:left w:val="none" w:sz="0" w:space="0" w:color="auto"/>
        <w:bottom w:val="none" w:sz="0" w:space="0" w:color="auto"/>
        <w:right w:val="none" w:sz="0" w:space="0" w:color="auto"/>
      </w:divBdr>
    </w:div>
    <w:div w:id="1089809781">
      <w:marLeft w:val="0"/>
      <w:marRight w:val="0"/>
      <w:marTop w:val="0"/>
      <w:marBottom w:val="240"/>
      <w:divBdr>
        <w:top w:val="none" w:sz="0" w:space="0" w:color="auto"/>
        <w:left w:val="none" w:sz="0" w:space="0" w:color="auto"/>
        <w:bottom w:val="none" w:sz="0" w:space="0" w:color="auto"/>
        <w:right w:val="none" w:sz="0" w:space="0" w:color="auto"/>
      </w:divBdr>
    </w:div>
    <w:div w:id="1092044781">
      <w:marLeft w:val="0"/>
      <w:marRight w:val="0"/>
      <w:marTop w:val="0"/>
      <w:marBottom w:val="240"/>
      <w:divBdr>
        <w:top w:val="none" w:sz="0" w:space="0" w:color="auto"/>
        <w:left w:val="none" w:sz="0" w:space="0" w:color="auto"/>
        <w:bottom w:val="none" w:sz="0" w:space="0" w:color="auto"/>
        <w:right w:val="none" w:sz="0" w:space="0" w:color="auto"/>
      </w:divBdr>
    </w:div>
    <w:div w:id="1093942438">
      <w:marLeft w:val="0"/>
      <w:marRight w:val="0"/>
      <w:marTop w:val="0"/>
      <w:marBottom w:val="240"/>
      <w:divBdr>
        <w:top w:val="none" w:sz="0" w:space="0" w:color="auto"/>
        <w:left w:val="none" w:sz="0" w:space="0" w:color="auto"/>
        <w:bottom w:val="none" w:sz="0" w:space="0" w:color="auto"/>
        <w:right w:val="none" w:sz="0" w:space="0" w:color="auto"/>
      </w:divBdr>
    </w:div>
    <w:div w:id="1096901420">
      <w:marLeft w:val="0"/>
      <w:marRight w:val="0"/>
      <w:marTop w:val="120"/>
      <w:marBottom w:val="120"/>
      <w:divBdr>
        <w:top w:val="none" w:sz="0" w:space="0" w:color="auto"/>
        <w:left w:val="none" w:sz="0" w:space="0" w:color="auto"/>
        <w:bottom w:val="none" w:sz="0" w:space="0" w:color="auto"/>
        <w:right w:val="none" w:sz="0" w:space="0" w:color="auto"/>
      </w:divBdr>
    </w:div>
    <w:div w:id="1097678331">
      <w:marLeft w:val="0"/>
      <w:marRight w:val="0"/>
      <w:marTop w:val="0"/>
      <w:marBottom w:val="240"/>
      <w:divBdr>
        <w:top w:val="none" w:sz="0" w:space="0" w:color="auto"/>
        <w:left w:val="none" w:sz="0" w:space="0" w:color="auto"/>
        <w:bottom w:val="none" w:sz="0" w:space="0" w:color="auto"/>
        <w:right w:val="none" w:sz="0" w:space="0" w:color="auto"/>
      </w:divBdr>
    </w:div>
    <w:div w:id="1103841256">
      <w:marLeft w:val="0"/>
      <w:marRight w:val="0"/>
      <w:marTop w:val="0"/>
      <w:marBottom w:val="180"/>
      <w:divBdr>
        <w:top w:val="none" w:sz="0" w:space="0" w:color="auto"/>
        <w:left w:val="none" w:sz="0" w:space="0" w:color="auto"/>
        <w:bottom w:val="none" w:sz="0" w:space="0" w:color="auto"/>
        <w:right w:val="none" w:sz="0" w:space="0" w:color="auto"/>
      </w:divBdr>
    </w:div>
    <w:div w:id="1105268522">
      <w:marLeft w:val="0"/>
      <w:marRight w:val="0"/>
      <w:marTop w:val="0"/>
      <w:marBottom w:val="240"/>
      <w:divBdr>
        <w:top w:val="none" w:sz="0" w:space="0" w:color="auto"/>
        <w:left w:val="none" w:sz="0" w:space="0" w:color="auto"/>
        <w:bottom w:val="none" w:sz="0" w:space="0" w:color="auto"/>
        <w:right w:val="none" w:sz="0" w:space="0" w:color="auto"/>
      </w:divBdr>
    </w:div>
    <w:div w:id="1106148216">
      <w:marLeft w:val="0"/>
      <w:marRight w:val="0"/>
      <w:marTop w:val="0"/>
      <w:marBottom w:val="0"/>
      <w:divBdr>
        <w:top w:val="none" w:sz="0" w:space="0" w:color="auto"/>
        <w:left w:val="none" w:sz="0" w:space="0" w:color="auto"/>
        <w:bottom w:val="none" w:sz="0" w:space="0" w:color="auto"/>
        <w:right w:val="none" w:sz="0" w:space="0" w:color="auto"/>
      </w:divBdr>
    </w:div>
    <w:div w:id="1108549655">
      <w:marLeft w:val="0"/>
      <w:marRight w:val="0"/>
      <w:marTop w:val="0"/>
      <w:marBottom w:val="180"/>
      <w:divBdr>
        <w:top w:val="none" w:sz="0" w:space="0" w:color="auto"/>
        <w:left w:val="none" w:sz="0" w:space="0" w:color="auto"/>
        <w:bottom w:val="none" w:sz="0" w:space="0" w:color="auto"/>
        <w:right w:val="none" w:sz="0" w:space="0" w:color="auto"/>
      </w:divBdr>
    </w:div>
    <w:div w:id="1109592498">
      <w:marLeft w:val="0"/>
      <w:marRight w:val="0"/>
      <w:marTop w:val="0"/>
      <w:marBottom w:val="0"/>
      <w:divBdr>
        <w:top w:val="none" w:sz="0" w:space="0" w:color="auto"/>
        <w:left w:val="none" w:sz="0" w:space="0" w:color="auto"/>
        <w:bottom w:val="none" w:sz="0" w:space="0" w:color="auto"/>
        <w:right w:val="none" w:sz="0" w:space="0" w:color="auto"/>
      </w:divBdr>
      <w:divsChild>
        <w:div w:id="1209026473">
          <w:marLeft w:val="0"/>
          <w:marRight w:val="0"/>
          <w:marTop w:val="0"/>
          <w:marBottom w:val="0"/>
          <w:divBdr>
            <w:top w:val="none" w:sz="0" w:space="0" w:color="auto"/>
            <w:left w:val="none" w:sz="0" w:space="0" w:color="auto"/>
            <w:bottom w:val="none" w:sz="0" w:space="0" w:color="auto"/>
            <w:right w:val="none" w:sz="0" w:space="0" w:color="auto"/>
          </w:divBdr>
        </w:div>
      </w:divsChild>
    </w:div>
    <w:div w:id="1109742512">
      <w:marLeft w:val="0"/>
      <w:marRight w:val="0"/>
      <w:marTop w:val="0"/>
      <w:marBottom w:val="60"/>
      <w:divBdr>
        <w:top w:val="none" w:sz="0" w:space="0" w:color="auto"/>
        <w:left w:val="none" w:sz="0" w:space="0" w:color="auto"/>
        <w:bottom w:val="none" w:sz="0" w:space="0" w:color="auto"/>
        <w:right w:val="none" w:sz="0" w:space="0" w:color="auto"/>
      </w:divBdr>
    </w:div>
    <w:div w:id="1110122769">
      <w:marLeft w:val="0"/>
      <w:marRight w:val="0"/>
      <w:marTop w:val="0"/>
      <w:marBottom w:val="240"/>
      <w:divBdr>
        <w:top w:val="none" w:sz="0" w:space="0" w:color="auto"/>
        <w:left w:val="none" w:sz="0" w:space="0" w:color="auto"/>
        <w:bottom w:val="none" w:sz="0" w:space="0" w:color="auto"/>
        <w:right w:val="none" w:sz="0" w:space="0" w:color="auto"/>
      </w:divBdr>
    </w:div>
    <w:div w:id="1118985833">
      <w:marLeft w:val="0"/>
      <w:marRight w:val="0"/>
      <w:marTop w:val="240"/>
      <w:marBottom w:val="240"/>
      <w:divBdr>
        <w:top w:val="none" w:sz="0" w:space="0" w:color="auto"/>
        <w:left w:val="none" w:sz="0" w:space="0" w:color="auto"/>
        <w:bottom w:val="none" w:sz="0" w:space="0" w:color="auto"/>
        <w:right w:val="none" w:sz="0" w:space="0" w:color="auto"/>
      </w:divBdr>
    </w:div>
    <w:div w:id="1122768269">
      <w:marLeft w:val="0"/>
      <w:marRight w:val="0"/>
      <w:marTop w:val="0"/>
      <w:marBottom w:val="0"/>
      <w:divBdr>
        <w:top w:val="none" w:sz="0" w:space="0" w:color="auto"/>
        <w:left w:val="none" w:sz="0" w:space="0" w:color="auto"/>
        <w:bottom w:val="none" w:sz="0" w:space="0" w:color="auto"/>
        <w:right w:val="none" w:sz="0" w:space="0" w:color="auto"/>
      </w:divBdr>
      <w:divsChild>
        <w:div w:id="323703362">
          <w:marLeft w:val="0"/>
          <w:marRight w:val="0"/>
          <w:marTop w:val="0"/>
          <w:marBottom w:val="0"/>
          <w:divBdr>
            <w:top w:val="none" w:sz="0" w:space="0" w:color="auto"/>
            <w:left w:val="none" w:sz="0" w:space="0" w:color="auto"/>
            <w:bottom w:val="none" w:sz="0" w:space="0" w:color="auto"/>
            <w:right w:val="none" w:sz="0" w:space="0" w:color="auto"/>
          </w:divBdr>
        </w:div>
      </w:divsChild>
    </w:div>
    <w:div w:id="1122840471">
      <w:marLeft w:val="0"/>
      <w:marRight w:val="0"/>
      <w:marTop w:val="0"/>
      <w:marBottom w:val="240"/>
      <w:divBdr>
        <w:top w:val="none" w:sz="0" w:space="0" w:color="auto"/>
        <w:left w:val="none" w:sz="0" w:space="0" w:color="auto"/>
        <w:bottom w:val="none" w:sz="0" w:space="0" w:color="auto"/>
        <w:right w:val="none" w:sz="0" w:space="0" w:color="auto"/>
      </w:divBdr>
    </w:div>
    <w:div w:id="1129057459">
      <w:marLeft w:val="0"/>
      <w:marRight w:val="0"/>
      <w:marTop w:val="0"/>
      <w:marBottom w:val="0"/>
      <w:divBdr>
        <w:top w:val="none" w:sz="0" w:space="0" w:color="auto"/>
        <w:left w:val="none" w:sz="0" w:space="0" w:color="auto"/>
        <w:bottom w:val="none" w:sz="0" w:space="0" w:color="auto"/>
        <w:right w:val="none" w:sz="0" w:space="0" w:color="auto"/>
      </w:divBdr>
    </w:div>
    <w:div w:id="1129978928">
      <w:marLeft w:val="0"/>
      <w:marRight w:val="0"/>
      <w:marTop w:val="100"/>
      <w:marBottom w:val="240"/>
      <w:divBdr>
        <w:top w:val="none" w:sz="0" w:space="0" w:color="auto"/>
        <w:left w:val="none" w:sz="0" w:space="0" w:color="auto"/>
        <w:bottom w:val="none" w:sz="0" w:space="0" w:color="auto"/>
        <w:right w:val="none" w:sz="0" w:space="0" w:color="auto"/>
      </w:divBdr>
    </w:div>
    <w:div w:id="1132405634">
      <w:marLeft w:val="0"/>
      <w:marRight w:val="0"/>
      <w:marTop w:val="0"/>
      <w:marBottom w:val="0"/>
      <w:divBdr>
        <w:top w:val="none" w:sz="0" w:space="0" w:color="auto"/>
        <w:left w:val="none" w:sz="0" w:space="0" w:color="auto"/>
        <w:bottom w:val="none" w:sz="0" w:space="0" w:color="auto"/>
        <w:right w:val="none" w:sz="0" w:space="0" w:color="auto"/>
      </w:divBdr>
    </w:div>
    <w:div w:id="1135097872">
      <w:marLeft w:val="0"/>
      <w:marRight w:val="0"/>
      <w:marTop w:val="0"/>
      <w:marBottom w:val="0"/>
      <w:divBdr>
        <w:top w:val="none" w:sz="0" w:space="0" w:color="auto"/>
        <w:left w:val="none" w:sz="0" w:space="0" w:color="auto"/>
        <w:bottom w:val="none" w:sz="0" w:space="0" w:color="auto"/>
        <w:right w:val="none" w:sz="0" w:space="0" w:color="auto"/>
      </w:divBdr>
      <w:divsChild>
        <w:div w:id="1303316636">
          <w:marLeft w:val="0"/>
          <w:marRight w:val="0"/>
          <w:marTop w:val="0"/>
          <w:marBottom w:val="0"/>
          <w:divBdr>
            <w:top w:val="none" w:sz="0" w:space="0" w:color="auto"/>
            <w:left w:val="none" w:sz="0" w:space="0" w:color="auto"/>
            <w:bottom w:val="none" w:sz="0" w:space="0" w:color="auto"/>
            <w:right w:val="none" w:sz="0" w:space="0" w:color="auto"/>
          </w:divBdr>
        </w:div>
      </w:divsChild>
    </w:div>
    <w:div w:id="1136027461">
      <w:marLeft w:val="0"/>
      <w:marRight w:val="0"/>
      <w:marTop w:val="120"/>
      <w:marBottom w:val="120"/>
      <w:divBdr>
        <w:top w:val="none" w:sz="0" w:space="0" w:color="auto"/>
        <w:left w:val="none" w:sz="0" w:space="0" w:color="auto"/>
        <w:bottom w:val="none" w:sz="0" w:space="0" w:color="auto"/>
        <w:right w:val="none" w:sz="0" w:space="0" w:color="auto"/>
      </w:divBdr>
    </w:div>
    <w:div w:id="1137532380">
      <w:marLeft w:val="0"/>
      <w:marRight w:val="0"/>
      <w:marTop w:val="180"/>
      <w:marBottom w:val="240"/>
      <w:divBdr>
        <w:top w:val="none" w:sz="0" w:space="0" w:color="auto"/>
        <w:left w:val="none" w:sz="0" w:space="0" w:color="auto"/>
        <w:bottom w:val="none" w:sz="0" w:space="0" w:color="auto"/>
        <w:right w:val="none" w:sz="0" w:space="0" w:color="auto"/>
      </w:divBdr>
    </w:div>
    <w:div w:id="1137992098">
      <w:marLeft w:val="0"/>
      <w:marRight w:val="0"/>
      <w:marTop w:val="0"/>
      <w:marBottom w:val="180"/>
      <w:divBdr>
        <w:top w:val="none" w:sz="0" w:space="0" w:color="auto"/>
        <w:left w:val="none" w:sz="0" w:space="0" w:color="auto"/>
        <w:bottom w:val="none" w:sz="0" w:space="0" w:color="auto"/>
        <w:right w:val="none" w:sz="0" w:space="0" w:color="auto"/>
      </w:divBdr>
    </w:div>
    <w:div w:id="1139499290">
      <w:marLeft w:val="0"/>
      <w:marRight w:val="0"/>
      <w:marTop w:val="180"/>
      <w:marBottom w:val="180"/>
      <w:divBdr>
        <w:top w:val="none" w:sz="0" w:space="0" w:color="auto"/>
        <w:left w:val="none" w:sz="0" w:space="0" w:color="auto"/>
        <w:bottom w:val="none" w:sz="0" w:space="0" w:color="auto"/>
        <w:right w:val="none" w:sz="0" w:space="0" w:color="auto"/>
      </w:divBdr>
    </w:div>
    <w:div w:id="1140073474">
      <w:marLeft w:val="0"/>
      <w:marRight w:val="0"/>
      <w:marTop w:val="0"/>
      <w:marBottom w:val="0"/>
      <w:divBdr>
        <w:top w:val="none" w:sz="0" w:space="0" w:color="auto"/>
        <w:left w:val="none" w:sz="0" w:space="0" w:color="auto"/>
        <w:bottom w:val="none" w:sz="0" w:space="0" w:color="auto"/>
        <w:right w:val="none" w:sz="0" w:space="0" w:color="auto"/>
      </w:divBdr>
      <w:divsChild>
        <w:div w:id="834077771">
          <w:marLeft w:val="0"/>
          <w:marRight w:val="0"/>
          <w:marTop w:val="0"/>
          <w:marBottom w:val="0"/>
          <w:divBdr>
            <w:top w:val="none" w:sz="0" w:space="0" w:color="auto"/>
            <w:left w:val="none" w:sz="0" w:space="0" w:color="auto"/>
            <w:bottom w:val="none" w:sz="0" w:space="0" w:color="auto"/>
            <w:right w:val="none" w:sz="0" w:space="0" w:color="auto"/>
          </w:divBdr>
        </w:div>
      </w:divsChild>
    </w:div>
    <w:div w:id="1142189602">
      <w:marLeft w:val="0"/>
      <w:marRight w:val="0"/>
      <w:marTop w:val="0"/>
      <w:marBottom w:val="0"/>
      <w:divBdr>
        <w:top w:val="none" w:sz="0" w:space="0" w:color="auto"/>
        <w:left w:val="none" w:sz="0" w:space="0" w:color="auto"/>
        <w:bottom w:val="none" w:sz="0" w:space="0" w:color="auto"/>
        <w:right w:val="none" w:sz="0" w:space="0" w:color="auto"/>
      </w:divBdr>
      <w:divsChild>
        <w:div w:id="862521159">
          <w:marLeft w:val="0"/>
          <w:marRight w:val="0"/>
          <w:marTop w:val="0"/>
          <w:marBottom w:val="0"/>
          <w:divBdr>
            <w:top w:val="none" w:sz="0" w:space="0" w:color="auto"/>
            <w:left w:val="none" w:sz="0" w:space="0" w:color="auto"/>
            <w:bottom w:val="none" w:sz="0" w:space="0" w:color="auto"/>
            <w:right w:val="none" w:sz="0" w:space="0" w:color="auto"/>
          </w:divBdr>
        </w:div>
      </w:divsChild>
    </w:div>
    <w:div w:id="1143502413">
      <w:marLeft w:val="0"/>
      <w:marRight w:val="0"/>
      <w:marTop w:val="0"/>
      <w:marBottom w:val="180"/>
      <w:divBdr>
        <w:top w:val="none" w:sz="0" w:space="0" w:color="auto"/>
        <w:left w:val="none" w:sz="0" w:space="0" w:color="auto"/>
        <w:bottom w:val="none" w:sz="0" w:space="0" w:color="auto"/>
        <w:right w:val="none" w:sz="0" w:space="0" w:color="auto"/>
      </w:divBdr>
    </w:div>
    <w:div w:id="1144466497">
      <w:marLeft w:val="0"/>
      <w:marRight w:val="0"/>
      <w:marTop w:val="0"/>
      <w:marBottom w:val="0"/>
      <w:divBdr>
        <w:top w:val="none" w:sz="0" w:space="0" w:color="auto"/>
        <w:left w:val="none" w:sz="0" w:space="0" w:color="auto"/>
        <w:bottom w:val="none" w:sz="0" w:space="0" w:color="auto"/>
        <w:right w:val="none" w:sz="0" w:space="0" w:color="auto"/>
      </w:divBdr>
    </w:div>
    <w:div w:id="1145774378">
      <w:marLeft w:val="0"/>
      <w:marRight w:val="0"/>
      <w:marTop w:val="60"/>
      <w:marBottom w:val="120"/>
      <w:divBdr>
        <w:top w:val="none" w:sz="0" w:space="0" w:color="auto"/>
        <w:left w:val="none" w:sz="0" w:space="0" w:color="auto"/>
        <w:bottom w:val="none" w:sz="0" w:space="0" w:color="auto"/>
        <w:right w:val="none" w:sz="0" w:space="0" w:color="auto"/>
      </w:divBdr>
    </w:div>
    <w:div w:id="1146363940">
      <w:marLeft w:val="0"/>
      <w:marRight w:val="0"/>
      <w:marTop w:val="0"/>
      <w:marBottom w:val="240"/>
      <w:divBdr>
        <w:top w:val="none" w:sz="0" w:space="0" w:color="auto"/>
        <w:left w:val="none" w:sz="0" w:space="0" w:color="auto"/>
        <w:bottom w:val="none" w:sz="0" w:space="0" w:color="auto"/>
        <w:right w:val="none" w:sz="0" w:space="0" w:color="auto"/>
      </w:divBdr>
    </w:div>
    <w:div w:id="1148089340">
      <w:marLeft w:val="0"/>
      <w:marRight w:val="0"/>
      <w:marTop w:val="120"/>
      <w:marBottom w:val="120"/>
      <w:divBdr>
        <w:top w:val="none" w:sz="0" w:space="0" w:color="auto"/>
        <w:left w:val="none" w:sz="0" w:space="0" w:color="auto"/>
        <w:bottom w:val="none" w:sz="0" w:space="0" w:color="auto"/>
        <w:right w:val="none" w:sz="0" w:space="0" w:color="auto"/>
      </w:divBdr>
    </w:div>
    <w:div w:id="1148935912">
      <w:marLeft w:val="0"/>
      <w:marRight w:val="0"/>
      <w:marTop w:val="0"/>
      <w:marBottom w:val="240"/>
      <w:divBdr>
        <w:top w:val="none" w:sz="0" w:space="0" w:color="auto"/>
        <w:left w:val="none" w:sz="0" w:space="0" w:color="auto"/>
        <w:bottom w:val="none" w:sz="0" w:space="0" w:color="auto"/>
        <w:right w:val="none" w:sz="0" w:space="0" w:color="auto"/>
      </w:divBdr>
    </w:div>
    <w:div w:id="1149325750">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
      </w:divsChild>
    </w:div>
    <w:div w:id="1150754368">
      <w:marLeft w:val="0"/>
      <w:marRight w:val="0"/>
      <w:marTop w:val="0"/>
      <w:marBottom w:val="180"/>
      <w:divBdr>
        <w:top w:val="none" w:sz="0" w:space="0" w:color="auto"/>
        <w:left w:val="none" w:sz="0" w:space="0" w:color="auto"/>
        <w:bottom w:val="none" w:sz="0" w:space="0" w:color="auto"/>
        <w:right w:val="none" w:sz="0" w:space="0" w:color="auto"/>
      </w:divBdr>
    </w:div>
    <w:div w:id="1153566755">
      <w:marLeft w:val="0"/>
      <w:marRight w:val="0"/>
      <w:marTop w:val="0"/>
      <w:marBottom w:val="0"/>
      <w:divBdr>
        <w:top w:val="none" w:sz="0" w:space="0" w:color="auto"/>
        <w:left w:val="none" w:sz="0" w:space="0" w:color="auto"/>
        <w:bottom w:val="none" w:sz="0" w:space="0" w:color="auto"/>
        <w:right w:val="none" w:sz="0" w:space="0" w:color="auto"/>
      </w:divBdr>
    </w:div>
    <w:div w:id="1154838673">
      <w:marLeft w:val="0"/>
      <w:marRight w:val="0"/>
      <w:marTop w:val="0"/>
      <w:marBottom w:val="0"/>
      <w:divBdr>
        <w:top w:val="none" w:sz="0" w:space="0" w:color="auto"/>
        <w:left w:val="none" w:sz="0" w:space="0" w:color="auto"/>
        <w:bottom w:val="none" w:sz="0" w:space="0" w:color="auto"/>
        <w:right w:val="none" w:sz="0" w:space="0" w:color="auto"/>
      </w:divBdr>
    </w:div>
    <w:div w:id="1155412633">
      <w:marLeft w:val="0"/>
      <w:marRight w:val="0"/>
      <w:marTop w:val="0"/>
      <w:marBottom w:val="180"/>
      <w:divBdr>
        <w:top w:val="none" w:sz="0" w:space="0" w:color="auto"/>
        <w:left w:val="none" w:sz="0" w:space="0" w:color="auto"/>
        <w:bottom w:val="none" w:sz="0" w:space="0" w:color="auto"/>
        <w:right w:val="none" w:sz="0" w:space="0" w:color="auto"/>
      </w:divBdr>
    </w:div>
    <w:div w:id="1157304598">
      <w:marLeft w:val="0"/>
      <w:marRight w:val="0"/>
      <w:marTop w:val="0"/>
      <w:marBottom w:val="0"/>
      <w:divBdr>
        <w:top w:val="none" w:sz="0" w:space="0" w:color="auto"/>
        <w:left w:val="none" w:sz="0" w:space="0" w:color="auto"/>
        <w:bottom w:val="none" w:sz="0" w:space="0" w:color="auto"/>
        <w:right w:val="none" w:sz="0" w:space="0" w:color="auto"/>
      </w:divBdr>
      <w:divsChild>
        <w:div w:id="1449617039">
          <w:marLeft w:val="0"/>
          <w:marRight w:val="0"/>
          <w:marTop w:val="0"/>
          <w:marBottom w:val="180"/>
          <w:divBdr>
            <w:top w:val="none" w:sz="0" w:space="0" w:color="auto"/>
            <w:left w:val="none" w:sz="0" w:space="0" w:color="auto"/>
            <w:bottom w:val="none" w:sz="0" w:space="0" w:color="auto"/>
            <w:right w:val="none" w:sz="0" w:space="0" w:color="auto"/>
          </w:divBdr>
        </w:div>
        <w:div w:id="302078370">
          <w:marLeft w:val="0"/>
          <w:marRight w:val="0"/>
          <w:marTop w:val="0"/>
          <w:marBottom w:val="0"/>
          <w:divBdr>
            <w:top w:val="none" w:sz="0" w:space="0" w:color="auto"/>
            <w:left w:val="none" w:sz="0" w:space="0" w:color="auto"/>
            <w:bottom w:val="none" w:sz="0" w:space="0" w:color="auto"/>
            <w:right w:val="none" w:sz="0" w:space="0" w:color="auto"/>
          </w:divBdr>
        </w:div>
        <w:div w:id="1256473428">
          <w:marLeft w:val="0"/>
          <w:marRight w:val="0"/>
          <w:marTop w:val="0"/>
          <w:marBottom w:val="0"/>
          <w:divBdr>
            <w:top w:val="none" w:sz="0" w:space="0" w:color="auto"/>
            <w:left w:val="none" w:sz="0" w:space="0" w:color="auto"/>
            <w:bottom w:val="none" w:sz="0" w:space="0" w:color="auto"/>
            <w:right w:val="none" w:sz="0" w:space="0" w:color="auto"/>
          </w:divBdr>
        </w:div>
        <w:div w:id="278731423">
          <w:marLeft w:val="0"/>
          <w:marRight w:val="0"/>
          <w:marTop w:val="0"/>
          <w:marBottom w:val="0"/>
          <w:divBdr>
            <w:top w:val="none" w:sz="0" w:space="0" w:color="auto"/>
            <w:left w:val="none" w:sz="0" w:space="0" w:color="auto"/>
            <w:bottom w:val="none" w:sz="0" w:space="0" w:color="auto"/>
            <w:right w:val="none" w:sz="0" w:space="0" w:color="auto"/>
          </w:divBdr>
        </w:div>
        <w:div w:id="1456101716">
          <w:marLeft w:val="0"/>
          <w:marRight w:val="0"/>
          <w:marTop w:val="0"/>
          <w:marBottom w:val="0"/>
          <w:divBdr>
            <w:top w:val="none" w:sz="0" w:space="0" w:color="auto"/>
            <w:left w:val="none" w:sz="0" w:space="0" w:color="auto"/>
            <w:bottom w:val="none" w:sz="0" w:space="0" w:color="auto"/>
            <w:right w:val="none" w:sz="0" w:space="0" w:color="auto"/>
          </w:divBdr>
        </w:div>
        <w:div w:id="185559790">
          <w:marLeft w:val="0"/>
          <w:marRight w:val="0"/>
          <w:marTop w:val="0"/>
          <w:marBottom w:val="0"/>
          <w:divBdr>
            <w:top w:val="none" w:sz="0" w:space="0" w:color="auto"/>
            <w:left w:val="none" w:sz="0" w:space="0" w:color="auto"/>
            <w:bottom w:val="none" w:sz="0" w:space="0" w:color="auto"/>
            <w:right w:val="none" w:sz="0" w:space="0" w:color="auto"/>
          </w:divBdr>
        </w:div>
      </w:divsChild>
    </w:div>
    <w:div w:id="1157305302">
      <w:marLeft w:val="0"/>
      <w:marRight w:val="0"/>
      <w:marTop w:val="0"/>
      <w:marBottom w:val="0"/>
      <w:divBdr>
        <w:top w:val="none" w:sz="0" w:space="0" w:color="auto"/>
        <w:left w:val="none" w:sz="0" w:space="0" w:color="auto"/>
        <w:bottom w:val="none" w:sz="0" w:space="0" w:color="auto"/>
        <w:right w:val="none" w:sz="0" w:space="0" w:color="auto"/>
      </w:divBdr>
      <w:divsChild>
        <w:div w:id="1323896204">
          <w:marLeft w:val="0"/>
          <w:marRight w:val="0"/>
          <w:marTop w:val="0"/>
          <w:marBottom w:val="0"/>
          <w:divBdr>
            <w:top w:val="none" w:sz="0" w:space="0" w:color="auto"/>
            <w:left w:val="none" w:sz="0" w:space="0" w:color="auto"/>
            <w:bottom w:val="none" w:sz="0" w:space="0" w:color="auto"/>
            <w:right w:val="none" w:sz="0" w:space="0" w:color="auto"/>
          </w:divBdr>
        </w:div>
      </w:divsChild>
    </w:div>
    <w:div w:id="1159228780">
      <w:marLeft w:val="0"/>
      <w:marRight w:val="0"/>
      <w:marTop w:val="180"/>
      <w:marBottom w:val="180"/>
      <w:divBdr>
        <w:top w:val="none" w:sz="0" w:space="0" w:color="auto"/>
        <w:left w:val="none" w:sz="0" w:space="0" w:color="auto"/>
        <w:bottom w:val="none" w:sz="0" w:space="0" w:color="auto"/>
        <w:right w:val="none" w:sz="0" w:space="0" w:color="auto"/>
      </w:divBdr>
    </w:div>
    <w:div w:id="1160923686">
      <w:marLeft w:val="0"/>
      <w:marRight w:val="0"/>
      <w:marTop w:val="0"/>
      <w:marBottom w:val="180"/>
      <w:divBdr>
        <w:top w:val="none" w:sz="0" w:space="0" w:color="auto"/>
        <w:left w:val="none" w:sz="0" w:space="0" w:color="auto"/>
        <w:bottom w:val="none" w:sz="0" w:space="0" w:color="auto"/>
        <w:right w:val="none" w:sz="0" w:space="0" w:color="auto"/>
      </w:divBdr>
    </w:div>
    <w:div w:id="1161391176">
      <w:marLeft w:val="0"/>
      <w:marRight w:val="0"/>
      <w:marTop w:val="0"/>
      <w:marBottom w:val="180"/>
      <w:divBdr>
        <w:top w:val="none" w:sz="0" w:space="0" w:color="auto"/>
        <w:left w:val="none" w:sz="0" w:space="0" w:color="auto"/>
        <w:bottom w:val="none" w:sz="0" w:space="0" w:color="auto"/>
        <w:right w:val="none" w:sz="0" w:space="0" w:color="auto"/>
      </w:divBdr>
    </w:div>
    <w:div w:id="1165631841">
      <w:marLeft w:val="0"/>
      <w:marRight w:val="0"/>
      <w:marTop w:val="0"/>
      <w:marBottom w:val="0"/>
      <w:divBdr>
        <w:top w:val="none" w:sz="0" w:space="0" w:color="auto"/>
        <w:left w:val="none" w:sz="0" w:space="0" w:color="auto"/>
        <w:bottom w:val="none" w:sz="0" w:space="0" w:color="auto"/>
        <w:right w:val="none" w:sz="0" w:space="0" w:color="auto"/>
      </w:divBdr>
    </w:div>
    <w:div w:id="1167864555">
      <w:marLeft w:val="0"/>
      <w:marRight w:val="0"/>
      <w:marTop w:val="100"/>
      <w:marBottom w:val="180"/>
      <w:divBdr>
        <w:top w:val="none" w:sz="0" w:space="0" w:color="auto"/>
        <w:left w:val="none" w:sz="0" w:space="0" w:color="auto"/>
        <w:bottom w:val="none" w:sz="0" w:space="0" w:color="auto"/>
        <w:right w:val="none" w:sz="0" w:space="0" w:color="auto"/>
      </w:divBdr>
    </w:div>
    <w:div w:id="1168211556">
      <w:marLeft w:val="0"/>
      <w:marRight w:val="0"/>
      <w:marTop w:val="180"/>
      <w:marBottom w:val="180"/>
      <w:divBdr>
        <w:top w:val="none" w:sz="0" w:space="0" w:color="auto"/>
        <w:left w:val="none" w:sz="0" w:space="0" w:color="auto"/>
        <w:bottom w:val="none" w:sz="0" w:space="0" w:color="auto"/>
        <w:right w:val="none" w:sz="0" w:space="0" w:color="auto"/>
      </w:divBdr>
    </w:div>
    <w:div w:id="1169252538">
      <w:marLeft w:val="0"/>
      <w:marRight w:val="0"/>
      <w:marTop w:val="0"/>
      <w:marBottom w:val="240"/>
      <w:divBdr>
        <w:top w:val="none" w:sz="0" w:space="0" w:color="auto"/>
        <w:left w:val="none" w:sz="0" w:space="0" w:color="auto"/>
        <w:bottom w:val="none" w:sz="0" w:space="0" w:color="auto"/>
        <w:right w:val="none" w:sz="0" w:space="0" w:color="auto"/>
      </w:divBdr>
    </w:div>
    <w:div w:id="1176841138">
      <w:marLeft w:val="0"/>
      <w:marRight w:val="0"/>
      <w:marTop w:val="0"/>
      <w:marBottom w:val="180"/>
      <w:divBdr>
        <w:top w:val="none" w:sz="0" w:space="0" w:color="auto"/>
        <w:left w:val="none" w:sz="0" w:space="0" w:color="auto"/>
        <w:bottom w:val="none" w:sz="0" w:space="0" w:color="auto"/>
        <w:right w:val="none" w:sz="0" w:space="0" w:color="auto"/>
      </w:divBdr>
    </w:div>
    <w:div w:id="1177424665">
      <w:marLeft w:val="0"/>
      <w:marRight w:val="0"/>
      <w:marTop w:val="0"/>
      <w:marBottom w:val="0"/>
      <w:divBdr>
        <w:top w:val="none" w:sz="0" w:space="0" w:color="auto"/>
        <w:left w:val="none" w:sz="0" w:space="0" w:color="auto"/>
        <w:bottom w:val="none" w:sz="0" w:space="0" w:color="auto"/>
        <w:right w:val="none" w:sz="0" w:space="0" w:color="auto"/>
      </w:divBdr>
      <w:divsChild>
        <w:div w:id="1056776496">
          <w:marLeft w:val="0"/>
          <w:marRight w:val="0"/>
          <w:marTop w:val="0"/>
          <w:marBottom w:val="0"/>
          <w:divBdr>
            <w:top w:val="none" w:sz="0" w:space="0" w:color="auto"/>
            <w:left w:val="none" w:sz="0" w:space="0" w:color="auto"/>
            <w:bottom w:val="none" w:sz="0" w:space="0" w:color="auto"/>
            <w:right w:val="none" w:sz="0" w:space="0" w:color="auto"/>
          </w:divBdr>
        </w:div>
      </w:divsChild>
    </w:div>
    <w:div w:id="1180969031">
      <w:marLeft w:val="0"/>
      <w:marRight w:val="0"/>
      <w:marTop w:val="0"/>
      <w:marBottom w:val="0"/>
      <w:divBdr>
        <w:top w:val="none" w:sz="0" w:space="0" w:color="auto"/>
        <w:left w:val="none" w:sz="0" w:space="0" w:color="auto"/>
        <w:bottom w:val="none" w:sz="0" w:space="0" w:color="auto"/>
        <w:right w:val="none" w:sz="0" w:space="0" w:color="auto"/>
      </w:divBdr>
    </w:div>
    <w:div w:id="1181506861">
      <w:marLeft w:val="0"/>
      <w:marRight w:val="0"/>
      <w:marTop w:val="0"/>
      <w:marBottom w:val="240"/>
      <w:divBdr>
        <w:top w:val="none" w:sz="0" w:space="0" w:color="auto"/>
        <w:left w:val="none" w:sz="0" w:space="0" w:color="auto"/>
        <w:bottom w:val="none" w:sz="0" w:space="0" w:color="auto"/>
        <w:right w:val="none" w:sz="0" w:space="0" w:color="auto"/>
      </w:divBdr>
    </w:div>
    <w:div w:id="1186211767">
      <w:marLeft w:val="0"/>
      <w:marRight w:val="0"/>
      <w:marTop w:val="0"/>
      <w:marBottom w:val="240"/>
      <w:divBdr>
        <w:top w:val="none" w:sz="0" w:space="0" w:color="auto"/>
        <w:left w:val="none" w:sz="0" w:space="0" w:color="auto"/>
        <w:bottom w:val="none" w:sz="0" w:space="0" w:color="auto"/>
        <w:right w:val="none" w:sz="0" w:space="0" w:color="auto"/>
      </w:divBdr>
    </w:div>
    <w:div w:id="1187331094">
      <w:marLeft w:val="0"/>
      <w:marRight w:val="0"/>
      <w:marTop w:val="0"/>
      <w:marBottom w:val="240"/>
      <w:divBdr>
        <w:top w:val="none" w:sz="0" w:space="0" w:color="auto"/>
        <w:left w:val="none" w:sz="0" w:space="0" w:color="auto"/>
        <w:bottom w:val="none" w:sz="0" w:space="0" w:color="auto"/>
        <w:right w:val="none" w:sz="0" w:space="0" w:color="auto"/>
      </w:divBdr>
    </w:div>
    <w:div w:id="1188056699">
      <w:marLeft w:val="0"/>
      <w:marRight w:val="0"/>
      <w:marTop w:val="0"/>
      <w:marBottom w:val="180"/>
      <w:divBdr>
        <w:top w:val="none" w:sz="0" w:space="0" w:color="auto"/>
        <w:left w:val="none" w:sz="0" w:space="0" w:color="auto"/>
        <w:bottom w:val="none" w:sz="0" w:space="0" w:color="auto"/>
        <w:right w:val="none" w:sz="0" w:space="0" w:color="auto"/>
      </w:divBdr>
    </w:div>
    <w:div w:id="1193953717">
      <w:marLeft w:val="0"/>
      <w:marRight w:val="0"/>
      <w:marTop w:val="120"/>
      <w:marBottom w:val="120"/>
      <w:divBdr>
        <w:top w:val="none" w:sz="0" w:space="0" w:color="auto"/>
        <w:left w:val="none" w:sz="0" w:space="0" w:color="auto"/>
        <w:bottom w:val="none" w:sz="0" w:space="0" w:color="auto"/>
        <w:right w:val="none" w:sz="0" w:space="0" w:color="auto"/>
      </w:divBdr>
    </w:div>
    <w:div w:id="1196506271">
      <w:marLeft w:val="0"/>
      <w:marRight w:val="0"/>
      <w:marTop w:val="100"/>
      <w:marBottom w:val="0"/>
      <w:divBdr>
        <w:top w:val="none" w:sz="0" w:space="0" w:color="auto"/>
        <w:left w:val="none" w:sz="0" w:space="0" w:color="auto"/>
        <w:bottom w:val="none" w:sz="0" w:space="0" w:color="auto"/>
        <w:right w:val="none" w:sz="0" w:space="0" w:color="auto"/>
      </w:divBdr>
      <w:divsChild>
        <w:div w:id="2127848146">
          <w:marLeft w:val="0"/>
          <w:marRight w:val="0"/>
          <w:marTop w:val="0"/>
          <w:marBottom w:val="0"/>
          <w:divBdr>
            <w:top w:val="none" w:sz="0" w:space="0" w:color="auto"/>
            <w:left w:val="none" w:sz="0" w:space="0" w:color="auto"/>
            <w:bottom w:val="none" w:sz="0" w:space="0" w:color="auto"/>
            <w:right w:val="none" w:sz="0" w:space="0" w:color="auto"/>
          </w:divBdr>
        </w:div>
        <w:div w:id="729811889">
          <w:marLeft w:val="0"/>
          <w:marRight w:val="0"/>
          <w:marTop w:val="0"/>
          <w:marBottom w:val="0"/>
          <w:divBdr>
            <w:top w:val="none" w:sz="0" w:space="0" w:color="auto"/>
            <w:left w:val="none" w:sz="0" w:space="0" w:color="auto"/>
            <w:bottom w:val="none" w:sz="0" w:space="0" w:color="auto"/>
            <w:right w:val="none" w:sz="0" w:space="0" w:color="auto"/>
          </w:divBdr>
        </w:div>
      </w:divsChild>
    </w:div>
    <w:div w:id="1197742394">
      <w:marLeft w:val="0"/>
      <w:marRight w:val="0"/>
      <w:marTop w:val="0"/>
      <w:marBottom w:val="0"/>
      <w:divBdr>
        <w:top w:val="none" w:sz="0" w:space="0" w:color="auto"/>
        <w:left w:val="none" w:sz="0" w:space="0" w:color="auto"/>
        <w:bottom w:val="none" w:sz="0" w:space="0" w:color="auto"/>
        <w:right w:val="none" w:sz="0" w:space="0" w:color="auto"/>
      </w:divBdr>
      <w:divsChild>
        <w:div w:id="1115170514">
          <w:marLeft w:val="0"/>
          <w:marRight w:val="0"/>
          <w:marTop w:val="0"/>
          <w:marBottom w:val="0"/>
          <w:divBdr>
            <w:top w:val="none" w:sz="0" w:space="0" w:color="auto"/>
            <w:left w:val="none" w:sz="0" w:space="0" w:color="auto"/>
            <w:bottom w:val="none" w:sz="0" w:space="0" w:color="auto"/>
            <w:right w:val="none" w:sz="0" w:space="0" w:color="auto"/>
          </w:divBdr>
        </w:div>
      </w:divsChild>
    </w:div>
    <w:div w:id="1199931303">
      <w:marLeft w:val="0"/>
      <w:marRight w:val="0"/>
      <w:marTop w:val="0"/>
      <w:marBottom w:val="0"/>
      <w:divBdr>
        <w:top w:val="none" w:sz="0" w:space="0" w:color="auto"/>
        <w:left w:val="none" w:sz="0" w:space="0" w:color="auto"/>
        <w:bottom w:val="none" w:sz="0" w:space="0" w:color="auto"/>
        <w:right w:val="none" w:sz="0" w:space="0" w:color="auto"/>
      </w:divBdr>
    </w:div>
    <w:div w:id="1202326481">
      <w:marLeft w:val="0"/>
      <w:marRight w:val="0"/>
      <w:marTop w:val="0"/>
      <w:marBottom w:val="0"/>
      <w:divBdr>
        <w:top w:val="none" w:sz="0" w:space="0" w:color="auto"/>
        <w:left w:val="none" w:sz="0" w:space="0" w:color="auto"/>
        <w:bottom w:val="none" w:sz="0" w:space="0" w:color="auto"/>
        <w:right w:val="none" w:sz="0" w:space="0" w:color="auto"/>
      </w:divBdr>
    </w:div>
    <w:div w:id="1203522700">
      <w:marLeft w:val="0"/>
      <w:marRight w:val="0"/>
      <w:marTop w:val="0"/>
      <w:marBottom w:val="0"/>
      <w:divBdr>
        <w:top w:val="none" w:sz="0" w:space="0" w:color="auto"/>
        <w:left w:val="none" w:sz="0" w:space="0" w:color="auto"/>
        <w:bottom w:val="none" w:sz="0" w:space="0" w:color="auto"/>
        <w:right w:val="none" w:sz="0" w:space="0" w:color="auto"/>
      </w:divBdr>
    </w:div>
    <w:div w:id="1203589126">
      <w:marLeft w:val="0"/>
      <w:marRight w:val="0"/>
      <w:marTop w:val="0"/>
      <w:marBottom w:val="180"/>
      <w:divBdr>
        <w:top w:val="none" w:sz="0" w:space="0" w:color="auto"/>
        <w:left w:val="none" w:sz="0" w:space="0" w:color="auto"/>
        <w:bottom w:val="none" w:sz="0" w:space="0" w:color="auto"/>
        <w:right w:val="none" w:sz="0" w:space="0" w:color="auto"/>
      </w:divBdr>
    </w:div>
    <w:div w:id="1203637710">
      <w:marLeft w:val="0"/>
      <w:marRight w:val="0"/>
      <w:marTop w:val="0"/>
      <w:marBottom w:val="0"/>
      <w:divBdr>
        <w:top w:val="none" w:sz="0" w:space="0" w:color="auto"/>
        <w:left w:val="none" w:sz="0" w:space="0" w:color="auto"/>
        <w:bottom w:val="none" w:sz="0" w:space="0" w:color="auto"/>
        <w:right w:val="none" w:sz="0" w:space="0" w:color="auto"/>
      </w:divBdr>
      <w:divsChild>
        <w:div w:id="440302032">
          <w:marLeft w:val="0"/>
          <w:marRight w:val="0"/>
          <w:marTop w:val="0"/>
          <w:marBottom w:val="0"/>
          <w:divBdr>
            <w:top w:val="none" w:sz="0" w:space="0" w:color="auto"/>
            <w:left w:val="none" w:sz="0" w:space="0" w:color="auto"/>
            <w:bottom w:val="none" w:sz="0" w:space="0" w:color="auto"/>
            <w:right w:val="none" w:sz="0" w:space="0" w:color="auto"/>
          </w:divBdr>
        </w:div>
      </w:divsChild>
    </w:div>
    <w:div w:id="1204751889">
      <w:marLeft w:val="0"/>
      <w:marRight w:val="0"/>
      <w:marTop w:val="0"/>
      <w:marBottom w:val="240"/>
      <w:divBdr>
        <w:top w:val="none" w:sz="0" w:space="0" w:color="auto"/>
        <w:left w:val="none" w:sz="0" w:space="0" w:color="auto"/>
        <w:bottom w:val="none" w:sz="0" w:space="0" w:color="auto"/>
        <w:right w:val="none" w:sz="0" w:space="0" w:color="auto"/>
      </w:divBdr>
    </w:div>
    <w:div w:id="1205557525">
      <w:marLeft w:val="0"/>
      <w:marRight w:val="0"/>
      <w:marTop w:val="0"/>
      <w:marBottom w:val="240"/>
      <w:divBdr>
        <w:top w:val="none" w:sz="0" w:space="0" w:color="auto"/>
        <w:left w:val="none" w:sz="0" w:space="0" w:color="auto"/>
        <w:bottom w:val="none" w:sz="0" w:space="0" w:color="auto"/>
        <w:right w:val="none" w:sz="0" w:space="0" w:color="auto"/>
      </w:divBdr>
    </w:div>
    <w:div w:id="1206059322">
      <w:marLeft w:val="0"/>
      <w:marRight w:val="0"/>
      <w:marTop w:val="0"/>
      <w:marBottom w:val="240"/>
      <w:divBdr>
        <w:top w:val="none" w:sz="0" w:space="0" w:color="auto"/>
        <w:left w:val="none" w:sz="0" w:space="0" w:color="auto"/>
        <w:bottom w:val="none" w:sz="0" w:space="0" w:color="auto"/>
        <w:right w:val="none" w:sz="0" w:space="0" w:color="auto"/>
      </w:divBdr>
    </w:div>
    <w:div w:id="1209075959">
      <w:marLeft w:val="0"/>
      <w:marRight w:val="0"/>
      <w:marTop w:val="120"/>
      <w:marBottom w:val="120"/>
      <w:divBdr>
        <w:top w:val="none" w:sz="0" w:space="0" w:color="auto"/>
        <w:left w:val="none" w:sz="0" w:space="0" w:color="auto"/>
        <w:bottom w:val="none" w:sz="0" w:space="0" w:color="auto"/>
        <w:right w:val="none" w:sz="0" w:space="0" w:color="auto"/>
      </w:divBdr>
    </w:div>
    <w:div w:id="1211458420">
      <w:marLeft w:val="0"/>
      <w:marRight w:val="0"/>
      <w:marTop w:val="0"/>
      <w:marBottom w:val="0"/>
      <w:divBdr>
        <w:top w:val="none" w:sz="0" w:space="0" w:color="auto"/>
        <w:left w:val="none" w:sz="0" w:space="0" w:color="auto"/>
        <w:bottom w:val="none" w:sz="0" w:space="0" w:color="auto"/>
        <w:right w:val="none" w:sz="0" w:space="0" w:color="auto"/>
      </w:divBdr>
      <w:divsChild>
        <w:div w:id="1738045116">
          <w:marLeft w:val="0"/>
          <w:marRight w:val="0"/>
          <w:marTop w:val="0"/>
          <w:marBottom w:val="0"/>
          <w:divBdr>
            <w:top w:val="none" w:sz="0" w:space="0" w:color="auto"/>
            <w:left w:val="none" w:sz="0" w:space="0" w:color="auto"/>
            <w:bottom w:val="none" w:sz="0" w:space="0" w:color="auto"/>
            <w:right w:val="none" w:sz="0" w:space="0" w:color="auto"/>
          </w:divBdr>
        </w:div>
      </w:divsChild>
    </w:div>
    <w:div w:id="1214733804">
      <w:marLeft w:val="0"/>
      <w:marRight w:val="0"/>
      <w:marTop w:val="0"/>
      <w:marBottom w:val="240"/>
      <w:divBdr>
        <w:top w:val="none" w:sz="0" w:space="0" w:color="auto"/>
        <w:left w:val="none" w:sz="0" w:space="0" w:color="auto"/>
        <w:bottom w:val="none" w:sz="0" w:space="0" w:color="auto"/>
        <w:right w:val="none" w:sz="0" w:space="0" w:color="auto"/>
      </w:divBdr>
    </w:div>
    <w:div w:id="1216509657">
      <w:marLeft w:val="0"/>
      <w:marRight w:val="0"/>
      <w:marTop w:val="120"/>
      <w:marBottom w:val="60"/>
      <w:divBdr>
        <w:top w:val="none" w:sz="0" w:space="0" w:color="auto"/>
        <w:left w:val="none" w:sz="0" w:space="0" w:color="auto"/>
        <w:bottom w:val="none" w:sz="0" w:space="0" w:color="auto"/>
        <w:right w:val="none" w:sz="0" w:space="0" w:color="auto"/>
      </w:divBdr>
    </w:div>
    <w:div w:id="1217280373">
      <w:marLeft w:val="0"/>
      <w:marRight w:val="0"/>
      <w:marTop w:val="0"/>
      <w:marBottom w:val="0"/>
      <w:divBdr>
        <w:top w:val="none" w:sz="0" w:space="0" w:color="auto"/>
        <w:left w:val="none" w:sz="0" w:space="0" w:color="auto"/>
        <w:bottom w:val="none" w:sz="0" w:space="0" w:color="auto"/>
        <w:right w:val="none" w:sz="0" w:space="0" w:color="auto"/>
      </w:divBdr>
      <w:divsChild>
        <w:div w:id="1174880896">
          <w:marLeft w:val="0"/>
          <w:marRight w:val="0"/>
          <w:marTop w:val="0"/>
          <w:marBottom w:val="0"/>
          <w:divBdr>
            <w:top w:val="none" w:sz="0" w:space="0" w:color="auto"/>
            <w:left w:val="none" w:sz="0" w:space="0" w:color="auto"/>
            <w:bottom w:val="none" w:sz="0" w:space="0" w:color="auto"/>
            <w:right w:val="none" w:sz="0" w:space="0" w:color="auto"/>
          </w:divBdr>
        </w:div>
      </w:divsChild>
    </w:div>
    <w:div w:id="1217397717">
      <w:marLeft w:val="0"/>
      <w:marRight w:val="0"/>
      <w:marTop w:val="120"/>
      <w:marBottom w:val="120"/>
      <w:divBdr>
        <w:top w:val="none" w:sz="0" w:space="0" w:color="auto"/>
        <w:left w:val="none" w:sz="0" w:space="0" w:color="auto"/>
        <w:bottom w:val="none" w:sz="0" w:space="0" w:color="auto"/>
        <w:right w:val="none" w:sz="0" w:space="0" w:color="auto"/>
      </w:divBdr>
    </w:div>
    <w:div w:id="1219631392">
      <w:marLeft w:val="0"/>
      <w:marRight w:val="0"/>
      <w:marTop w:val="0"/>
      <w:marBottom w:val="240"/>
      <w:divBdr>
        <w:top w:val="none" w:sz="0" w:space="0" w:color="auto"/>
        <w:left w:val="none" w:sz="0" w:space="0" w:color="auto"/>
        <w:bottom w:val="none" w:sz="0" w:space="0" w:color="auto"/>
        <w:right w:val="none" w:sz="0" w:space="0" w:color="auto"/>
      </w:divBdr>
    </w:div>
    <w:div w:id="1220283739">
      <w:marLeft w:val="0"/>
      <w:marRight w:val="0"/>
      <w:marTop w:val="0"/>
      <w:marBottom w:val="180"/>
      <w:divBdr>
        <w:top w:val="none" w:sz="0" w:space="0" w:color="auto"/>
        <w:left w:val="none" w:sz="0" w:space="0" w:color="auto"/>
        <w:bottom w:val="none" w:sz="0" w:space="0" w:color="auto"/>
        <w:right w:val="none" w:sz="0" w:space="0" w:color="auto"/>
      </w:divBdr>
    </w:div>
    <w:div w:id="1220482812">
      <w:marLeft w:val="0"/>
      <w:marRight w:val="0"/>
      <w:marTop w:val="0"/>
      <w:marBottom w:val="180"/>
      <w:divBdr>
        <w:top w:val="none" w:sz="0" w:space="0" w:color="auto"/>
        <w:left w:val="none" w:sz="0" w:space="0" w:color="auto"/>
        <w:bottom w:val="none" w:sz="0" w:space="0" w:color="auto"/>
        <w:right w:val="none" w:sz="0" w:space="0" w:color="auto"/>
      </w:divBdr>
    </w:div>
    <w:div w:id="1221483450">
      <w:marLeft w:val="0"/>
      <w:marRight w:val="0"/>
      <w:marTop w:val="0"/>
      <w:marBottom w:val="0"/>
      <w:divBdr>
        <w:top w:val="none" w:sz="0" w:space="0" w:color="auto"/>
        <w:left w:val="none" w:sz="0" w:space="0" w:color="auto"/>
        <w:bottom w:val="none" w:sz="0" w:space="0" w:color="auto"/>
        <w:right w:val="none" w:sz="0" w:space="0" w:color="auto"/>
      </w:divBdr>
    </w:div>
    <w:div w:id="1222404462">
      <w:marLeft w:val="0"/>
      <w:marRight w:val="0"/>
      <w:marTop w:val="0"/>
      <w:marBottom w:val="180"/>
      <w:divBdr>
        <w:top w:val="none" w:sz="0" w:space="0" w:color="auto"/>
        <w:left w:val="none" w:sz="0" w:space="0" w:color="auto"/>
        <w:bottom w:val="none" w:sz="0" w:space="0" w:color="auto"/>
        <w:right w:val="none" w:sz="0" w:space="0" w:color="auto"/>
      </w:divBdr>
    </w:div>
    <w:div w:id="1224023373">
      <w:marLeft w:val="0"/>
      <w:marRight w:val="0"/>
      <w:marTop w:val="0"/>
      <w:marBottom w:val="180"/>
      <w:divBdr>
        <w:top w:val="none" w:sz="0" w:space="0" w:color="auto"/>
        <w:left w:val="none" w:sz="0" w:space="0" w:color="auto"/>
        <w:bottom w:val="none" w:sz="0" w:space="0" w:color="auto"/>
        <w:right w:val="none" w:sz="0" w:space="0" w:color="auto"/>
      </w:divBdr>
    </w:div>
    <w:div w:id="1224099435">
      <w:marLeft w:val="0"/>
      <w:marRight w:val="0"/>
      <w:marTop w:val="0"/>
      <w:marBottom w:val="0"/>
      <w:divBdr>
        <w:top w:val="none" w:sz="0" w:space="0" w:color="auto"/>
        <w:left w:val="none" w:sz="0" w:space="0" w:color="auto"/>
        <w:bottom w:val="none" w:sz="0" w:space="0" w:color="auto"/>
        <w:right w:val="none" w:sz="0" w:space="0" w:color="auto"/>
      </w:divBdr>
      <w:divsChild>
        <w:div w:id="1253854969">
          <w:marLeft w:val="0"/>
          <w:marRight w:val="0"/>
          <w:marTop w:val="0"/>
          <w:marBottom w:val="0"/>
          <w:divBdr>
            <w:top w:val="none" w:sz="0" w:space="0" w:color="auto"/>
            <w:left w:val="none" w:sz="0" w:space="0" w:color="auto"/>
            <w:bottom w:val="none" w:sz="0" w:space="0" w:color="auto"/>
            <w:right w:val="none" w:sz="0" w:space="0" w:color="auto"/>
          </w:divBdr>
        </w:div>
      </w:divsChild>
    </w:div>
    <w:div w:id="1224410255">
      <w:marLeft w:val="0"/>
      <w:marRight w:val="0"/>
      <w:marTop w:val="0"/>
      <w:marBottom w:val="0"/>
      <w:divBdr>
        <w:top w:val="none" w:sz="0" w:space="0" w:color="auto"/>
        <w:left w:val="none" w:sz="0" w:space="0" w:color="auto"/>
        <w:bottom w:val="none" w:sz="0" w:space="0" w:color="auto"/>
        <w:right w:val="none" w:sz="0" w:space="0" w:color="auto"/>
      </w:divBdr>
    </w:div>
    <w:div w:id="1229148386">
      <w:marLeft w:val="0"/>
      <w:marRight w:val="0"/>
      <w:marTop w:val="0"/>
      <w:marBottom w:val="0"/>
      <w:divBdr>
        <w:top w:val="none" w:sz="0" w:space="0" w:color="auto"/>
        <w:left w:val="none" w:sz="0" w:space="0" w:color="auto"/>
        <w:bottom w:val="none" w:sz="0" w:space="0" w:color="auto"/>
        <w:right w:val="none" w:sz="0" w:space="0" w:color="auto"/>
      </w:divBdr>
    </w:div>
    <w:div w:id="1230191630">
      <w:marLeft w:val="0"/>
      <w:marRight w:val="0"/>
      <w:marTop w:val="0"/>
      <w:marBottom w:val="0"/>
      <w:divBdr>
        <w:top w:val="none" w:sz="0" w:space="0" w:color="auto"/>
        <w:left w:val="none" w:sz="0" w:space="0" w:color="auto"/>
        <w:bottom w:val="none" w:sz="0" w:space="0" w:color="auto"/>
        <w:right w:val="none" w:sz="0" w:space="0" w:color="auto"/>
      </w:divBdr>
    </w:div>
    <w:div w:id="1230769399">
      <w:marLeft w:val="0"/>
      <w:marRight w:val="0"/>
      <w:marTop w:val="0"/>
      <w:marBottom w:val="0"/>
      <w:divBdr>
        <w:top w:val="none" w:sz="0" w:space="0" w:color="auto"/>
        <w:left w:val="none" w:sz="0" w:space="0" w:color="auto"/>
        <w:bottom w:val="none" w:sz="0" w:space="0" w:color="auto"/>
        <w:right w:val="none" w:sz="0" w:space="0" w:color="auto"/>
      </w:divBdr>
    </w:div>
    <w:div w:id="1230925132">
      <w:marLeft w:val="0"/>
      <w:marRight w:val="0"/>
      <w:marTop w:val="180"/>
      <w:marBottom w:val="180"/>
      <w:divBdr>
        <w:top w:val="none" w:sz="0" w:space="0" w:color="auto"/>
        <w:left w:val="none" w:sz="0" w:space="0" w:color="auto"/>
        <w:bottom w:val="none" w:sz="0" w:space="0" w:color="auto"/>
        <w:right w:val="none" w:sz="0" w:space="0" w:color="auto"/>
      </w:divBdr>
    </w:div>
    <w:div w:id="1231622563">
      <w:marLeft w:val="0"/>
      <w:marRight w:val="0"/>
      <w:marTop w:val="0"/>
      <w:marBottom w:val="240"/>
      <w:divBdr>
        <w:top w:val="none" w:sz="0" w:space="0" w:color="auto"/>
        <w:left w:val="none" w:sz="0" w:space="0" w:color="auto"/>
        <w:bottom w:val="none" w:sz="0" w:space="0" w:color="auto"/>
        <w:right w:val="none" w:sz="0" w:space="0" w:color="auto"/>
      </w:divBdr>
    </w:div>
    <w:div w:id="1231697970">
      <w:marLeft w:val="0"/>
      <w:marRight w:val="0"/>
      <w:marTop w:val="0"/>
      <w:marBottom w:val="0"/>
      <w:divBdr>
        <w:top w:val="none" w:sz="0" w:space="0" w:color="auto"/>
        <w:left w:val="none" w:sz="0" w:space="0" w:color="auto"/>
        <w:bottom w:val="none" w:sz="0" w:space="0" w:color="auto"/>
        <w:right w:val="none" w:sz="0" w:space="0" w:color="auto"/>
      </w:divBdr>
      <w:divsChild>
        <w:div w:id="1575313767">
          <w:marLeft w:val="0"/>
          <w:marRight w:val="0"/>
          <w:marTop w:val="0"/>
          <w:marBottom w:val="0"/>
          <w:divBdr>
            <w:top w:val="none" w:sz="0" w:space="0" w:color="auto"/>
            <w:left w:val="none" w:sz="0" w:space="0" w:color="auto"/>
            <w:bottom w:val="none" w:sz="0" w:space="0" w:color="auto"/>
            <w:right w:val="none" w:sz="0" w:space="0" w:color="auto"/>
          </w:divBdr>
        </w:div>
      </w:divsChild>
    </w:div>
    <w:div w:id="1233274339">
      <w:marLeft w:val="0"/>
      <w:marRight w:val="0"/>
      <w:marTop w:val="0"/>
      <w:marBottom w:val="0"/>
      <w:divBdr>
        <w:top w:val="none" w:sz="0" w:space="0" w:color="auto"/>
        <w:left w:val="none" w:sz="0" w:space="0" w:color="auto"/>
        <w:bottom w:val="none" w:sz="0" w:space="0" w:color="auto"/>
        <w:right w:val="none" w:sz="0" w:space="0" w:color="auto"/>
      </w:divBdr>
    </w:div>
    <w:div w:id="1234390525">
      <w:marLeft w:val="0"/>
      <w:marRight w:val="0"/>
      <w:marTop w:val="0"/>
      <w:marBottom w:val="0"/>
      <w:divBdr>
        <w:top w:val="none" w:sz="0" w:space="0" w:color="auto"/>
        <w:left w:val="none" w:sz="0" w:space="0" w:color="auto"/>
        <w:bottom w:val="none" w:sz="0" w:space="0" w:color="auto"/>
        <w:right w:val="none" w:sz="0" w:space="0" w:color="auto"/>
      </w:divBdr>
    </w:div>
    <w:div w:id="1235819593">
      <w:marLeft w:val="0"/>
      <w:marRight w:val="0"/>
      <w:marTop w:val="120"/>
      <w:marBottom w:val="240"/>
      <w:divBdr>
        <w:top w:val="none" w:sz="0" w:space="0" w:color="auto"/>
        <w:left w:val="none" w:sz="0" w:space="0" w:color="auto"/>
        <w:bottom w:val="none" w:sz="0" w:space="0" w:color="auto"/>
        <w:right w:val="none" w:sz="0" w:space="0" w:color="auto"/>
      </w:divBdr>
    </w:div>
    <w:div w:id="1236010828">
      <w:marLeft w:val="0"/>
      <w:marRight w:val="0"/>
      <w:marTop w:val="0"/>
      <w:marBottom w:val="0"/>
      <w:divBdr>
        <w:top w:val="none" w:sz="0" w:space="0" w:color="auto"/>
        <w:left w:val="none" w:sz="0" w:space="0" w:color="auto"/>
        <w:bottom w:val="none" w:sz="0" w:space="0" w:color="auto"/>
        <w:right w:val="none" w:sz="0" w:space="0" w:color="auto"/>
      </w:divBdr>
    </w:div>
    <w:div w:id="1236356934">
      <w:marLeft w:val="0"/>
      <w:marRight w:val="0"/>
      <w:marTop w:val="120"/>
      <w:marBottom w:val="120"/>
      <w:divBdr>
        <w:top w:val="none" w:sz="0" w:space="0" w:color="auto"/>
        <w:left w:val="none" w:sz="0" w:space="0" w:color="auto"/>
        <w:bottom w:val="none" w:sz="0" w:space="0" w:color="auto"/>
        <w:right w:val="none" w:sz="0" w:space="0" w:color="auto"/>
      </w:divBdr>
    </w:div>
    <w:div w:id="1243294817">
      <w:marLeft w:val="0"/>
      <w:marRight w:val="0"/>
      <w:marTop w:val="0"/>
      <w:marBottom w:val="0"/>
      <w:divBdr>
        <w:top w:val="none" w:sz="0" w:space="0" w:color="auto"/>
        <w:left w:val="none" w:sz="0" w:space="0" w:color="auto"/>
        <w:bottom w:val="none" w:sz="0" w:space="0" w:color="auto"/>
        <w:right w:val="none" w:sz="0" w:space="0" w:color="auto"/>
      </w:divBdr>
      <w:divsChild>
        <w:div w:id="1258632204">
          <w:marLeft w:val="0"/>
          <w:marRight w:val="0"/>
          <w:marTop w:val="0"/>
          <w:marBottom w:val="0"/>
          <w:divBdr>
            <w:top w:val="none" w:sz="0" w:space="0" w:color="auto"/>
            <w:left w:val="none" w:sz="0" w:space="0" w:color="auto"/>
            <w:bottom w:val="none" w:sz="0" w:space="0" w:color="auto"/>
            <w:right w:val="none" w:sz="0" w:space="0" w:color="auto"/>
          </w:divBdr>
        </w:div>
      </w:divsChild>
    </w:div>
    <w:div w:id="1244342566">
      <w:marLeft w:val="0"/>
      <w:marRight w:val="0"/>
      <w:marTop w:val="0"/>
      <w:marBottom w:val="180"/>
      <w:divBdr>
        <w:top w:val="none" w:sz="0" w:space="0" w:color="auto"/>
        <w:left w:val="none" w:sz="0" w:space="0" w:color="auto"/>
        <w:bottom w:val="none" w:sz="0" w:space="0" w:color="auto"/>
        <w:right w:val="none" w:sz="0" w:space="0" w:color="auto"/>
      </w:divBdr>
    </w:div>
    <w:div w:id="1244949428">
      <w:marLeft w:val="0"/>
      <w:marRight w:val="0"/>
      <w:marTop w:val="0"/>
      <w:marBottom w:val="180"/>
      <w:divBdr>
        <w:top w:val="none" w:sz="0" w:space="0" w:color="auto"/>
        <w:left w:val="none" w:sz="0" w:space="0" w:color="auto"/>
        <w:bottom w:val="none" w:sz="0" w:space="0" w:color="auto"/>
        <w:right w:val="none" w:sz="0" w:space="0" w:color="auto"/>
      </w:divBdr>
    </w:div>
    <w:div w:id="1245531886">
      <w:marLeft w:val="0"/>
      <w:marRight w:val="0"/>
      <w:marTop w:val="0"/>
      <w:marBottom w:val="240"/>
      <w:divBdr>
        <w:top w:val="none" w:sz="0" w:space="0" w:color="auto"/>
        <w:left w:val="none" w:sz="0" w:space="0" w:color="auto"/>
        <w:bottom w:val="none" w:sz="0" w:space="0" w:color="auto"/>
        <w:right w:val="none" w:sz="0" w:space="0" w:color="auto"/>
      </w:divBdr>
    </w:div>
    <w:div w:id="1247959632">
      <w:marLeft w:val="0"/>
      <w:marRight w:val="0"/>
      <w:marTop w:val="0"/>
      <w:marBottom w:val="180"/>
      <w:divBdr>
        <w:top w:val="none" w:sz="0" w:space="0" w:color="auto"/>
        <w:left w:val="none" w:sz="0" w:space="0" w:color="auto"/>
        <w:bottom w:val="none" w:sz="0" w:space="0" w:color="auto"/>
        <w:right w:val="none" w:sz="0" w:space="0" w:color="auto"/>
      </w:divBdr>
    </w:div>
    <w:div w:id="1248004648">
      <w:marLeft w:val="0"/>
      <w:marRight w:val="0"/>
      <w:marTop w:val="120"/>
      <w:marBottom w:val="120"/>
      <w:divBdr>
        <w:top w:val="none" w:sz="0" w:space="0" w:color="auto"/>
        <w:left w:val="none" w:sz="0" w:space="0" w:color="auto"/>
        <w:bottom w:val="none" w:sz="0" w:space="0" w:color="auto"/>
        <w:right w:val="none" w:sz="0" w:space="0" w:color="auto"/>
      </w:divBdr>
    </w:div>
    <w:div w:id="1248729295">
      <w:marLeft w:val="0"/>
      <w:marRight w:val="0"/>
      <w:marTop w:val="0"/>
      <w:marBottom w:val="240"/>
      <w:divBdr>
        <w:top w:val="none" w:sz="0" w:space="0" w:color="auto"/>
        <w:left w:val="none" w:sz="0" w:space="0" w:color="auto"/>
        <w:bottom w:val="none" w:sz="0" w:space="0" w:color="auto"/>
        <w:right w:val="none" w:sz="0" w:space="0" w:color="auto"/>
      </w:divBdr>
    </w:div>
    <w:div w:id="1248731464">
      <w:marLeft w:val="0"/>
      <w:marRight w:val="0"/>
      <w:marTop w:val="0"/>
      <w:marBottom w:val="180"/>
      <w:divBdr>
        <w:top w:val="none" w:sz="0" w:space="0" w:color="auto"/>
        <w:left w:val="none" w:sz="0" w:space="0" w:color="auto"/>
        <w:bottom w:val="none" w:sz="0" w:space="0" w:color="auto"/>
        <w:right w:val="none" w:sz="0" w:space="0" w:color="auto"/>
      </w:divBdr>
    </w:div>
    <w:div w:id="1249078404">
      <w:marLeft w:val="0"/>
      <w:marRight w:val="0"/>
      <w:marTop w:val="0"/>
      <w:marBottom w:val="180"/>
      <w:divBdr>
        <w:top w:val="none" w:sz="0" w:space="0" w:color="auto"/>
        <w:left w:val="none" w:sz="0" w:space="0" w:color="auto"/>
        <w:bottom w:val="none" w:sz="0" w:space="0" w:color="auto"/>
        <w:right w:val="none" w:sz="0" w:space="0" w:color="auto"/>
      </w:divBdr>
    </w:div>
    <w:div w:id="1250112866">
      <w:marLeft w:val="0"/>
      <w:marRight w:val="0"/>
      <w:marTop w:val="0"/>
      <w:marBottom w:val="240"/>
      <w:divBdr>
        <w:top w:val="none" w:sz="0" w:space="0" w:color="auto"/>
        <w:left w:val="none" w:sz="0" w:space="0" w:color="auto"/>
        <w:bottom w:val="none" w:sz="0" w:space="0" w:color="auto"/>
        <w:right w:val="none" w:sz="0" w:space="0" w:color="auto"/>
      </w:divBdr>
    </w:div>
    <w:div w:id="1251810843">
      <w:marLeft w:val="0"/>
      <w:marRight w:val="0"/>
      <w:marTop w:val="100"/>
      <w:marBottom w:val="240"/>
      <w:divBdr>
        <w:top w:val="none" w:sz="0" w:space="0" w:color="auto"/>
        <w:left w:val="none" w:sz="0" w:space="0" w:color="auto"/>
        <w:bottom w:val="none" w:sz="0" w:space="0" w:color="auto"/>
        <w:right w:val="none" w:sz="0" w:space="0" w:color="auto"/>
      </w:divBdr>
    </w:div>
    <w:div w:id="1253199921">
      <w:marLeft w:val="0"/>
      <w:marRight w:val="0"/>
      <w:marTop w:val="0"/>
      <w:marBottom w:val="0"/>
      <w:divBdr>
        <w:top w:val="none" w:sz="0" w:space="0" w:color="auto"/>
        <w:left w:val="none" w:sz="0" w:space="0" w:color="auto"/>
        <w:bottom w:val="none" w:sz="0" w:space="0" w:color="auto"/>
        <w:right w:val="none" w:sz="0" w:space="0" w:color="auto"/>
      </w:divBdr>
    </w:div>
    <w:div w:id="1254364447">
      <w:marLeft w:val="0"/>
      <w:marRight w:val="0"/>
      <w:marTop w:val="0"/>
      <w:marBottom w:val="240"/>
      <w:divBdr>
        <w:top w:val="none" w:sz="0" w:space="0" w:color="auto"/>
        <w:left w:val="none" w:sz="0" w:space="0" w:color="auto"/>
        <w:bottom w:val="none" w:sz="0" w:space="0" w:color="auto"/>
        <w:right w:val="none" w:sz="0" w:space="0" w:color="auto"/>
      </w:divBdr>
    </w:div>
    <w:div w:id="1255820650">
      <w:marLeft w:val="0"/>
      <w:marRight w:val="0"/>
      <w:marTop w:val="120"/>
      <w:marBottom w:val="120"/>
      <w:divBdr>
        <w:top w:val="none" w:sz="0" w:space="0" w:color="auto"/>
        <w:left w:val="none" w:sz="0" w:space="0" w:color="auto"/>
        <w:bottom w:val="none" w:sz="0" w:space="0" w:color="auto"/>
        <w:right w:val="none" w:sz="0" w:space="0" w:color="auto"/>
      </w:divBdr>
    </w:div>
    <w:div w:id="1255867598">
      <w:marLeft w:val="0"/>
      <w:marRight w:val="0"/>
      <w:marTop w:val="0"/>
      <w:marBottom w:val="180"/>
      <w:divBdr>
        <w:top w:val="none" w:sz="0" w:space="0" w:color="auto"/>
        <w:left w:val="none" w:sz="0" w:space="0" w:color="auto"/>
        <w:bottom w:val="none" w:sz="0" w:space="0" w:color="auto"/>
        <w:right w:val="none" w:sz="0" w:space="0" w:color="auto"/>
      </w:divBdr>
    </w:div>
    <w:div w:id="1259751108">
      <w:marLeft w:val="0"/>
      <w:marRight w:val="0"/>
      <w:marTop w:val="0"/>
      <w:marBottom w:val="0"/>
      <w:divBdr>
        <w:top w:val="none" w:sz="0" w:space="0" w:color="auto"/>
        <w:left w:val="none" w:sz="0" w:space="0" w:color="auto"/>
        <w:bottom w:val="none" w:sz="0" w:space="0" w:color="auto"/>
        <w:right w:val="none" w:sz="0" w:space="0" w:color="auto"/>
      </w:divBdr>
    </w:div>
    <w:div w:id="1262564727">
      <w:marLeft w:val="0"/>
      <w:marRight w:val="0"/>
      <w:marTop w:val="0"/>
      <w:marBottom w:val="0"/>
      <w:divBdr>
        <w:top w:val="none" w:sz="0" w:space="0" w:color="auto"/>
        <w:left w:val="none" w:sz="0" w:space="0" w:color="auto"/>
        <w:bottom w:val="none" w:sz="0" w:space="0" w:color="auto"/>
        <w:right w:val="none" w:sz="0" w:space="0" w:color="auto"/>
      </w:divBdr>
      <w:divsChild>
        <w:div w:id="2028437054">
          <w:marLeft w:val="0"/>
          <w:marRight w:val="0"/>
          <w:marTop w:val="0"/>
          <w:marBottom w:val="0"/>
          <w:divBdr>
            <w:top w:val="none" w:sz="0" w:space="0" w:color="auto"/>
            <w:left w:val="none" w:sz="0" w:space="0" w:color="auto"/>
            <w:bottom w:val="none" w:sz="0" w:space="0" w:color="auto"/>
            <w:right w:val="none" w:sz="0" w:space="0" w:color="auto"/>
          </w:divBdr>
        </w:div>
      </w:divsChild>
    </w:div>
    <w:div w:id="1263880819">
      <w:marLeft w:val="0"/>
      <w:marRight w:val="0"/>
      <w:marTop w:val="0"/>
      <w:marBottom w:val="240"/>
      <w:divBdr>
        <w:top w:val="none" w:sz="0" w:space="0" w:color="auto"/>
        <w:left w:val="none" w:sz="0" w:space="0" w:color="auto"/>
        <w:bottom w:val="none" w:sz="0" w:space="0" w:color="auto"/>
        <w:right w:val="none" w:sz="0" w:space="0" w:color="auto"/>
      </w:divBdr>
    </w:div>
    <w:div w:id="1264144974">
      <w:marLeft w:val="0"/>
      <w:marRight w:val="0"/>
      <w:marTop w:val="0"/>
      <w:marBottom w:val="240"/>
      <w:divBdr>
        <w:top w:val="none" w:sz="0" w:space="0" w:color="auto"/>
        <w:left w:val="none" w:sz="0" w:space="0" w:color="auto"/>
        <w:bottom w:val="none" w:sz="0" w:space="0" w:color="auto"/>
        <w:right w:val="none" w:sz="0" w:space="0" w:color="auto"/>
      </w:divBdr>
    </w:div>
    <w:div w:id="1264797445">
      <w:marLeft w:val="0"/>
      <w:marRight w:val="0"/>
      <w:marTop w:val="0"/>
      <w:marBottom w:val="240"/>
      <w:divBdr>
        <w:top w:val="none" w:sz="0" w:space="0" w:color="auto"/>
        <w:left w:val="none" w:sz="0" w:space="0" w:color="auto"/>
        <w:bottom w:val="none" w:sz="0" w:space="0" w:color="auto"/>
        <w:right w:val="none" w:sz="0" w:space="0" w:color="auto"/>
      </w:divBdr>
    </w:div>
    <w:div w:id="1265645995">
      <w:marLeft w:val="0"/>
      <w:marRight w:val="0"/>
      <w:marTop w:val="0"/>
      <w:marBottom w:val="180"/>
      <w:divBdr>
        <w:top w:val="none" w:sz="0" w:space="0" w:color="auto"/>
        <w:left w:val="none" w:sz="0" w:space="0" w:color="auto"/>
        <w:bottom w:val="none" w:sz="0" w:space="0" w:color="auto"/>
        <w:right w:val="none" w:sz="0" w:space="0" w:color="auto"/>
      </w:divBdr>
    </w:div>
    <w:div w:id="1266310260">
      <w:marLeft w:val="0"/>
      <w:marRight w:val="0"/>
      <w:marTop w:val="0"/>
      <w:marBottom w:val="0"/>
      <w:divBdr>
        <w:top w:val="none" w:sz="0" w:space="0" w:color="auto"/>
        <w:left w:val="none" w:sz="0" w:space="0" w:color="auto"/>
        <w:bottom w:val="none" w:sz="0" w:space="0" w:color="auto"/>
        <w:right w:val="none" w:sz="0" w:space="0" w:color="auto"/>
      </w:divBdr>
    </w:div>
    <w:div w:id="1268081161">
      <w:marLeft w:val="0"/>
      <w:marRight w:val="0"/>
      <w:marTop w:val="0"/>
      <w:marBottom w:val="240"/>
      <w:divBdr>
        <w:top w:val="none" w:sz="0" w:space="0" w:color="auto"/>
        <w:left w:val="none" w:sz="0" w:space="0" w:color="auto"/>
        <w:bottom w:val="none" w:sz="0" w:space="0" w:color="auto"/>
        <w:right w:val="none" w:sz="0" w:space="0" w:color="auto"/>
      </w:divBdr>
    </w:div>
    <w:div w:id="1268612126">
      <w:marLeft w:val="0"/>
      <w:marRight w:val="0"/>
      <w:marTop w:val="0"/>
      <w:marBottom w:val="0"/>
      <w:divBdr>
        <w:top w:val="none" w:sz="0" w:space="0" w:color="auto"/>
        <w:left w:val="none" w:sz="0" w:space="0" w:color="auto"/>
        <w:bottom w:val="none" w:sz="0" w:space="0" w:color="auto"/>
        <w:right w:val="none" w:sz="0" w:space="0" w:color="auto"/>
      </w:divBdr>
    </w:div>
    <w:div w:id="1269629033">
      <w:marLeft w:val="0"/>
      <w:marRight w:val="0"/>
      <w:marTop w:val="120"/>
      <w:marBottom w:val="120"/>
      <w:divBdr>
        <w:top w:val="none" w:sz="0" w:space="0" w:color="auto"/>
        <w:left w:val="none" w:sz="0" w:space="0" w:color="auto"/>
        <w:bottom w:val="none" w:sz="0" w:space="0" w:color="auto"/>
        <w:right w:val="none" w:sz="0" w:space="0" w:color="auto"/>
      </w:divBdr>
    </w:div>
    <w:div w:id="1269849278">
      <w:marLeft w:val="0"/>
      <w:marRight w:val="0"/>
      <w:marTop w:val="0"/>
      <w:marBottom w:val="0"/>
      <w:divBdr>
        <w:top w:val="none" w:sz="0" w:space="0" w:color="auto"/>
        <w:left w:val="none" w:sz="0" w:space="0" w:color="auto"/>
        <w:bottom w:val="none" w:sz="0" w:space="0" w:color="auto"/>
        <w:right w:val="none" w:sz="0" w:space="0" w:color="auto"/>
      </w:divBdr>
      <w:divsChild>
        <w:div w:id="1431856527">
          <w:marLeft w:val="0"/>
          <w:marRight w:val="0"/>
          <w:marTop w:val="0"/>
          <w:marBottom w:val="0"/>
          <w:divBdr>
            <w:top w:val="none" w:sz="0" w:space="0" w:color="auto"/>
            <w:left w:val="none" w:sz="0" w:space="0" w:color="auto"/>
            <w:bottom w:val="none" w:sz="0" w:space="0" w:color="auto"/>
            <w:right w:val="none" w:sz="0" w:space="0" w:color="auto"/>
          </w:divBdr>
        </w:div>
      </w:divsChild>
    </w:div>
    <w:div w:id="1273588574">
      <w:marLeft w:val="0"/>
      <w:marRight w:val="0"/>
      <w:marTop w:val="180"/>
      <w:marBottom w:val="180"/>
      <w:divBdr>
        <w:top w:val="none" w:sz="0" w:space="0" w:color="auto"/>
        <w:left w:val="none" w:sz="0" w:space="0" w:color="auto"/>
        <w:bottom w:val="none" w:sz="0" w:space="0" w:color="auto"/>
        <w:right w:val="none" w:sz="0" w:space="0" w:color="auto"/>
      </w:divBdr>
    </w:div>
    <w:div w:id="1276135771">
      <w:marLeft w:val="0"/>
      <w:marRight w:val="0"/>
      <w:marTop w:val="0"/>
      <w:marBottom w:val="180"/>
      <w:divBdr>
        <w:top w:val="none" w:sz="0" w:space="0" w:color="auto"/>
        <w:left w:val="none" w:sz="0" w:space="0" w:color="auto"/>
        <w:bottom w:val="none" w:sz="0" w:space="0" w:color="auto"/>
        <w:right w:val="none" w:sz="0" w:space="0" w:color="auto"/>
      </w:divBdr>
    </w:div>
    <w:div w:id="1277366837">
      <w:marLeft w:val="0"/>
      <w:marRight w:val="0"/>
      <w:marTop w:val="0"/>
      <w:marBottom w:val="0"/>
      <w:divBdr>
        <w:top w:val="none" w:sz="0" w:space="0" w:color="auto"/>
        <w:left w:val="none" w:sz="0" w:space="0" w:color="auto"/>
        <w:bottom w:val="none" w:sz="0" w:space="0" w:color="auto"/>
        <w:right w:val="none" w:sz="0" w:space="0" w:color="auto"/>
      </w:divBdr>
      <w:divsChild>
        <w:div w:id="476530998">
          <w:marLeft w:val="0"/>
          <w:marRight w:val="0"/>
          <w:marTop w:val="0"/>
          <w:marBottom w:val="0"/>
          <w:divBdr>
            <w:top w:val="none" w:sz="0" w:space="0" w:color="auto"/>
            <w:left w:val="none" w:sz="0" w:space="0" w:color="auto"/>
            <w:bottom w:val="none" w:sz="0" w:space="0" w:color="auto"/>
            <w:right w:val="none" w:sz="0" w:space="0" w:color="auto"/>
          </w:divBdr>
        </w:div>
      </w:divsChild>
    </w:div>
    <w:div w:id="1277371631">
      <w:marLeft w:val="0"/>
      <w:marRight w:val="0"/>
      <w:marTop w:val="0"/>
      <w:marBottom w:val="0"/>
      <w:divBdr>
        <w:top w:val="none" w:sz="0" w:space="0" w:color="auto"/>
        <w:left w:val="none" w:sz="0" w:space="0" w:color="auto"/>
        <w:bottom w:val="none" w:sz="0" w:space="0" w:color="auto"/>
        <w:right w:val="none" w:sz="0" w:space="0" w:color="auto"/>
      </w:divBdr>
      <w:divsChild>
        <w:div w:id="1066876284">
          <w:marLeft w:val="0"/>
          <w:marRight w:val="0"/>
          <w:marTop w:val="0"/>
          <w:marBottom w:val="0"/>
          <w:divBdr>
            <w:top w:val="none" w:sz="0" w:space="0" w:color="auto"/>
            <w:left w:val="none" w:sz="0" w:space="0" w:color="auto"/>
            <w:bottom w:val="none" w:sz="0" w:space="0" w:color="auto"/>
            <w:right w:val="none" w:sz="0" w:space="0" w:color="auto"/>
          </w:divBdr>
        </w:div>
      </w:divsChild>
    </w:div>
    <w:div w:id="1277755785">
      <w:marLeft w:val="0"/>
      <w:marRight w:val="0"/>
      <w:marTop w:val="120"/>
      <w:marBottom w:val="120"/>
      <w:divBdr>
        <w:top w:val="none" w:sz="0" w:space="0" w:color="auto"/>
        <w:left w:val="none" w:sz="0" w:space="0" w:color="auto"/>
        <w:bottom w:val="none" w:sz="0" w:space="0" w:color="auto"/>
        <w:right w:val="none" w:sz="0" w:space="0" w:color="auto"/>
      </w:divBdr>
    </w:div>
    <w:div w:id="1283882114">
      <w:marLeft w:val="0"/>
      <w:marRight w:val="0"/>
      <w:marTop w:val="180"/>
      <w:marBottom w:val="180"/>
      <w:divBdr>
        <w:top w:val="none" w:sz="0" w:space="0" w:color="auto"/>
        <w:left w:val="none" w:sz="0" w:space="0" w:color="auto"/>
        <w:bottom w:val="none" w:sz="0" w:space="0" w:color="auto"/>
        <w:right w:val="none" w:sz="0" w:space="0" w:color="auto"/>
      </w:divBdr>
    </w:div>
    <w:div w:id="1284383988">
      <w:marLeft w:val="0"/>
      <w:marRight w:val="0"/>
      <w:marTop w:val="0"/>
      <w:marBottom w:val="240"/>
      <w:divBdr>
        <w:top w:val="none" w:sz="0" w:space="0" w:color="auto"/>
        <w:left w:val="none" w:sz="0" w:space="0" w:color="auto"/>
        <w:bottom w:val="none" w:sz="0" w:space="0" w:color="auto"/>
        <w:right w:val="none" w:sz="0" w:space="0" w:color="auto"/>
      </w:divBdr>
    </w:div>
    <w:div w:id="1285037733">
      <w:marLeft w:val="0"/>
      <w:marRight w:val="0"/>
      <w:marTop w:val="0"/>
      <w:marBottom w:val="0"/>
      <w:divBdr>
        <w:top w:val="none" w:sz="0" w:space="0" w:color="auto"/>
        <w:left w:val="none" w:sz="0" w:space="0" w:color="auto"/>
        <w:bottom w:val="none" w:sz="0" w:space="0" w:color="auto"/>
        <w:right w:val="none" w:sz="0" w:space="0" w:color="auto"/>
      </w:divBdr>
    </w:div>
    <w:div w:id="1285817750">
      <w:marLeft w:val="0"/>
      <w:marRight w:val="0"/>
      <w:marTop w:val="0"/>
      <w:marBottom w:val="0"/>
      <w:divBdr>
        <w:top w:val="none" w:sz="0" w:space="0" w:color="auto"/>
        <w:left w:val="none" w:sz="0" w:space="0" w:color="auto"/>
        <w:bottom w:val="none" w:sz="0" w:space="0" w:color="auto"/>
        <w:right w:val="none" w:sz="0" w:space="0" w:color="auto"/>
      </w:divBdr>
    </w:div>
    <w:div w:id="1286233505">
      <w:marLeft w:val="0"/>
      <w:marRight w:val="0"/>
      <w:marTop w:val="0"/>
      <w:marBottom w:val="240"/>
      <w:divBdr>
        <w:top w:val="none" w:sz="0" w:space="0" w:color="auto"/>
        <w:left w:val="none" w:sz="0" w:space="0" w:color="auto"/>
        <w:bottom w:val="none" w:sz="0" w:space="0" w:color="auto"/>
        <w:right w:val="none" w:sz="0" w:space="0" w:color="auto"/>
      </w:divBdr>
    </w:div>
    <w:div w:id="1286933664">
      <w:marLeft w:val="0"/>
      <w:marRight w:val="0"/>
      <w:marTop w:val="0"/>
      <w:marBottom w:val="0"/>
      <w:divBdr>
        <w:top w:val="none" w:sz="0" w:space="0" w:color="auto"/>
        <w:left w:val="none" w:sz="0" w:space="0" w:color="auto"/>
        <w:bottom w:val="none" w:sz="0" w:space="0" w:color="auto"/>
        <w:right w:val="none" w:sz="0" w:space="0" w:color="auto"/>
      </w:divBdr>
    </w:div>
    <w:div w:id="1291519456">
      <w:marLeft w:val="0"/>
      <w:marRight w:val="0"/>
      <w:marTop w:val="0"/>
      <w:marBottom w:val="0"/>
      <w:divBdr>
        <w:top w:val="none" w:sz="0" w:space="0" w:color="auto"/>
        <w:left w:val="none" w:sz="0" w:space="0" w:color="auto"/>
        <w:bottom w:val="none" w:sz="0" w:space="0" w:color="auto"/>
        <w:right w:val="none" w:sz="0" w:space="0" w:color="auto"/>
      </w:divBdr>
      <w:divsChild>
        <w:div w:id="1589145910">
          <w:marLeft w:val="0"/>
          <w:marRight w:val="0"/>
          <w:marTop w:val="0"/>
          <w:marBottom w:val="0"/>
          <w:divBdr>
            <w:top w:val="none" w:sz="0" w:space="0" w:color="auto"/>
            <w:left w:val="none" w:sz="0" w:space="0" w:color="auto"/>
            <w:bottom w:val="none" w:sz="0" w:space="0" w:color="auto"/>
            <w:right w:val="none" w:sz="0" w:space="0" w:color="auto"/>
          </w:divBdr>
        </w:div>
      </w:divsChild>
    </w:div>
    <w:div w:id="1292518578">
      <w:marLeft w:val="0"/>
      <w:marRight w:val="0"/>
      <w:marTop w:val="100"/>
      <w:marBottom w:val="0"/>
      <w:divBdr>
        <w:top w:val="none" w:sz="0" w:space="0" w:color="auto"/>
        <w:left w:val="none" w:sz="0" w:space="0" w:color="auto"/>
        <w:bottom w:val="none" w:sz="0" w:space="0" w:color="auto"/>
        <w:right w:val="none" w:sz="0" w:space="0" w:color="auto"/>
      </w:divBdr>
      <w:divsChild>
        <w:div w:id="689381270">
          <w:marLeft w:val="0"/>
          <w:marRight w:val="0"/>
          <w:marTop w:val="0"/>
          <w:marBottom w:val="0"/>
          <w:divBdr>
            <w:top w:val="none" w:sz="0" w:space="0" w:color="auto"/>
            <w:left w:val="none" w:sz="0" w:space="0" w:color="auto"/>
            <w:bottom w:val="none" w:sz="0" w:space="0" w:color="auto"/>
            <w:right w:val="none" w:sz="0" w:space="0" w:color="auto"/>
          </w:divBdr>
        </w:div>
        <w:div w:id="1449853542">
          <w:marLeft w:val="0"/>
          <w:marRight w:val="0"/>
          <w:marTop w:val="0"/>
          <w:marBottom w:val="0"/>
          <w:divBdr>
            <w:top w:val="none" w:sz="0" w:space="0" w:color="auto"/>
            <w:left w:val="none" w:sz="0" w:space="0" w:color="auto"/>
            <w:bottom w:val="none" w:sz="0" w:space="0" w:color="auto"/>
            <w:right w:val="none" w:sz="0" w:space="0" w:color="auto"/>
          </w:divBdr>
        </w:div>
      </w:divsChild>
    </w:div>
    <w:div w:id="1293054694">
      <w:marLeft w:val="0"/>
      <w:marRight w:val="0"/>
      <w:marTop w:val="0"/>
      <w:marBottom w:val="180"/>
      <w:divBdr>
        <w:top w:val="none" w:sz="0" w:space="0" w:color="auto"/>
        <w:left w:val="none" w:sz="0" w:space="0" w:color="auto"/>
        <w:bottom w:val="none" w:sz="0" w:space="0" w:color="auto"/>
        <w:right w:val="none" w:sz="0" w:space="0" w:color="auto"/>
      </w:divBdr>
    </w:div>
    <w:div w:id="1293902796">
      <w:marLeft w:val="0"/>
      <w:marRight w:val="0"/>
      <w:marTop w:val="180"/>
      <w:marBottom w:val="180"/>
      <w:divBdr>
        <w:top w:val="none" w:sz="0" w:space="0" w:color="auto"/>
        <w:left w:val="none" w:sz="0" w:space="0" w:color="auto"/>
        <w:bottom w:val="none" w:sz="0" w:space="0" w:color="auto"/>
        <w:right w:val="none" w:sz="0" w:space="0" w:color="auto"/>
      </w:divBdr>
    </w:div>
    <w:div w:id="1294210701">
      <w:marLeft w:val="0"/>
      <w:marRight w:val="0"/>
      <w:marTop w:val="0"/>
      <w:marBottom w:val="0"/>
      <w:divBdr>
        <w:top w:val="none" w:sz="0" w:space="0" w:color="auto"/>
        <w:left w:val="none" w:sz="0" w:space="0" w:color="auto"/>
        <w:bottom w:val="none" w:sz="0" w:space="0" w:color="auto"/>
        <w:right w:val="none" w:sz="0" w:space="0" w:color="auto"/>
      </w:divBdr>
    </w:div>
    <w:div w:id="1295408831">
      <w:marLeft w:val="0"/>
      <w:marRight w:val="0"/>
      <w:marTop w:val="0"/>
      <w:marBottom w:val="0"/>
      <w:divBdr>
        <w:top w:val="none" w:sz="0" w:space="0" w:color="auto"/>
        <w:left w:val="none" w:sz="0" w:space="0" w:color="auto"/>
        <w:bottom w:val="none" w:sz="0" w:space="0" w:color="auto"/>
        <w:right w:val="none" w:sz="0" w:space="0" w:color="auto"/>
      </w:divBdr>
      <w:divsChild>
        <w:div w:id="49765578">
          <w:marLeft w:val="0"/>
          <w:marRight w:val="0"/>
          <w:marTop w:val="0"/>
          <w:marBottom w:val="0"/>
          <w:divBdr>
            <w:top w:val="none" w:sz="0" w:space="0" w:color="auto"/>
            <w:left w:val="none" w:sz="0" w:space="0" w:color="auto"/>
            <w:bottom w:val="none" w:sz="0" w:space="0" w:color="auto"/>
            <w:right w:val="none" w:sz="0" w:space="0" w:color="auto"/>
          </w:divBdr>
        </w:div>
      </w:divsChild>
    </w:div>
    <w:div w:id="1296594749">
      <w:marLeft w:val="0"/>
      <w:marRight w:val="0"/>
      <w:marTop w:val="0"/>
      <w:marBottom w:val="180"/>
      <w:divBdr>
        <w:top w:val="none" w:sz="0" w:space="0" w:color="auto"/>
        <w:left w:val="none" w:sz="0" w:space="0" w:color="auto"/>
        <w:bottom w:val="none" w:sz="0" w:space="0" w:color="auto"/>
        <w:right w:val="none" w:sz="0" w:space="0" w:color="auto"/>
      </w:divBdr>
    </w:div>
    <w:div w:id="1296832812">
      <w:marLeft w:val="0"/>
      <w:marRight w:val="0"/>
      <w:marTop w:val="100"/>
      <w:marBottom w:val="0"/>
      <w:divBdr>
        <w:top w:val="none" w:sz="0" w:space="0" w:color="auto"/>
        <w:left w:val="none" w:sz="0" w:space="0" w:color="auto"/>
        <w:bottom w:val="none" w:sz="0" w:space="0" w:color="auto"/>
        <w:right w:val="none" w:sz="0" w:space="0" w:color="auto"/>
      </w:divBdr>
    </w:div>
    <w:div w:id="1298224793">
      <w:marLeft w:val="0"/>
      <w:marRight w:val="0"/>
      <w:marTop w:val="180"/>
      <w:marBottom w:val="180"/>
      <w:divBdr>
        <w:top w:val="none" w:sz="0" w:space="0" w:color="auto"/>
        <w:left w:val="none" w:sz="0" w:space="0" w:color="auto"/>
        <w:bottom w:val="none" w:sz="0" w:space="0" w:color="auto"/>
        <w:right w:val="none" w:sz="0" w:space="0" w:color="auto"/>
      </w:divBdr>
    </w:div>
    <w:div w:id="1298874562">
      <w:marLeft w:val="0"/>
      <w:marRight w:val="0"/>
      <w:marTop w:val="0"/>
      <w:marBottom w:val="240"/>
      <w:divBdr>
        <w:top w:val="none" w:sz="0" w:space="0" w:color="auto"/>
        <w:left w:val="none" w:sz="0" w:space="0" w:color="auto"/>
        <w:bottom w:val="none" w:sz="0" w:space="0" w:color="auto"/>
        <w:right w:val="none" w:sz="0" w:space="0" w:color="auto"/>
      </w:divBdr>
    </w:div>
    <w:div w:id="1302729575">
      <w:marLeft w:val="0"/>
      <w:marRight w:val="0"/>
      <w:marTop w:val="120"/>
      <w:marBottom w:val="120"/>
      <w:divBdr>
        <w:top w:val="none" w:sz="0" w:space="0" w:color="auto"/>
        <w:left w:val="none" w:sz="0" w:space="0" w:color="auto"/>
        <w:bottom w:val="none" w:sz="0" w:space="0" w:color="auto"/>
        <w:right w:val="none" w:sz="0" w:space="0" w:color="auto"/>
      </w:divBdr>
    </w:div>
    <w:div w:id="1306617900">
      <w:marLeft w:val="0"/>
      <w:marRight w:val="0"/>
      <w:marTop w:val="0"/>
      <w:marBottom w:val="0"/>
      <w:divBdr>
        <w:top w:val="none" w:sz="0" w:space="0" w:color="auto"/>
        <w:left w:val="none" w:sz="0" w:space="0" w:color="auto"/>
        <w:bottom w:val="none" w:sz="0" w:space="0" w:color="auto"/>
        <w:right w:val="none" w:sz="0" w:space="0" w:color="auto"/>
      </w:divBdr>
      <w:divsChild>
        <w:div w:id="1466042684">
          <w:marLeft w:val="0"/>
          <w:marRight w:val="0"/>
          <w:marTop w:val="0"/>
          <w:marBottom w:val="0"/>
          <w:divBdr>
            <w:top w:val="none" w:sz="0" w:space="0" w:color="auto"/>
            <w:left w:val="none" w:sz="0" w:space="0" w:color="auto"/>
            <w:bottom w:val="none" w:sz="0" w:space="0" w:color="auto"/>
            <w:right w:val="none" w:sz="0" w:space="0" w:color="auto"/>
          </w:divBdr>
        </w:div>
      </w:divsChild>
    </w:div>
    <w:div w:id="1308172255">
      <w:marLeft w:val="0"/>
      <w:marRight w:val="0"/>
      <w:marTop w:val="0"/>
      <w:marBottom w:val="0"/>
      <w:divBdr>
        <w:top w:val="none" w:sz="0" w:space="0" w:color="auto"/>
        <w:left w:val="none" w:sz="0" w:space="0" w:color="auto"/>
        <w:bottom w:val="none" w:sz="0" w:space="0" w:color="auto"/>
        <w:right w:val="none" w:sz="0" w:space="0" w:color="auto"/>
      </w:divBdr>
    </w:div>
    <w:div w:id="1313607044">
      <w:marLeft w:val="0"/>
      <w:marRight w:val="0"/>
      <w:marTop w:val="180"/>
      <w:marBottom w:val="180"/>
      <w:divBdr>
        <w:top w:val="none" w:sz="0" w:space="0" w:color="auto"/>
        <w:left w:val="none" w:sz="0" w:space="0" w:color="auto"/>
        <w:bottom w:val="none" w:sz="0" w:space="0" w:color="auto"/>
        <w:right w:val="none" w:sz="0" w:space="0" w:color="auto"/>
      </w:divBdr>
    </w:div>
    <w:div w:id="1313871403">
      <w:marLeft w:val="0"/>
      <w:marRight w:val="0"/>
      <w:marTop w:val="0"/>
      <w:marBottom w:val="180"/>
      <w:divBdr>
        <w:top w:val="none" w:sz="0" w:space="0" w:color="auto"/>
        <w:left w:val="none" w:sz="0" w:space="0" w:color="auto"/>
        <w:bottom w:val="none" w:sz="0" w:space="0" w:color="auto"/>
        <w:right w:val="none" w:sz="0" w:space="0" w:color="auto"/>
      </w:divBdr>
    </w:div>
    <w:div w:id="1315378713">
      <w:marLeft w:val="0"/>
      <w:marRight w:val="0"/>
      <w:marTop w:val="0"/>
      <w:marBottom w:val="0"/>
      <w:divBdr>
        <w:top w:val="none" w:sz="0" w:space="0" w:color="auto"/>
        <w:left w:val="none" w:sz="0" w:space="0" w:color="auto"/>
        <w:bottom w:val="none" w:sz="0" w:space="0" w:color="auto"/>
        <w:right w:val="none" w:sz="0" w:space="0" w:color="auto"/>
      </w:divBdr>
    </w:div>
    <w:div w:id="1316446762">
      <w:marLeft w:val="0"/>
      <w:marRight w:val="0"/>
      <w:marTop w:val="0"/>
      <w:marBottom w:val="180"/>
      <w:divBdr>
        <w:top w:val="none" w:sz="0" w:space="0" w:color="auto"/>
        <w:left w:val="none" w:sz="0" w:space="0" w:color="auto"/>
        <w:bottom w:val="none" w:sz="0" w:space="0" w:color="auto"/>
        <w:right w:val="none" w:sz="0" w:space="0" w:color="auto"/>
      </w:divBdr>
    </w:div>
    <w:div w:id="1318413664">
      <w:marLeft w:val="0"/>
      <w:marRight w:val="0"/>
      <w:marTop w:val="180"/>
      <w:marBottom w:val="180"/>
      <w:divBdr>
        <w:top w:val="none" w:sz="0" w:space="0" w:color="auto"/>
        <w:left w:val="none" w:sz="0" w:space="0" w:color="auto"/>
        <w:bottom w:val="none" w:sz="0" w:space="0" w:color="auto"/>
        <w:right w:val="none" w:sz="0" w:space="0" w:color="auto"/>
      </w:divBdr>
    </w:div>
    <w:div w:id="1321159220">
      <w:marLeft w:val="0"/>
      <w:marRight w:val="0"/>
      <w:marTop w:val="0"/>
      <w:marBottom w:val="0"/>
      <w:divBdr>
        <w:top w:val="none" w:sz="0" w:space="0" w:color="auto"/>
        <w:left w:val="none" w:sz="0" w:space="0" w:color="auto"/>
        <w:bottom w:val="none" w:sz="0" w:space="0" w:color="auto"/>
        <w:right w:val="none" w:sz="0" w:space="0" w:color="auto"/>
      </w:divBdr>
      <w:divsChild>
        <w:div w:id="237713334">
          <w:marLeft w:val="0"/>
          <w:marRight w:val="0"/>
          <w:marTop w:val="0"/>
          <w:marBottom w:val="0"/>
          <w:divBdr>
            <w:top w:val="none" w:sz="0" w:space="0" w:color="auto"/>
            <w:left w:val="none" w:sz="0" w:space="0" w:color="auto"/>
            <w:bottom w:val="none" w:sz="0" w:space="0" w:color="auto"/>
            <w:right w:val="none" w:sz="0" w:space="0" w:color="auto"/>
          </w:divBdr>
        </w:div>
      </w:divsChild>
    </w:div>
    <w:div w:id="1321694369">
      <w:marLeft w:val="0"/>
      <w:marRight w:val="0"/>
      <w:marTop w:val="0"/>
      <w:marBottom w:val="240"/>
      <w:divBdr>
        <w:top w:val="none" w:sz="0" w:space="0" w:color="auto"/>
        <w:left w:val="none" w:sz="0" w:space="0" w:color="auto"/>
        <w:bottom w:val="none" w:sz="0" w:space="0" w:color="auto"/>
        <w:right w:val="none" w:sz="0" w:space="0" w:color="auto"/>
      </w:divBdr>
    </w:div>
    <w:div w:id="1322083510">
      <w:marLeft w:val="0"/>
      <w:marRight w:val="0"/>
      <w:marTop w:val="0"/>
      <w:marBottom w:val="180"/>
      <w:divBdr>
        <w:top w:val="none" w:sz="0" w:space="0" w:color="auto"/>
        <w:left w:val="none" w:sz="0" w:space="0" w:color="auto"/>
        <w:bottom w:val="none" w:sz="0" w:space="0" w:color="auto"/>
        <w:right w:val="none" w:sz="0" w:space="0" w:color="auto"/>
      </w:divBdr>
    </w:div>
    <w:div w:id="1323002628">
      <w:marLeft w:val="0"/>
      <w:marRight w:val="0"/>
      <w:marTop w:val="0"/>
      <w:marBottom w:val="0"/>
      <w:divBdr>
        <w:top w:val="none" w:sz="0" w:space="0" w:color="auto"/>
        <w:left w:val="none" w:sz="0" w:space="0" w:color="auto"/>
        <w:bottom w:val="none" w:sz="0" w:space="0" w:color="auto"/>
        <w:right w:val="none" w:sz="0" w:space="0" w:color="auto"/>
      </w:divBdr>
    </w:div>
    <w:div w:id="1323434490">
      <w:marLeft w:val="0"/>
      <w:marRight w:val="0"/>
      <w:marTop w:val="0"/>
      <w:marBottom w:val="180"/>
      <w:divBdr>
        <w:top w:val="none" w:sz="0" w:space="0" w:color="auto"/>
        <w:left w:val="none" w:sz="0" w:space="0" w:color="auto"/>
        <w:bottom w:val="none" w:sz="0" w:space="0" w:color="auto"/>
        <w:right w:val="none" w:sz="0" w:space="0" w:color="auto"/>
      </w:divBdr>
    </w:div>
    <w:div w:id="1325740972">
      <w:marLeft w:val="0"/>
      <w:marRight w:val="0"/>
      <w:marTop w:val="0"/>
      <w:marBottom w:val="240"/>
      <w:divBdr>
        <w:top w:val="none" w:sz="0" w:space="0" w:color="auto"/>
        <w:left w:val="none" w:sz="0" w:space="0" w:color="auto"/>
        <w:bottom w:val="none" w:sz="0" w:space="0" w:color="auto"/>
        <w:right w:val="none" w:sz="0" w:space="0" w:color="auto"/>
      </w:divBdr>
    </w:div>
    <w:div w:id="1327436007">
      <w:marLeft w:val="0"/>
      <w:marRight w:val="0"/>
      <w:marTop w:val="180"/>
      <w:marBottom w:val="180"/>
      <w:divBdr>
        <w:top w:val="none" w:sz="0" w:space="0" w:color="auto"/>
        <w:left w:val="none" w:sz="0" w:space="0" w:color="auto"/>
        <w:bottom w:val="none" w:sz="0" w:space="0" w:color="auto"/>
        <w:right w:val="none" w:sz="0" w:space="0" w:color="auto"/>
      </w:divBdr>
    </w:div>
    <w:div w:id="1327703956">
      <w:marLeft w:val="0"/>
      <w:marRight w:val="0"/>
      <w:marTop w:val="120"/>
      <w:marBottom w:val="120"/>
      <w:divBdr>
        <w:top w:val="none" w:sz="0" w:space="0" w:color="auto"/>
        <w:left w:val="none" w:sz="0" w:space="0" w:color="auto"/>
        <w:bottom w:val="none" w:sz="0" w:space="0" w:color="auto"/>
        <w:right w:val="none" w:sz="0" w:space="0" w:color="auto"/>
      </w:divBdr>
    </w:div>
    <w:div w:id="1328052239">
      <w:marLeft w:val="0"/>
      <w:marRight w:val="0"/>
      <w:marTop w:val="0"/>
      <w:marBottom w:val="240"/>
      <w:divBdr>
        <w:top w:val="none" w:sz="0" w:space="0" w:color="auto"/>
        <w:left w:val="none" w:sz="0" w:space="0" w:color="auto"/>
        <w:bottom w:val="none" w:sz="0" w:space="0" w:color="auto"/>
        <w:right w:val="none" w:sz="0" w:space="0" w:color="auto"/>
      </w:divBdr>
    </w:div>
    <w:div w:id="1328366522">
      <w:marLeft w:val="0"/>
      <w:marRight w:val="0"/>
      <w:marTop w:val="0"/>
      <w:marBottom w:val="240"/>
      <w:divBdr>
        <w:top w:val="none" w:sz="0" w:space="0" w:color="auto"/>
        <w:left w:val="none" w:sz="0" w:space="0" w:color="auto"/>
        <w:bottom w:val="none" w:sz="0" w:space="0" w:color="auto"/>
        <w:right w:val="none" w:sz="0" w:space="0" w:color="auto"/>
      </w:divBdr>
    </w:div>
    <w:div w:id="1329603202">
      <w:marLeft w:val="0"/>
      <w:marRight w:val="0"/>
      <w:marTop w:val="0"/>
      <w:marBottom w:val="0"/>
      <w:divBdr>
        <w:top w:val="none" w:sz="0" w:space="0" w:color="auto"/>
        <w:left w:val="none" w:sz="0" w:space="0" w:color="auto"/>
        <w:bottom w:val="none" w:sz="0" w:space="0" w:color="auto"/>
        <w:right w:val="none" w:sz="0" w:space="0" w:color="auto"/>
      </w:divBdr>
    </w:div>
    <w:div w:id="1329942673">
      <w:marLeft w:val="0"/>
      <w:marRight w:val="0"/>
      <w:marTop w:val="0"/>
      <w:marBottom w:val="0"/>
      <w:divBdr>
        <w:top w:val="none" w:sz="0" w:space="0" w:color="auto"/>
        <w:left w:val="none" w:sz="0" w:space="0" w:color="auto"/>
        <w:bottom w:val="none" w:sz="0" w:space="0" w:color="auto"/>
        <w:right w:val="none" w:sz="0" w:space="0" w:color="auto"/>
      </w:divBdr>
    </w:div>
    <w:div w:id="1330598934">
      <w:marLeft w:val="0"/>
      <w:marRight w:val="0"/>
      <w:marTop w:val="0"/>
      <w:marBottom w:val="240"/>
      <w:divBdr>
        <w:top w:val="none" w:sz="0" w:space="0" w:color="auto"/>
        <w:left w:val="none" w:sz="0" w:space="0" w:color="auto"/>
        <w:bottom w:val="none" w:sz="0" w:space="0" w:color="auto"/>
        <w:right w:val="none" w:sz="0" w:space="0" w:color="auto"/>
      </w:divBdr>
    </w:div>
    <w:div w:id="1333215425">
      <w:marLeft w:val="0"/>
      <w:marRight w:val="0"/>
      <w:marTop w:val="120"/>
      <w:marBottom w:val="120"/>
      <w:divBdr>
        <w:top w:val="none" w:sz="0" w:space="0" w:color="auto"/>
        <w:left w:val="none" w:sz="0" w:space="0" w:color="auto"/>
        <w:bottom w:val="none" w:sz="0" w:space="0" w:color="auto"/>
        <w:right w:val="none" w:sz="0" w:space="0" w:color="auto"/>
      </w:divBdr>
    </w:div>
    <w:div w:id="1333752079">
      <w:marLeft w:val="0"/>
      <w:marRight w:val="0"/>
      <w:marTop w:val="100"/>
      <w:marBottom w:val="0"/>
      <w:divBdr>
        <w:top w:val="none" w:sz="0" w:space="0" w:color="auto"/>
        <w:left w:val="none" w:sz="0" w:space="0" w:color="auto"/>
        <w:bottom w:val="none" w:sz="0" w:space="0" w:color="auto"/>
        <w:right w:val="none" w:sz="0" w:space="0" w:color="auto"/>
      </w:divBdr>
    </w:div>
    <w:div w:id="1333877115">
      <w:marLeft w:val="0"/>
      <w:marRight w:val="0"/>
      <w:marTop w:val="0"/>
      <w:marBottom w:val="240"/>
      <w:divBdr>
        <w:top w:val="none" w:sz="0" w:space="0" w:color="auto"/>
        <w:left w:val="none" w:sz="0" w:space="0" w:color="auto"/>
        <w:bottom w:val="none" w:sz="0" w:space="0" w:color="auto"/>
        <w:right w:val="none" w:sz="0" w:space="0" w:color="auto"/>
      </w:divBdr>
    </w:div>
    <w:div w:id="1336301153">
      <w:marLeft w:val="0"/>
      <w:marRight w:val="0"/>
      <w:marTop w:val="0"/>
      <w:marBottom w:val="240"/>
      <w:divBdr>
        <w:top w:val="none" w:sz="0" w:space="0" w:color="auto"/>
        <w:left w:val="none" w:sz="0" w:space="0" w:color="auto"/>
        <w:bottom w:val="none" w:sz="0" w:space="0" w:color="auto"/>
        <w:right w:val="none" w:sz="0" w:space="0" w:color="auto"/>
      </w:divBdr>
    </w:div>
    <w:div w:id="1336617796">
      <w:marLeft w:val="0"/>
      <w:marRight w:val="0"/>
      <w:marTop w:val="0"/>
      <w:marBottom w:val="0"/>
      <w:divBdr>
        <w:top w:val="none" w:sz="0" w:space="0" w:color="auto"/>
        <w:left w:val="none" w:sz="0" w:space="0" w:color="auto"/>
        <w:bottom w:val="none" w:sz="0" w:space="0" w:color="auto"/>
        <w:right w:val="none" w:sz="0" w:space="0" w:color="auto"/>
      </w:divBdr>
      <w:divsChild>
        <w:div w:id="1596354029">
          <w:marLeft w:val="0"/>
          <w:marRight w:val="0"/>
          <w:marTop w:val="0"/>
          <w:marBottom w:val="0"/>
          <w:divBdr>
            <w:top w:val="none" w:sz="0" w:space="0" w:color="auto"/>
            <w:left w:val="none" w:sz="0" w:space="0" w:color="auto"/>
            <w:bottom w:val="none" w:sz="0" w:space="0" w:color="auto"/>
            <w:right w:val="none" w:sz="0" w:space="0" w:color="auto"/>
          </w:divBdr>
        </w:div>
      </w:divsChild>
    </w:div>
    <w:div w:id="1337226459">
      <w:marLeft w:val="0"/>
      <w:marRight w:val="0"/>
      <w:marTop w:val="0"/>
      <w:marBottom w:val="180"/>
      <w:divBdr>
        <w:top w:val="none" w:sz="0" w:space="0" w:color="auto"/>
        <w:left w:val="none" w:sz="0" w:space="0" w:color="auto"/>
        <w:bottom w:val="none" w:sz="0" w:space="0" w:color="auto"/>
        <w:right w:val="none" w:sz="0" w:space="0" w:color="auto"/>
      </w:divBdr>
    </w:div>
    <w:div w:id="1338077875">
      <w:marLeft w:val="0"/>
      <w:marRight w:val="0"/>
      <w:marTop w:val="0"/>
      <w:marBottom w:val="240"/>
      <w:divBdr>
        <w:top w:val="none" w:sz="0" w:space="0" w:color="auto"/>
        <w:left w:val="none" w:sz="0" w:space="0" w:color="auto"/>
        <w:bottom w:val="none" w:sz="0" w:space="0" w:color="auto"/>
        <w:right w:val="none" w:sz="0" w:space="0" w:color="auto"/>
      </w:divBdr>
    </w:div>
    <w:div w:id="1339163624">
      <w:marLeft w:val="0"/>
      <w:marRight w:val="0"/>
      <w:marTop w:val="0"/>
      <w:marBottom w:val="60"/>
      <w:divBdr>
        <w:top w:val="none" w:sz="0" w:space="0" w:color="auto"/>
        <w:left w:val="none" w:sz="0" w:space="0" w:color="auto"/>
        <w:bottom w:val="none" w:sz="0" w:space="0" w:color="auto"/>
        <w:right w:val="none" w:sz="0" w:space="0" w:color="auto"/>
      </w:divBdr>
    </w:div>
    <w:div w:id="1341196938">
      <w:marLeft w:val="0"/>
      <w:marRight w:val="0"/>
      <w:marTop w:val="180"/>
      <w:marBottom w:val="180"/>
      <w:divBdr>
        <w:top w:val="none" w:sz="0" w:space="0" w:color="auto"/>
        <w:left w:val="none" w:sz="0" w:space="0" w:color="auto"/>
        <w:bottom w:val="none" w:sz="0" w:space="0" w:color="auto"/>
        <w:right w:val="none" w:sz="0" w:space="0" w:color="auto"/>
      </w:divBdr>
    </w:div>
    <w:div w:id="1342582056">
      <w:marLeft w:val="0"/>
      <w:marRight w:val="0"/>
      <w:marTop w:val="0"/>
      <w:marBottom w:val="0"/>
      <w:divBdr>
        <w:top w:val="none" w:sz="0" w:space="0" w:color="auto"/>
        <w:left w:val="none" w:sz="0" w:space="0" w:color="auto"/>
        <w:bottom w:val="none" w:sz="0" w:space="0" w:color="auto"/>
        <w:right w:val="none" w:sz="0" w:space="0" w:color="auto"/>
      </w:divBdr>
      <w:divsChild>
        <w:div w:id="384304871">
          <w:marLeft w:val="0"/>
          <w:marRight w:val="0"/>
          <w:marTop w:val="0"/>
          <w:marBottom w:val="0"/>
          <w:divBdr>
            <w:top w:val="none" w:sz="0" w:space="0" w:color="auto"/>
            <w:left w:val="none" w:sz="0" w:space="0" w:color="auto"/>
            <w:bottom w:val="none" w:sz="0" w:space="0" w:color="auto"/>
            <w:right w:val="none" w:sz="0" w:space="0" w:color="auto"/>
          </w:divBdr>
        </w:div>
      </w:divsChild>
    </w:div>
    <w:div w:id="1342850941">
      <w:marLeft w:val="0"/>
      <w:marRight w:val="0"/>
      <w:marTop w:val="0"/>
      <w:marBottom w:val="0"/>
      <w:divBdr>
        <w:top w:val="none" w:sz="0" w:space="0" w:color="auto"/>
        <w:left w:val="none" w:sz="0" w:space="0" w:color="auto"/>
        <w:bottom w:val="none" w:sz="0" w:space="0" w:color="auto"/>
        <w:right w:val="none" w:sz="0" w:space="0" w:color="auto"/>
      </w:divBdr>
    </w:div>
    <w:div w:id="1344624949">
      <w:marLeft w:val="0"/>
      <w:marRight w:val="0"/>
      <w:marTop w:val="0"/>
      <w:marBottom w:val="240"/>
      <w:divBdr>
        <w:top w:val="none" w:sz="0" w:space="0" w:color="auto"/>
        <w:left w:val="none" w:sz="0" w:space="0" w:color="auto"/>
        <w:bottom w:val="none" w:sz="0" w:space="0" w:color="auto"/>
        <w:right w:val="none" w:sz="0" w:space="0" w:color="auto"/>
      </w:divBdr>
    </w:div>
    <w:div w:id="1345280294">
      <w:marLeft w:val="0"/>
      <w:marRight w:val="0"/>
      <w:marTop w:val="0"/>
      <w:marBottom w:val="0"/>
      <w:divBdr>
        <w:top w:val="none" w:sz="0" w:space="0" w:color="auto"/>
        <w:left w:val="none" w:sz="0" w:space="0" w:color="auto"/>
        <w:bottom w:val="none" w:sz="0" w:space="0" w:color="auto"/>
        <w:right w:val="none" w:sz="0" w:space="0" w:color="auto"/>
      </w:divBdr>
    </w:div>
    <w:div w:id="1345281967">
      <w:marLeft w:val="0"/>
      <w:marRight w:val="0"/>
      <w:marTop w:val="0"/>
      <w:marBottom w:val="0"/>
      <w:divBdr>
        <w:top w:val="none" w:sz="0" w:space="0" w:color="auto"/>
        <w:left w:val="none" w:sz="0" w:space="0" w:color="auto"/>
        <w:bottom w:val="none" w:sz="0" w:space="0" w:color="auto"/>
        <w:right w:val="none" w:sz="0" w:space="0" w:color="auto"/>
      </w:divBdr>
    </w:div>
    <w:div w:id="1345790726">
      <w:marLeft w:val="0"/>
      <w:marRight w:val="0"/>
      <w:marTop w:val="0"/>
      <w:marBottom w:val="240"/>
      <w:divBdr>
        <w:top w:val="none" w:sz="0" w:space="0" w:color="auto"/>
        <w:left w:val="none" w:sz="0" w:space="0" w:color="auto"/>
        <w:bottom w:val="none" w:sz="0" w:space="0" w:color="auto"/>
        <w:right w:val="none" w:sz="0" w:space="0" w:color="auto"/>
      </w:divBdr>
    </w:div>
    <w:div w:id="1346714350">
      <w:marLeft w:val="0"/>
      <w:marRight w:val="0"/>
      <w:marTop w:val="0"/>
      <w:marBottom w:val="0"/>
      <w:divBdr>
        <w:top w:val="none" w:sz="0" w:space="0" w:color="auto"/>
        <w:left w:val="none" w:sz="0" w:space="0" w:color="auto"/>
        <w:bottom w:val="none" w:sz="0" w:space="0" w:color="auto"/>
        <w:right w:val="none" w:sz="0" w:space="0" w:color="auto"/>
      </w:divBdr>
    </w:div>
    <w:div w:id="1346901796">
      <w:marLeft w:val="0"/>
      <w:marRight w:val="0"/>
      <w:marTop w:val="0"/>
      <w:marBottom w:val="0"/>
      <w:divBdr>
        <w:top w:val="none" w:sz="0" w:space="0" w:color="auto"/>
        <w:left w:val="none" w:sz="0" w:space="0" w:color="auto"/>
        <w:bottom w:val="none" w:sz="0" w:space="0" w:color="auto"/>
        <w:right w:val="none" w:sz="0" w:space="0" w:color="auto"/>
      </w:divBdr>
    </w:div>
    <w:div w:id="1352492225">
      <w:marLeft w:val="0"/>
      <w:marRight w:val="0"/>
      <w:marTop w:val="120"/>
      <w:marBottom w:val="120"/>
      <w:divBdr>
        <w:top w:val="none" w:sz="0" w:space="0" w:color="auto"/>
        <w:left w:val="none" w:sz="0" w:space="0" w:color="auto"/>
        <w:bottom w:val="none" w:sz="0" w:space="0" w:color="auto"/>
        <w:right w:val="none" w:sz="0" w:space="0" w:color="auto"/>
      </w:divBdr>
    </w:div>
    <w:div w:id="1356421016">
      <w:marLeft w:val="0"/>
      <w:marRight w:val="0"/>
      <w:marTop w:val="140"/>
      <w:marBottom w:val="240"/>
      <w:divBdr>
        <w:top w:val="none" w:sz="0" w:space="0" w:color="auto"/>
        <w:left w:val="none" w:sz="0" w:space="0" w:color="auto"/>
        <w:bottom w:val="none" w:sz="0" w:space="0" w:color="auto"/>
        <w:right w:val="none" w:sz="0" w:space="0" w:color="auto"/>
      </w:divBdr>
    </w:div>
    <w:div w:id="1356494233">
      <w:marLeft w:val="0"/>
      <w:marRight w:val="0"/>
      <w:marTop w:val="0"/>
      <w:marBottom w:val="0"/>
      <w:divBdr>
        <w:top w:val="none" w:sz="0" w:space="0" w:color="auto"/>
        <w:left w:val="none" w:sz="0" w:space="0" w:color="auto"/>
        <w:bottom w:val="none" w:sz="0" w:space="0" w:color="auto"/>
        <w:right w:val="none" w:sz="0" w:space="0" w:color="auto"/>
      </w:divBdr>
      <w:divsChild>
        <w:div w:id="1646155184">
          <w:marLeft w:val="0"/>
          <w:marRight w:val="0"/>
          <w:marTop w:val="0"/>
          <w:marBottom w:val="0"/>
          <w:divBdr>
            <w:top w:val="none" w:sz="0" w:space="0" w:color="auto"/>
            <w:left w:val="none" w:sz="0" w:space="0" w:color="auto"/>
            <w:bottom w:val="none" w:sz="0" w:space="0" w:color="auto"/>
            <w:right w:val="none" w:sz="0" w:space="0" w:color="auto"/>
          </w:divBdr>
        </w:div>
      </w:divsChild>
    </w:div>
    <w:div w:id="1356808617">
      <w:marLeft w:val="0"/>
      <w:marRight w:val="0"/>
      <w:marTop w:val="120"/>
      <w:marBottom w:val="120"/>
      <w:divBdr>
        <w:top w:val="none" w:sz="0" w:space="0" w:color="auto"/>
        <w:left w:val="none" w:sz="0" w:space="0" w:color="auto"/>
        <w:bottom w:val="none" w:sz="0" w:space="0" w:color="auto"/>
        <w:right w:val="none" w:sz="0" w:space="0" w:color="auto"/>
      </w:divBdr>
    </w:div>
    <w:div w:id="1357610250">
      <w:marLeft w:val="0"/>
      <w:marRight w:val="0"/>
      <w:marTop w:val="20"/>
      <w:marBottom w:val="120"/>
      <w:divBdr>
        <w:top w:val="none" w:sz="0" w:space="0" w:color="auto"/>
        <w:left w:val="none" w:sz="0" w:space="0" w:color="auto"/>
        <w:bottom w:val="none" w:sz="0" w:space="0" w:color="auto"/>
        <w:right w:val="none" w:sz="0" w:space="0" w:color="auto"/>
      </w:divBdr>
    </w:div>
    <w:div w:id="1359967067">
      <w:marLeft w:val="0"/>
      <w:marRight w:val="0"/>
      <w:marTop w:val="100"/>
      <w:marBottom w:val="120"/>
      <w:divBdr>
        <w:top w:val="none" w:sz="0" w:space="0" w:color="auto"/>
        <w:left w:val="none" w:sz="0" w:space="0" w:color="auto"/>
        <w:bottom w:val="none" w:sz="0" w:space="0" w:color="auto"/>
        <w:right w:val="none" w:sz="0" w:space="0" w:color="auto"/>
      </w:divBdr>
      <w:divsChild>
        <w:div w:id="1819375319">
          <w:marLeft w:val="0"/>
          <w:marRight w:val="0"/>
          <w:marTop w:val="0"/>
          <w:marBottom w:val="180"/>
          <w:divBdr>
            <w:top w:val="none" w:sz="0" w:space="0" w:color="auto"/>
            <w:left w:val="none" w:sz="0" w:space="0" w:color="auto"/>
            <w:bottom w:val="none" w:sz="0" w:space="0" w:color="auto"/>
            <w:right w:val="none" w:sz="0" w:space="0" w:color="auto"/>
          </w:divBdr>
        </w:div>
      </w:divsChild>
    </w:div>
    <w:div w:id="1360161111">
      <w:marLeft w:val="0"/>
      <w:marRight w:val="0"/>
      <w:marTop w:val="0"/>
      <w:marBottom w:val="0"/>
      <w:divBdr>
        <w:top w:val="none" w:sz="0" w:space="0" w:color="auto"/>
        <w:left w:val="none" w:sz="0" w:space="0" w:color="auto"/>
        <w:bottom w:val="none" w:sz="0" w:space="0" w:color="auto"/>
        <w:right w:val="none" w:sz="0" w:space="0" w:color="auto"/>
      </w:divBdr>
      <w:divsChild>
        <w:div w:id="552812637">
          <w:marLeft w:val="0"/>
          <w:marRight w:val="0"/>
          <w:marTop w:val="0"/>
          <w:marBottom w:val="0"/>
          <w:divBdr>
            <w:top w:val="none" w:sz="0" w:space="0" w:color="auto"/>
            <w:left w:val="none" w:sz="0" w:space="0" w:color="auto"/>
            <w:bottom w:val="none" w:sz="0" w:space="0" w:color="auto"/>
            <w:right w:val="none" w:sz="0" w:space="0" w:color="auto"/>
          </w:divBdr>
        </w:div>
      </w:divsChild>
    </w:div>
    <w:div w:id="1360593270">
      <w:marLeft w:val="0"/>
      <w:marRight w:val="0"/>
      <w:marTop w:val="180"/>
      <w:marBottom w:val="180"/>
      <w:divBdr>
        <w:top w:val="none" w:sz="0" w:space="0" w:color="auto"/>
        <w:left w:val="none" w:sz="0" w:space="0" w:color="auto"/>
        <w:bottom w:val="none" w:sz="0" w:space="0" w:color="auto"/>
        <w:right w:val="none" w:sz="0" w:space="0" w:color="auto"/>
      </w:divBdr>
    </w:div>
    <w:div w:id="1364599630">
      <w:marLeft w:val="0"/>
      <w:marRight w:val="0"/>
      <w:marTop w:val="0"/>
      <w:marBottom w:val="180"/>
      <w:divBdr>
        <w:top w:val="none" w:sz="0" w:space="0" w:color="auto"/>
        <w:left w:val="none" w:sz="0" w:space="0" w:color="auto"/>
        <w:bottom w:val="none" w:sz="0" w:space="0" w:color="auto"/>
        <w:right w:val="none" w:sz="0" w:space="0" w:color="auto"/>
      </w:divBdr>
    </w:div>
    <w:div w:id="1368212569">
      <w:marLeft w:val="0"/>
      <w:marRight w:val="0"/>
      <w:marTop w:val="120"/>
      <w:marBottom w:val="120"/>
      <w:divBdr>
        <w:top w:val="none" w:sz="0" w:space="0" w:color="auto"/>
        <w:left w:val="none" w:sz="0" w:space="0" w:color="auto"/>
        <w:bottom w:val="none" w:sz="0" w:space="0" w:color="auto"/>
        <w:right w:val="none" w:sz="0" w:space="0" w:color="auto"/>
      </w:divBdr>
    </w:div>
    <w:div w:id="1368412653">
      <w:marLeft w:val="0"/>
      <w:marRight w:val="0"/>
      <w:marTop w:val="0"/>
      <w:marBottom w:val="240"/>
      <w:divBdr>
        <w:top w:val="none" w:sz="0" w:space="0" w:color="auto"/>
        <w:left w:val="none" w:sz="0" w:space="0" w:color="auto"/>
        <w:bottom w:val="none" w:sz="0" w:space="0" w:color="auto"/>
        <w:right w:val="none" w:sz="0" w:space="0" w:color="auto"/>
      </w:divBdr>
    </w:div>
    <w:div w:id="1368720594">
      <w:marLeft w:val="0"/>
      <w:marRight w:val="0"/>
      <w:marTop w:val="240"/>
      <w:marBottom w:val="240"/>
      <w:divBdr>
        <w:top w:val="none" w:sz="0" w:space="0" w:color="auto"/>
        <w:left w:val="none" w:sz="0" w:space="0" w:color="auto"/>
        <w:bottom w:val="none" w:sz="0" w:space="0" w:color="auto"/>
        <w:right w:val="none" w:sz="0" w:space="0" w:color="auto"/>
      </w:divBdr>
    </w:div>
    <w:div w:id="1370490698">
      <w:marLeft w:val="0"/>
      <w:marRight w:val="0"/>
      <w:marTop w:val="180"/>
      <w:marBottom w:val="180"/>
      <w:divBdr>
        <w:top w:val="none" w:sz="0" w:space="0" w:color="auto"/>
        <w:left w:val="none" w:sz="0" w:space="0" w:color="auto"/>
        <w:bottom w:val="none" w:sz="0" w:space="0" w:color="auto"/>
        <w:right w:val="none" w:sz="0" w:space="0" w:color="auto"/>
      </w:divBdr>
    </w:div>
    <w:div w:id="1373730546">
      <w:marLeft w:val="0"/>
      <w:marRight w:val="0"/>
      <w:marTop w:val="0"/>
      <w:marBottom w:val="0"/>
      <w:divBdr>
        <w:top w:val="none" w:sz="0" w:space="0" w:color="auto"/>
        <w:left w:val="none" w:sz="0" w:space="0" w:color="auto"/>
        <w:bottom w:val="none" w:sz="0" w:space="0" w:color="auto"/>
        <w:right w:val="none" w:sz="0" w:space="0" w:color="auto"/>
      </w:divBdr>
      <w:divsChild>
        <w:div w:id="2037580559">
          <w:marLeft w:val="0"/>
          <w:marRight w:val="0"/>
          <w:marTop w:val="0"/>
          <w:marBottom w:val="0"/>
          <w:divBdr>
            <w:top w:val="none" w:sz="0" w:space="0" w:color="auto"/>
            <w:left w:val="none" w:sz="0" w:space="0" w:color="auto"/>
            <w:bottom w:val="none" w:sz="0" w:space="0" w:color="auto"/>
            <w:right w:val="none" w:sz="0" w:space="0" w:color="auto"/>
          </w:divBdr>
        </w:div>
      </w:divsChild>
    </w:div>
    <w:div w:id="1374043093">
      <w:marLeft w:val="0"/>
      <w:marRight w:val="0"/>
      <w:marTop w:val="180"/>
      <w:marBottom w:val="180"/>
      <w:divBdr>
        <w:top w:val="none" w:sz="0" w:space="0" w:color="auto"/>
        <w:left w:val="none" w:sz="0" w:space="0" w:color="auto"/>
        <w:bottom w:val="none" w:sz="0" w:space="0" w:color="auto"/>
        <w:right w:val="none" w:sz="0" w:space="0" w:color="auto"/>
      </w:divBdr>
    </w:div>
    <w:div w:id="1376387478">
      <w:marLeft w:val="0"/>
      <w:marRight w:val="0"/>
      <w:marTop w:val="0"/>
      <w:marBottom w:val="240"/>
      <w:divBdr>
        <w:top w:val="none" w:sz="0" w:space="0" w:color="auto"/>
        <w:left w:val="none" w:sz="0" w:space="0" w:color="auto"/>
        <w:bottom w:val="none" w:sz="0" w:space="0" w:color="auto"/>
        <w:right w:val="none" w:sz="0" w:space="0" w:color="auto"/>
      </w:divBdr>
    </w:div>
    <w:div w:id="1380279400">
      <w:marLeft w:val="0"/>
      <w:marRight w:val="0"/>
      <w:marTop w:val="180"/>
      <w:marBottom w:val="180"/>
      <w:divBdr>
        <w:top w:val="none" w:sz="0" w:space="0" w:color="auto"/>
        <w:left w:val="none" w:sz="0" w:space="0" w:color="auto"/>
        <w:bottom w:val="none" w:sz="0" w:space="0" w:color="auto"/>
        <w:right w:val="none" w:sz="0" w:space="0" w:color="auto"/>
      </w:divBdr>
    </w:div>
    <w:div w:id="1383942257">
      <w:marLeft w:val="0"/>
      <w:marRight w:val="0"/>
      <w:marTop w:val="120"/>
      <w:marBottom w:val="120"/>
      <w:divBdr>
        <w:top w:val="none" w:sz="0" w:space="0" w:color="auto"/>
        <w:left w:val="none" w:sz="0" w:space="0" w:color="auto"/>
        <w:bottom w:val="none" w:sz="0" w:space="0" w:color="auto"/>
        <w:right w:val="none" w:sz="0" w:space="0" w:color="auto"/>
      </w:divBdr>
    </w:div>
    <w:div w:id="1385834227">
      <w:marLeft w:val="0"/>
      <w:marRight w:val="0"/>
      <w:marTop w:val="0"/>
      <w:marBottom w:val="180"/>
      <w:divBdr>
        <w:top w:val="none" w:sz="0" w:space="0" w:color="auto"/>
        <w:left w:val="none" w:sz="0" w:space="0" w:color="auto"/>
        <w:bottom w:val="none" w:sz="0" w:space="0" w:color="auto"/>
        <w:right w:val="none" w:sz="0" w:space="0" w:color="auto"/>
      </w:divBdr>
    </w:div>
    <w:div w:id="1388916856">
      <w:marLeft w:val="0"/>
      <w:marRight w:val="0"/>
      <w:marTop w:val="0"/>
      <w:marBottom w:val="0"/>
      <w:divBdr>
        <w:top w:val="none" w:sz="0" w:space="0" w:color="auto"/>
        <w:left w:val="none" w:sz="0" w:space="0" w:color="auto"/>
        <w:bottom w:val="none" w:sz="0" w:space="0" w:color="auto"/>
        <w:right w:val="none" w:sz="0" w:space="0" w:color="auto"/>
      </w:divBdr>
    </w:div>
    <w:div w:id="1391001966">
      <w:marLeft w:val="0"/>
      <w:marRight w:val="0"/>
      <w:marTop w:val="0"/>
      <w:marBottom w:val="0"/>
      <w:divBdr>
        <w:top w:val="none" w:sz="0" w:space="0" w:color="auto"/>
        <w:left w:val="none" w:sz="0" w:space="0" w:color="auto"/>
        <w:bottom w:val="none" w:sz="0" w:space="0" w:color="auto"/>
        <w:right w:val="none" w:sz="0" w:space="0" w:color="auto"/>
      </w:divBdr>
      <w:divsChild>
        <w:div w:id="1285848155">
          <w:marLeft w:val="0"/>
          <w:marRight w:val="0"/>
          <w:marTop w:val="0"/>
          <w:marBottom w:val="0"/>
          <w:divBdr>
            <w:top w:val="none" w:sz="0" w:space="0" w:color="auto"/>
            <w:left w:val="none" w:sz="0" w:space="0" w:color="auto"/>
            <w:bottom w:val="none" w:sz="0" w:space="0" w:color="auto"/>
            <w:right w:val="none" w:sz="0" w:space="0" w:color="auto"/>
          </w:divBdr>
        </w:div>
      </w:divsChild>
    </w:div>
    <w:div w:id="1391229633">
      <w:marLeft w:val="0"/>
      <w:marRight w:val="0"/>
      <w:marTop w:val="0"/>
      <w:marBottom w:val="180"/>
      <w:divBdr>
        <w:top w:val="none" w:sz="0" w:space="0" w:color="auto"/>
        <w:left w:val="none" w:sz="0" w:space="0" w:color="auto"/>
        <w:bottom w:val="none" w:sz="0" w:space="0" w:color="auto"/>
        <w:right w:val="none" w:sz="0" w:space="0" w:color="auto"/>
      </w:divBdr>
    </w:div>
    <w:div w:id="1395155806">
      <w:marLeft w:val="0"/>
      <w:marRight w:val="0"/>
      <w:marTop w:val="0"/>
      <w:marBottom w:val="180"/>
      <w:divBdr>
        <w:top w:val="none" w:sz="0" w:space="0" w:color="auto"/>
        <w:left w:val="none" w:sz="0" w:space="0" w:color="auto"/>
        <w:bottom w:val="none" w:sz="0" w:space="0" w:color="auto"/>
        <w:right w:val="none" w:sz="0" w:space="0" w:color="auto"/>
      </w:divBdr>
    </w:div>
    <w:div w:id="1399672361">
      <w:marLeft w:val="0"/>
      <w:marRight w:val="0"/>
      <w:marTop w:val="0"/>
      <w:marBottom w:val="240"/>
      <w:divBdr>
        <w:top w:val="none" w:sz="0" w:space="0" w:color="auto"/>
        <w:left w:val="none" w:sz="0" w:space="0" w:color="auto"/>
        <w:bottom w:val="none" w:sz="0" w:space="0" w:color="auto"/>
        <w:right w:val="none" w:sz="0" w:space="0" w:color="auto"/>
      </w:divBdr>
    </w:div>
    <w:div w:id="1399749926">
      <w:marLeft w:val="0"/>
      <w:marRight w:val="0"/>
      <w:marTop w:val="180"/>
      <w:marBottom w:val="240"/>
      <w:divBdr>
        <w:top w:val="none" w:sz="0" w:space="0" w:color="auto"/>
        <w:left w:val="none" w:sz="0" w:space="0" w:color="auto"/>
        <w:bottom w:val="none" w:sz="0" w:space="0" w:color="auto"/>
        <w:right w:val="none" w:sz="0" w:space="0" w:color="auto"/>
      </w:divBdr>
    </w:div>
    <w:div w:id="1403915235">
      <w:marLeft w:val="0"/>
      <w:marRight w:val="0"/>
      <w:marTop w:val="0"/>
      <w:marBottom w:val="240"/>
      <w:divBdr>
        <w:top w:val="none" w:sz="0" w:space="0" w:color="auto"/>
        <w:left w:val="none" w:sz="0" w:space="0" w:color="auto"/>
        <w:bottom w:val="none" w:sz="0" w:space="0" w:color="auto"/>
        <w:right w:val="none" w:sz="0" w:space="0" w:color="auto"/>
      </w:divBdr>
    </w:div>
    <w:div w:id="1404376140">
      <w:marLeft w:val="0"/>
      <w:marRight w:val="0"/>
      <w:marTop w:val="100"/>
      <w:marBottom w:val="180"/>
      <w:divBdr>
        <w:top w:val="none" w:sz="0" w:space="0" w:color="auto"/>
        <w:left w:val="none" w:sz="0" w:space="0" w:color="auto"/>
        <w:bottom w:val="none" w:sz="0" w:space="0" w:color="auto"/>
        <w:right w:val="none" w:sz="0" w:space="0" w:color="auto"/>
      </w:divBdr>
      <w:divsChild>
        <w:div w:id="68045107">
          <w:marLeft w:val="0"/>
          <w:marRight w:val="0"/>
          <w:marTop w:val="0"/>
          <w:marBottom w:val="0"/>
          <w:divBdr>
            <w:top w:val="none" w:sz="0" w:space="0" w:color="auto"/>
            <w:left w:val="none" w:sz="0" w:space="0" w:color="auto"/>
            <w:bottom w:val="none" w:sz="0" w:space="0" w:color="auto"/>
            <w:right w:val="none" w:sz="0" w:space="0" w:color="auto"/>
          </w:divBdr>
        </w:div>
        <w:div w:id="1310672295">
          <w:marLeft w:val="0"/>
          <w:marRight w:val="0"/>
          <w:marTop w:val="0"/>
          <w:marBottom w:val="0"/>
          <w:divBdr>
            <w:top w:val="none" w:sz="0" w:space="0" w:color="auto"/>
            <w:left w:val="none" w:sz="0" w:space="0" w:color="auto"/>
            <w:bottom w:val="none" w:sz="0" w:space="0" w:color="auto"/>
            <w:right w:val="none" w:sz="0" w:space="0" w:color="auto"/>
          </w:divBdr>
        </w:div>
        <w:div w:id="771364250">
          <w:marLeft w:val="0"/>
          <w:marRight w:val="0"/>
          <w:marTop w:val="0"/>
          <w:marBottom w:val="0"/>
          <w:divBdr>
            <w:top w:val="none" w:sz="0" w:space="0" w:color="auto"/>
            <w:left w:val="none" w:sz="0" w:space="0" w:color="auto"/>
            <w:bottom w:val="none" w:sz="0" w:space="0" w:color="auto"/>
            <w:right w:val="none" w:sz="0" w:space="0" w:color="auto"/>
          </w:divBdr>
        </w:div>
        <w:div w:id="1212570183">
          <w:marLeft w:val="0"/>
          <w:marRight w:val="0"/>
          <w:marTop w:val="0"/>
          <w:marBottom w:val="0"/>
          <w:divBdr>
            <w:top w:val="none" w:sz="0" w:space="0" w:color="auto"/>
            <w:left w:val="none" w:sz="0" w:space="0" w:color="auto"/>
            <w:bottom w:val="none" w:sz="0" w:space="0" w:color="auto"/>
            <w:right w:val="none" w:sz="0" w:space="0" w:color="auto"/>
          </w:divBdr>
        </w:div>
        <w:div w:id="2050765188">
          <w:marLeft w:val="0"/>
          <w:marRight w:val="0"/>
          <w:marTop w:val="0"/>
          <w:marBottom w:val="0"/>
          <w:divBdr>
            <w:top w:val="none" w:sz="0" w:space="0" w:color="auto"/>
            <w:left w:val="none" w:sz="0" w:space="0" w:color="auto"/>
            <w:bottom w:val="none" w:sz="0" w:space="0" w:color="auto"/>
            <w:right w:val="none" w:sz="0" w:space="0" w:color="auto"/>
          </w:divBdr>
        </w:div>
        <w:div w:id="413282127">
          <w:marLeft w:val="0"/>
          <w:marRight w:val="0"/>
          <w:marTop w:val="0"/>
          <w:marBottom w:val="0"/>
          <w:divBdr>
            <w:top w:val="none" w:sz="0" w:space="0" w:color="auto"/>
            <w:left w:val="none" w:sz="0" w:space="0" w:color="auto"/>
            <w:bottom w:val="none" w:sz="0" w:space="0" w:color="auto"/>
            <w:right w:val="none" w:sz="0" w:space="0" w:color="auto"/>
          </w:divBdr>
        </w:div>
        <w:div w:id="259721286">
          <w:marLeft w:val="0"/>
          <w:marRight w:val="0"/>
          <w:marTop w:val="0"/>
          <w:marBottom w:val="0"/>
          <w:divBdr>
            <w:top w:val="none" w:sz="0" w:space="0" w:color="auto"/>
            <w:left w:val="none" w:sz="0" w:space="0" w:color="auto"/>
            <w:bottom w:val="none" w:sz="0" w:space="0" w:color="auto"/>
            <w:right w:val="none" w:sz="0" w:space="0" w:color="auto"/>
          </w:divBdr>
        </w:div>
        <w:div w:id="1855994175">
          <w:marLeft w:val="0"/>
          <w:marRight w:val="0"/>
          <w:marTop w:val="0"/>
          <w:marBottom w:val="0"/>
          <w:divBdr>
            <w:top w:val="none" w:sz="0" w:space="0" w:color="auto"/>
            <w:left w:val="none" w:sz="0" w:space="0" w:color="auto"/>
            <w:bottom w:val="none" w:sz="0" w:space="0" w:color="auto"/>
            <w:right w:val="none" w:sz="0" w:space="0" w:color="auto"/>
          </w:divBdr>
        </w:div>
        <w:div w:id="809326961">
          <w:marLeft w:val="0"/>
          <w:marRight w:val="0"/>
          <w:marTop w:val="0"/>
          <w:marBottom w:val="0"/>
          <w:divBdr>
            <w:top w:val="none" w:sz="0" w:space="0" w:color="auto"/>
            <w:left w:val="none" w:sz="0" w:space="0" w:color="auto"/>
            <w:bottom w:val="none" w:sz="0" w:space="0" w:color="auto"/>
            <w:right w:val="none" w:sz="0" w:space="0" w:color="auto"/>
          </w:divBdr>
        </w:div>
        <w:div w:id="1816138046">
          <w:marLeft w:val="0"/>
          <w:marRight w:val="0"/>
          <w:marTop w:val="0"/>
          <w:marBottom w:val="0"/>
          <w:divBdr>
            <w:top w:val="none" w:sz="0" w:space="0" w:color="auto"/>
            <w:left w:val="none" w:sz="0" w:space="0" w:color="auto"/>
            <w:bottom w:val="none" w:sz="0" w:space="0" w:color="auto"/>
            <w:right w:val="none" w:sz="0" w:space="0" w:color="auto"/>
          </w:divBdr>
        </w:div>
        <w:div w:id="369886268">
          <w:marLeft w:val="0"/>
          <w:marRight w:val="0"/>
          <w:marTop w:val="0"/>
          <w:marBottom w:val="0"/>
          <w:divBdr>
            <w:top w:val="none" w:sz="0" w:space="0" w:color="auto"/>
            <w:left w:val="none" w:sz="0" w:space="0" w:color="auto"/>
            <w:bottom w:val="none" w:sz="0" w:space="0" w:color="auto"/>
            <w:right w:val="none" w:sz="0" w:space="0" w:color="auto"/>
          </w:divBdr>
        </w:div>
        <w:div w:id="1922980920">
          <w:marLeft w:val="0"/>
          <w:marRight w:val="0"/>
          <w:marTop w:val="0"/>
          <w:marBottom w:val="0"/>
          <w:divBdr>
            <w:top w:val="none" w:sz="0" w:space="0" w:color="auto"/>
            <w:left w:val="none" w:sz="0" w:space="0" w:color="auto"/>
            <w:bottom w:val="none" w:sz="0" w:space="0" w:color="auto"/>
            <w:right w:val="none" w:sz="0" w:space="0" w:color="auto"/>
          </w:divBdr>
        </w:div>
        <w:div w:id="1828861046">
          <w:marLeft w:val="0"/>
          <w:marRight w:val="0"/>
          <w:marTop w:val="0"/>
          <w:marBottom w:val="0"/>
          <w:divBdr>
            <w:top w:val="none" w:sz="0" w:space="0" w:color="auto"/>
            <w:left w:val="none" w:sz="0" w:space="0" w:color="auto"/>
            <w:bottom w:val="none" w:sz="0" w:space="0" w:color="auto"/>
            <w:right w:val="none" w:sz="0" w:space="0" w:color="auto"/>
          </w:divBdr>
        </w:div>
        <w:div w:id="417406859">
          <w:marLeft w:val="0"/>
          <w:marRight w:val="0"/>
          <w:marTop w:val="0"/>
          <w:marBottom w:val="0"/>
          <w:divBdr>
            <w:top w:val="none" w:sz="0" w:space="0" w:color="auto"/>
            <w:left w:val="none" w:sz="0" w:space="0" w:color="auto"/>
            <w:bottom w:val="none" w:sz="0" w:space="0" w:color="auto"/>
            <w:right w:val="none" w:sz="0" w:space="0" w:color="auto"/>
          </w:divBdr>
        </w:div>
        <w:div w:id="455412647">
          <w:marLeft w:val="0"/>
          <w:marRight w:val="0"/>
          <w:marTop w:val="0"/>
          <w:marBottom w:val="0"/>
          <w:divBdr>
            <w:top w:val="none" w:sz="0" w:space="0" w:color="auto"/>
            <w:left w:val="none" w:sz="0" w:space="0" w:color="auto"/>
            <w:bottom w:val="none" w:sz="0" w:space="0" w:color="auto"/>
            <w:right w:val="none" w:sz="0" w:space="0" w:color="auto"/>
          </w:divBdr>
        </w:div>
        <w:div w:id="100951814">
          <w:marLeft w:val="0"/>
          <w:marRight w:val="0"/>
          <w:marTop w:val="0"/>
          <w:marBottom w:val="0"/>
          <w:divBdr>
            <w:top w:val="none" w:sz="0" w:space="0" w:color="auto"/>
            <w:left w:val="none" w:sz="0" w:space="0" w:color="auto"/>
            <w:bottom w:val="none" w:sz="0" w:space="0" w:color="auto"/>
            <w:right w:val="none" w:sz="0" w:space="0" w:color="auto"/>
          </w:divBdr>
        </w:div>
        <w:div w:id="2017463372">
          <w:marLeft w:val="0"/>
          <w:marRight w:val="0"/>
          <w:marTop w:val="0"/>
          <w:marBottom w:val="0"/>
          <w:divBdr>
            <w:top w:val="none" w:sz="0" w:space="0" w:color="auto"/>
            <w:left w:val="none" w:sz="0" w:space="0" w:color="auto"/>
            <w:bottom w:val="none" w:sz="0" w:space="0" w:color="auto"/>
            <w:right w:val="none" w:sz="0" w:space="0" w:color="auto"/>
          </w:divBdr>
        </w:div>
        <w:div w:id="1203132483">
          <w:marLeft w:val="0"/>
          <w:marRight w:val="0"/>
          <w:marTop w:val="0"/>
          <w:marBottom w:val="0"/>
          <w:divBdr>
            <w:top w:val="none" w:sz="0" w:space="0" w:color="auto"/>
            <w:left w:val="none" w:sz="0" w:space="0" w:color="auto"/>
            <w:bottom w:val="none" w:sz="0" w:space="0" w:color="auto"/>
            <w:right w:val="none" w:sz="0" w:space="0" w:color="auto"/>
          </w:divBdr>
        </w:div>
        <w:div w:id="449517629">
          <w:marLeft w:val="0"/>
          <w:marRight w:val="0"/>
          <w:marTop w:val="0"/>
          <w:marBottom w:val="0"/>
          <w:divBdr>
            <w:top w:val="none" w:sz="0" w:space="0" w:color="auto"/>
            <w:left w:val="none" w:sz="0" w:space="0" w:color="auto"/>
            <w:bottom w:val="none" w:sz="0" w:space="0" w:color="auto"/>
            <w:right w:val="none" w:sz="0" w:space="0" w:color="auto"/>
          </w:divBdr>
        </w:div>
        <w:div w:id="1507789783">
          <w:marLeft w:val="0"/>
          <w:marRight w:val="0"/>
          <w:marTop w:val="0"/>
          <w:marBottom w:val="0"/>
          <w:divBdr>
            <w:top w:val="none" w:sz="0" w:space="0" w:color="auto"/>
            <w:left w:val="none" w:sz="0" w:space="0" w:color="auto"/>
            <w:bottom w:val="none" w:sz="0" w:space="0" w:color="auto"/>
            <w:right w:val="none" w:sz="0" w:space="0" w:color="auto"/>
          </w:divBdr>
        </w:div>
        <w:div w:id="972367521">
          <w:marLeft w:val="0"/>
          <w:marRight w:val="0"/>
          <w:marTop w:val="0"/>
          <w:marBottom w:val="0"/>
          <w:divBdr>
            <w:top w:val="none" w:sz="0" w:space="0" w:color="auto"/>
            <w:left w:val="none" w:sz="0" w:space="0" w:color="auto"/>
            <w:bottom w:val="none" w:sz="0" w:space="0" w:color="auto"/>
            <w:right w:val="none" w:sz="0" w:space="0" w:color="auto"/>
          </w:divBdr>
        </w:div>
        <w:div w:id="1974945841">
          <w:marLeft w:val="0"/>
          <w:marRight w:val="0"/>
          <w:marTop w:val="0"/>
          <w:marBottom w:val="0"/>
          <w:divBdr>
            <w:top w:val="none" w:sz="0" w:space="0" w:color="auto"/>
            <w:left w:val="none" w:sz="0" w:space="0" w:color="auto"/>
            <w:bottom w:val="none" w:sz="0" w:space="0" w:color="auto"/>
            <w:right w:val="none" w:sz="0" w:space="0" w:color="auto"/>
          </w:divBdr>
        </w:div>
        <w:div w:id="241335696">
          <w:marLeft w:val="0"/>
          <w:marRight w:val="0"/>
          <w:marTop w:val="0"/>
          <w:marBottom w:val="0"/>
          <w:divBdr>
            <w:top w:val="none" w:sz="0" w:space="0" w:color="auto"/>
            <w:left w:val="none" w:sz="0" w:space="0" w:color="auto"/>
            <w:bottom w:val="none" w:sz="0" w:space="0" w:color="auto"/>
            <w:right w:val="none" w:sz="0" w:space="0" w:color="auto"/>
          </w:divBdr>
        </w:div>
        <w:div w:id="852261856">
          <w:marLeft w:val="0"/>
          <w:marRight w:val="0"/>
          <w:marTop w:val="0"/>
          <w:marBottom w:val="0"/>
          <w:divBdr>
            <w:top w:val="none" w:sz="0" w:space="0" w:color="auto"/>
            <w:left w:val="none" w:sz="0" w:space="0" w:color="auto"/>
            <w:bottom w:val="none" w:sz="0" w:space="0" w:color="auto"/>
            <w:right w:val="none" w:sz="0" w:space="0" w:color="auto"/>
          </w:divBdr>
        </w:div>
        <w:div w:id="2113626523">
          <w:marLeft w:val="0"/>
          <w:marRight w:val="0"/>
          <w:marTop w:val="0"/>
          <w:marBottom w:val="0"/>
          <w:divBdr>
            <w:top w:val="none" w:sz="0" w:space="0" w:color="auto"/>
            <w:left w:val="none" w:sz="0" w:space="0" w:color="auto"/>
            <w:bottom w:val="none" w:sz="0" w:space="0" w:color="auto"/>
            <w:right w:val="none" w:sz="0" w:space="0" w:color="auto"/>
          </w:divBdr>
        </w:div>
        <w:div w:id="589318916">
          <w:marLeft w:val="0"/>
          <w:marRight w:val="0"/>
          <w:marTop w:val="0"/>
          <w:marBottom w:val="0"/>
          <w:divBdr>
            <w:top w:val="none" w:sz="0" w:space="0" w:color="auto"/>
            <w:left w:val="none" w:sz="0" w:space="0" w:color="auto"/>
            <w:bottom w:val="none" w:sz="0" w:space="0" w:color="auto"/>
            <w:right w:val="none" w:sz="0" w:space="0" w:color="auto"/>
          </w:divBdr>
        </w:div>
        <w:div w:id="2002846513">
          <w:marLeft w:val="0"/>
          <w:marRight w:val="0"/>
          <w:marTop w:val="0"/>
          <w:marBottom w:val="0"/>
          <w:divBdr>
            <w:top w:val="none" w:sz="0" w:space="0" w:color="auto"/>
            <w:left w:val="none" w:sz="0" w:space="0" w:color="auto"/>
            <w:bottom w:val="none" w:sz="0" w:space="0" w:color="auto"/>
            <w:right w:val="none" w:sz="0" w:space="0" w:color="auto"/>
          </w:divBdr>
        </w:div>
        <w:div w:id="1707949454">
          <w:marLeft w:val="0"/>
          <w:marRight w:val="0"/>
          <w:marTop w:val="0"/>
          <w:marBottom w:val="0"/>
          <w:divBdr>
            <w:top w:val="none" w:sz="0" w:space="0" w:color="auto"/>
            <w:left w:val="none" w:sz="0" w:space="0" w:color="auto"/>
            <w:bottom w:val="none" w:sz="0" w:space="0" w:color="auto"/>
            <w:right w:val="none" w:sz="0" w:space="0" w:color="auto"/>
          </w:divBdr>
        </w:div>
        <w:div w:id="361127477">
          <w:marLeft w:val="0"/>
          <w:marRight w:val="0"/>
          <w:marTop w:val="0"/>
          <w:marBottom w:val="0"/>
          <w:divBdr>
            <w:top w:val="none" w:sz="0" w:space="0" w:color="auto"/>
            <w:left w:val="none" w:sz="0" w:space="0" w:color="auto"/>
            <w:bottom w:val="none" w:sz="0" w:space="0" w:color="auto"/>
            <w:right w:val="none" w:sz="0" w:space="0" w:color="auto"/>
          </w:divBdr>
        </w:div>
        <w:div w:id="771510146">
          <w:marLeft w:val="0"/>
          <w:marRight w:val="0"/>
          <w:marTop w:val="0"/>
          <w:marBottom w:val="0"/>
          <w:divBdr>
            <w:top w:val="none" w:sz="0" w:space="0" w:color="auto"/>
            <w:left w:val="none" w:sz="0" w:space="0" w:color="auto"/>
            <w:bottom w:val="none" w:sz="0" w:space="0" w:color="auto"/>
            <w:right w:val="none" w:sz="0" w:space="0" w:color="auto"/>
          </w:divBdr>
        </w:div>
        <w:div w:id="1623801847">
          <w:marLeft w:val="0"/>
          <w:marRight w:val="0"/>
          <w:marTop w:val="0"/>
          <w:marBottom w:val="0"/>
          <w:divBdr>
            <w:top w:val="none" w:sz="0" w:space="0" w:color="auto"/>
            <w:left w:val="none" w:sz="0" w:space="0" w:color="auto"/>
            <w:bottom w:val="none" w:sz="0" w:space="0" w:color="auto"/>
            <w:right w:val="none" w:sz="0" w:space="0" w:color="auto"/>
          </w:divBdr>
        </w:div>
        <w:div w:id="2012022591">
          <w:marLeft w:val="0"/>
          <w:marRight w:val="0"/>
          <w:marTop w:val="0"/>
          <w:marBottom w:val="0"/>
          <w:divBdr>
            <w:top w:val="none" w:sz="0" w:space="0" w:color="auto"/>
            <w:left w:val="none" w:sz="0" w:space="0" w:color="auto"/>
            <w:bottom w:val="none" w:sz="0" w:space="0" w:color="auto"/>
            <w:right w:val="none" w:sz="0" w:space="0" w:color="auto"/>
          </w:divBdr>
        </w:div>
        <w:div w:id="317272911">
          <w:marLeft w:val="0"/>
          <w:marRight w:val="0"/>
          <w:marTop w:val="0"/>
          <w:marBottom w:val="0"/>
          <w:divBdr>
            <w:top w:val="none" w:sz="0" w:space="0" w:color="auto"/>
            <w:left w:val="none" w:sz="0" w:space="0" w:color="auto"/>
            <w:bottom w:val="none" w:sz="0" w:space="0" w:color="auto"/>
            <w:right w:val="none" w:sz="0" w:space="0" w:color="auto"/>
          </w:divBdr>
        </w:div>
        <w:div w:id="1872524562">
          <w:marLeft w:val="0"/>
          <w:marRight w:val="0"/>
          <w:marTop w:val="0"/>
          <w:marBottom w:val="0"/>
          <w:divBdr>
            <w:top w:val="none" w:sz="0" w:space="0" w:color="auto"/>
            <w:left w:val="none" w:sz="0" w:space="0" w:color="auto"/>
            <w:bottom w:val="none" w:sz="0" w:space="0" w:color="auto"/>
            <w:right w:val="none" w:sz="0" w:space="0" w:color="auto"/>
          </w:divBdr>
        </w:div>
        <w:div w:id="1779636404">
          <w:marLeft w:val="0"/>
          <w:marRight w:val="0"/>
          <w:marTop w:val="0"/>
          <w:marBottom w:val="0"/>
          <w:divBdr>
            <w:top w:val="none" w:sz="0" w:space="0" w:color="auto"/>
            <w:left w:val="none" w:sz="0" w:space="0" w:color="auto"/>
            <w:bottom w:val="none" w:sz="0" w:space="0" w:color="auto"/>
            <w:right w:val="none" w:sz="0" w:space="0" w:color="auto"/>
          </w:divBdr>
        </w:div>
        <w:div w:id="926383806">
          <w:marLeft w:val="0"/>
          <w:marRight w:val="0"/>
          <w:marTop w:val="0"/>
          <w:marBottom w:val="0"/>
          <w:divBdr>
            <w:top w:val="none" w:sz="0" w:space="0" w:color="auto"/>
            <w:left w:val="none" w:sz="0" w:space="0" w:color="auto"/>
            <w:bottom w:val="none" w:sz="0" w:space="0" w:color="auto"/>
            <w:right w:val="none" w:sz="0" w:space="0" w:color="auto"/>
          </w:divBdr>
        </w:div>
        <w:div w:id="1752316170">
          <w:marLeft w:val="0"/>
          <w:marRight w:val="0"/>
          <w:marTop w:val="0"/>
          <w:marBottom w:val="0"/>
          <w:divBdr>
            <w:top w:val="none" w:sz="0" w:space="0" w:color="auto"/>
            <w:left w:val="none" w:sz="0" w:space="0" w:color="auto"/>
            <w:bottom w:val="none" w:sz="0" w:space="0" w:color="auto"/>
            <w:right w:val="none" w:sz="0" w:space="0" w:color="auto"/>
          </w:divBdr>
        </w:div>
        <w:div w:id="1430663280">
          <w:marLeft w:val="0"/>
          <w:marRight w:val="0"/>
          <w:marTop w:val="0"/>
          <w:marBottom w:val="0"/>
          <w:divBdr>
            <w:top w:val="none" w:sz="0" w:space="0" w:color="auto"/>
            <w:left w:val="none" w:sz="0" w:space="0" w:color="auto"/>
            <w:bottom w:val="none" w:sz="0" w:space="0" w:color="auto"/>
            <w:right w:val="none" w:sz="0" w:space="0" w:color="auto"/>
          </w:divBdr>
        </w:div>
        <w:div w:id="1640378915">
          <w:marLeft w:val="0"/>
          <w:marRight w:val="0"/>
          <w:marTop w:val="0"/>
          <w:marBottom w:val="0"/>
          <w:divBdr>
            <w:top w:val="none" w:sz="0" w:space="0" w:color="auto"/>
            <w:left w:val="none" w:sz="0" w:space="0" w:color="auto"/>
            <w:bottom w:val="none" w:sz="0" w:space="0" w:color="auto"/>
            <w:right w:val="none" w:sz="0" w:space="0" w:color="auto"/>
          </w:divBdr>
        </w:div>
        <w:div w:id="5328410">
          <w:marLeft w:val="0"/>
          <w:marRight w:val="0"/>
          <w:marTop w:val="0"/>
          <w:marBottom w:val="0"/>
          <w:divBdr>
            <w:top w:val="none" w:sz="0" w:space="0" w:color="auto"/>
            <w:left w:val="none" w:sz="0" w:space="0" w:color="auto"/>
            <w:bottom w:val="none" w:sz="0" w:space="0" w:color="auto"/>
            <w:right w:val="none" w:sz="0" w:space="0" w:color="auto"/>
          </w:divBdr>
        </w:div>
      </w:divsChild>
    </w:div>
    <w:div w:id="1405300170">
      <w:marLeft w:val="0"/>
      <w:marRight w:val="0"/>
      <w:marTop w:val="180"/>
      <w:marBottom w:val="180"/>
      <w:divBdr>
        <w:top w:val="none" w:sz="0" w:space="0" w:color="auto"/>
        <w:left w:val="none" w:sz="0" w:space="0" w:color="auto"/>
        <w:bottom w:val="none" w:sz="0" w:space="0" w:color="auto"/>
        <w:right w:val="none" w:sz="0" w:space="0" w:color="auto"/>
      </w:divBdr>
    </w:div>
    <w:div w:id="1405910465">
      <w:marLeft w:val="0"/>
      <w:marRight w:val="0"/>
      <w:marTop w:val="0"/>
      <w:marBottom w:val="0"/>
      <w:divBdr>
        <w:top w:val="none" w:sz="0" w:space="0" w:color="auto"/>
        <w:left w:val="none" w:sz="0" w:space="0" w:color="auto"/>
        <w:bottom w:val="none" w:sz="0" w:space="0" w:color="auto"/>
        <w:right w:val="none" w:sz="0" w:space="0" w:color="auto"/>
      </w:divBdr>
    </w:div>
    <w:div w:id="1406219878">
      <w:marLeft w:val="0"/>
      <w:marRight w:val="0"/>
      <w:marTop w:val="0"/>
      <w:marBottom w:val="0"/>
      <w:divBdr>
        <w:top w:val="none" w:sz="0" w:space="0" w:color="auto"/>
        <w:left w:val="none" w:sz="0" w:space="0" w:color="auto"/>
        <w:bottom w:val="none" w:sz="0" w:space="0" w:color="auto"/>
        <w:right w:val="none" w:sz="0" w:space="0" w:color="auto"/>
      </w:divBdr>
      <w:divsChild>
        <w:div w:id="1065490282">
          <w:marLeft w:val="0"/>
          <w:marRight w:val="0"/>
          <w:marTop w:val="0"/>
          <w:marBottom w:val="0"/>
          <w:divBdr>
            <w:top w:val="none" w:sz="0" w:space="0" w:color="auto"/>
            <w:left w:val="none" w:sz="0" w:space="0" w:color="auto"/>
            <w:bottom w:val="none" w:sz="0" w:space="0" w:color="auto"/>
            <w:right w:val="none" w:sz="0" w:space="0" w:color="auto"/>
          </w:divBdr>
        </w:div>
      </w:divsChild>
    </w:div>
    <w:div w:id="1407608442">
      <w:marLeft w:val="0"/>
      <w:marRight w:val="0"/>
      <w:marTop w:val="0"/>
      <w:marBottom w:val="0"/>
      <w:divBdr>
        <w:top w:val="none" w:sz="0" w:space="0" w:color="auto"/>
        <w:left w:val="none" w:sz="0" w:space="0" w:color="auto"/>
        <w:bottom w:val="none" w:sz="0" w:space="0" w:color="auto"/>
        <w:right w:val="none" w:sz="0" w:space="0" w:color="auto"/>
      </w:divBdr>
    </w:div>
    <w:div w:id="1410883124">
      <w:marLeft w:val="0"/>
      <w:marRight w:val="0"/>
      <w:marTop w:val="0"/>
      <w:marBottom w:val="0"/>
      <w:divBdr>
        <w:top w:val="none" w:sz="0" w:space="0" w:color="auto"/>
        <w:left w:val="none" w:sz="0" w:space="0" w:color="auto"/>
        <w:bottom w:val="none" w:sz="0" w:space="0" w:color="auto"/>
        <w:right w:val="none" w:sz="0" w:space="0" w:color="auto"/>
      </w:divBdr>
      <w:divsChild>
        <w:div w:id="1530683601">
          <w:marLeft w:val="0"/>
          <w:marRight w:val="0"/>
          <w:marTop w:val="0"/>
          <w:marBottom w:val="0"/>
          <w:divBdr>
            <w:top w:val="none" w:sz="0" w:space="0" w:color="auto"/>
            <w:left w:val="none" w:sz="0" w:space="0" w:color="auto"/>
            <w:bottom w:val="none" w:sz="0" w:space="0" w:color="auto"/>
            <w:right w:val="none" w:sz="0" w:space="0" w:color="auto"/>
          </w:divBdr>
        </w:div>
      </w:divsChild>
    </w:div>
    <w:div w:id="1412310840">
      <w:marLeft w:val="0"/>
      <w:marRight w:val="0"/>
      <w:marTop w:val="0"/>
      <w:marBottom w:val="240"/>
      <w:divBdr>
        <w:top w:val="none" w:sz="0" w:space="0" w:color="auto"/>
        <w:left w:val="none" w:sz="0" w:space="0" w:color="auto"/>
        <w:bottom w:val="none" w:sz="0" w:space="0" w:color="auto"/>
        <w:right w:val="none" w:sz="0" w:space="0" w:color="auto"/>
      </w:divBdr>
    </w:div>
    <w:div w:id="1413547697">
      <w:marLeft w:val="0"/>
      <w:marRight w:val="0"/>
      <w:marTop w:val="0"/>
      <w:marBottom w:val="240"/>
      <w:divBdr>
        <w:top w:val="none" w:sz="0" w:space="0" w:color="auto"/>
        <w:left w:val="none" w:sz="0" w:space="0" w:color="auto"/>
        <w:bottom w:val="none" w:sz="0" w:space="0" w:color="auto"/>
        <w:right w:val="none" w:sz="0" w:space="0" w:color="auto"/>
      </w:divBdr>
    </w:div>
    <w:div w:id="1413577296">
      <w:marLeft w:val="0"/>
      <w:marRight w:val="0"/>
      <w:marTop w:val="0"/>
      <w:marBottom w:val="0"/>
      <w:divBdr>
        <w:top w:val="none" w:sz="0" w:space="0" w:color="auto"/>
        <w:left w:val="none" w:sz="0" w:space="0" w:color="auto"/>
        <w:bottom w:val="none" w:sz="0" w:space="0" w:color="auto"/>
        <w:right w:val="none" w:sz="0" w:space="0" w:color="auto"/>
      </w:divBdr>
      <w:divsChild>
        <w:div w:id="131871082">
          <w:marLeft w:val="0"/>
          <w:marRight w:val="0"/>
          <w:marTop w:val="0"/>
          <w:marBottom w:val="0"/>
          <w:divBdr>
            <w:top w:val="none" w:sz="0" w:space="0" w:color="auto"/>
            <w:left w:val="none" w:sz="0" w:space="0" w:color="auto"/>
            <w:bottom w:val="none" w:sz="0" w:space="0" w:color="auto"/>
            <w:right w:val="none" w:sz="0" w:space="0" w:color="auto"/>
          </w:divBdr>
        </w:div>
      </w:divsChild>
    </w:div>
    <w:div w:id="1415976826">
      <w:marLeft w:val="0"/>
      <w:marRight w:val="0"/>
      <w:marTop w:val="100"/>
      <w:marBottom w:val="0"/>
      <w:divBdr>
        <w:top w:val="none" w:sz="0" w:space="0" w:color="auto"/>
        <w:left w:val="none" w:sz="0" w:space="0" w:color="auto"/>
        <w:bottom w:val="none" w:sz="0" w:space="0" w:color="auto"/>
        <w:right w:val="none" w:sz="0" w:space="0" w:color="auto"/>
      </w:divBdr>
    </w:div>
    <w:div w:id="1421482780">
      <w:marLeft w:val="0"/>
      <w:marRight w:val="0"/>
      <w:marTop w:val="0"/>
      <w:marBottom w:val="0"/>
      <w:divBdr>
        <w:top w:val="none" w:sz="0" w:space="0" w:color="auto"/>
        <w:left w:val="none" w:sz="0" w:space="0" w:color="auto"/>
        <w:bottom w:val="none" w:sz="0" w:space="0" w:color="auto"/>
        <w:right w:val="none" w:sz="0" w:space="0" w:color="auto"/>
      </w:divBdr>
      <w:divsChild>
        <w:div w:id="332143497">
          <w:marLeft w:val="0"/>
          <w:marRight w:val="0"/>
          <w:marTop w:val="0"/>
          <w:marBottom w:val="0"/>
          <w:divBdr>
            <w:top w:val="none" w:sz="0" w:space="0" w:color="auto"/>
            <w:left w:val="none" w:sz="0" w:space="0" w:color="auto"/>
            <w:bottom w:val="none" w:sz="0" w:space="0" w:color="auto"/>
            <w:right w:val="none" w:sz="0" w:space="0" w:color="auto"/>
          </w:divBdr>
        </w:div>
      </w:divsChild>
    </w:div>
    <w:div w:id="1421677269">
      <w:marLeft w:val="0"/>
      <w:marRight w:val="0"/>
      <w:marTop w:val="180"/>
      <w:marBottom w:val="180"/>
      <w:divBdr>
        <w:top w:val="none" w:sz="0" w:space="0" w:color="auto"/>
        <w:left w:val="none" w:sz="0" w:space="0" w:color="auto"/>
        <w:bottom w:val="none" w:sz="0" w:space="0" w:color="auto"/>
        <w:right w:val="none" w:sz="0" w:space="0" w:color="auto"/>
      </w:divBdr>
    </w:div>
    <w:div w:id="1422095141">
      <w:marLeft w:val="0"/>
      <w:marRight w:val="0"/>
      <w:marTop w:val="100"/>
      <w:marBottom w:val="0"/>
      <w:divBdr>
        <w:top w:val="none" w:sz="0" w:space="0" w:color="auto"/>
        <w:left w:val="none" w:sz="0" w:space="0" w:color="auto"/>
        <w:bottom w:val="none" w:sz="0" w:space="0" w:color="auto"/>
        <w:right w:val="none" w:sz="0" w:space="0" w:color="auto"/>
      </w:divBdr>
      <w:divsChild>
        <w:div w:id="937712487">
          <w:marLeft w:val="0"/>
          <w:marRight w:val="0"/>
          <w:marTop w:val="0"/>
          <w:marBottom w:val="0"/>
          <w:divBdr>
            <w:top w:val="none" w:sz="0" w:space="0" w:color="auto"/>
            <w:left w:val="none" w:sz="0" w:space="0" w:color="auto"/>
            <w:bottom w:val="none" w:sz="0" w:space="0" w:color="auto"/>
            <w:right w:val="none" w:sz="0" w:space="0" w:color="auto"/>
          </w:divBdr>
        </w:div>
      </w:divsChild>
    </w:div>
    <w:div w:id="1422338498">
      <w:marLeft w:val="0"/>
      <w:marRight w:val="0"/>
      <w:marTop w:val="0"/>
      <w:marBottom w:val="0"/>
      <w:divBdr>
        <w:top w:val="none" w:sz="0" w:space="0" w:color="auto"/>
        <w:left w:val="none" w:sz="0" w:space="0" w:color="auto"/>
        <w:bottom w:val="none" w:sz="0" w:space="0" w:color="auto"/>
        <w:right w:val="none" w:sz="0" w:space="0" w:color="auto"/>
      </w:divBdr>
      <w:divsChild>
        <w:div w:id="2058508219">
          <w:marLeft w:val="0"/>
          <w:marRight w:val="0"/>
          <w:marTop w:val="0"/>
          <w:marBottom w:val="0"/>
          <w:divBdr>
            <w:top w:val="none" w:sz="0" w:space="0" w:color="auto"/>
            <w:left w:val="none" w:sz="0" w:space="0" w:color="auto"/>
            <w:bottom w:val="none" w:sz="0" w:space="0" w:color="auto"/>
            <w:right w:val="none" w:sz="0" w:space="0" w:color="auto"/>
          </w:divBdr>
        </w:div>
      </w:divsChild>
    </w:div>
    <w:div w:id="1422407022">
      <w:marLeft w:val="0"/>
      <w:marRight w:val="0"/>
      <w:marTop w:val="0"/>
      <w:marBottom w:val="0"/>
      <w:divBdr>
        <w:top w:val="none" w:sz="0" w:space="0" w:color="auto"/>
        <w:left w:val="none" w:sz="0" w:space="0" w:color="auto"/>
        <w:bottom w:val="none" w:sz="0" w:space="0" w:color="auto"/>
        <w:right w:val="none" w:sz="0" w:space="0" w:color="auto"/>
      </w:divBdr>
      <w:divsChild>
        <w:div w:id="76635962">
          <w:marLeft w:val="0"/>
          <w:marRight w:val="0"/>
          <w:marTop w:val="0"/>
          <w:marBottom w:val="0"/>
          <w:divBdr>
            <w:top w:val="none" w:sz="0" w:space="0" w:color="auto"/>
            <w:left w:val="none" w:sz="0" w:space="0" w:color="auto"/>
            <w:bottom w:val="none" w:sz="0" w:space="0" w:color="auto"/>
            <w:right w:val="none" w:sz="0" w:space="0" w:color="auto"/>
          </w:divBdr>
        </w:div>
      </w:divsChild>
    </w:div>
    <w:div w:id="1423649852">
      <w:marLeft w:val="0"/>
      <w:marRight w:val="0"/>
      <w:marTop w:val="0"/>
      <w:marBottom w:val="240"/>
      <w:divBdr>
        <w:top w:val="none" w:sz="0" w:space="0" w:color="auto"/>
        <w:left w:val="none" w:sz="0" w:space="0" w:color="auto"/>
        <w:bottom w:val="none" w:sz="0" w:space="0" w:color="auto"/>
        <w:right w:val="none" w:sz="0" w:space="0" w:color="auto"/>
      </w:divBdr>
    </w:div>
    <w:div w:id="1423793641">
      <w:marLeft w:val="0"/>
      <w:marRight w:val="0"/>
      <w:marTop w:val="0"/>
      <w:marBottom w:val="180"/>
      <w:divBdr>
        <w:top w:val="none" w:sz="0" w:space="0" w:color="auto"/>
        <w:left w:val="none" w:sz="0" w:space="0" w:color="auto"/>
        <w:bottom w:val="none" w:sz="0" w:space="0" w:color="auto"/>
        <w:right w:val="none" w:sz="0" w:space="0" w:color="auto"/>
      </w:divBdr>
    </w:div>
    <w:div w:id="1425222560">
      <w:marLeft w:val="0"/>
      <w:marRight w:val="0"/>
      <w:marTop w:val="0"/>
      <w:marBottom w:val="180"/>
      <w:divBdr>
        <w:top w:val="none" w:sz="0" w:space="0" w:color="auto"/>
        <w:left w:val="none" w:sz="0" w:space="0" w:color="auto"/>
        <w:bottom w:val="none" w:sz="0" w:space="0" w:color="auto"/>
        <w:right w:val="none" w:sz="0" w:space="0" w:color="auto"/>
      </w:divBdr>
    </w:div>
    <w:div w:id="1427073525">
      <w:marLeft w:val="0"/>
      <w:marRight w:val="0"/>
      <w:marTop w:val="0"/>
      <w:marBottom w:val="180"/>
      <w:divBdr>
        <w:top w:val="none" w:sz="0" w:space="0" w:color="auto"/>
        <w:left w:val="none" w:sz="0" w:space="0" w:color="auto"/>
        <w:bottom w:val="none" w:sz="0" w:space="0" w:color="auto"/>
        <w:right w:val="none" w:sz="0" w:space="0" w:color="auto"/>
      </w:divBdr>
    </w:div>
    <w:div w:id="1428698770">
      <w:marLeft w:val="0"/>
      <w:marRight w:val="0"/>
      <w:marTop w:val="120"/>
      <w:marBottom w:val="120"/>
      <w:divBdr>
        <w:top w:val="none" w:sz="0" w:space="0" w:color="auto"/>
        <w:left w:val="none" w:sz="0" w:space="0" w:color="auto"/>
        <w:bottom w:val="none" w:sz="0" w:space="0" w:color="auto"/>
        <w:right w:val="none" w:sz="0" w:space="0" w:color="auto"/>
      </w:divBdr>
    </w:div>
    <w:div w:id="1429423777">
      <w:marLeft w:val="0"/>
      <w:marRight w:val="0"/>
      <w:marTop w:val="0"/>
      <w:marBottom w:val="0"/>
      <w:divBdr>
        <w:top w:val="none" w:sz="0" w:space="0" w:color="auto"/>
        <w:left w:val="none" w:sz="0" w:space="0" w:color="auto"/>
        <w:bottom w:val="none" w:sz="0" w:space="0" w:color="auto"/>
        <w:right w:val="none" w:sz="0" w:space="0" w:color="auto"/>
      </w:divBdr>
      <w:divsChild>
        <w:div w:id="1099761173">
          <w:marLeft w:val="0"/>
          <w:marRight w:val="0"/>
          <w:marTop w:val="0"/>
          <w:marBottom w:val="0"/>
          <w:divBdr>
            <w:top w:val="none" w:sz="0" w:space="0" w:color="auto"/>
            <w:left w:val="none" w:sz="0" w:space="0" w:color="auto"/>
            <w:bottom w:val="none" w:sz="0" w:space="0" w:color="auto"/>
            <w:right w:val="none" w:sz="0" w:space="0" w:color="auto"/>
          </w:divBdr>
        </w:div>
      </w:divsChild>
    </w:div>
    <w:div w:id="1429811862">
      <w:marLeft w:val="0"/>
      <w:marRight w:val="0"/>
      <w:marTop w:val="0"/>
      <w:marBottom w:val="180"/>
      <w:divBdr>
        <w:top w:val="none" w:sz="0" w:space="0" w:color="auto"/>
        <w:left w:val="none" w:sz="0" w:space="0" w:color="auto"/>
        <w:bottom w:val="none" w:sz="0" w:space="0" w:color="auto"/>
        <w:right w:val="none" w:sz="0" w:space="0" w:color="auto"/>
      </w:divBdr>
    </w:div>
    <w:div w:id="1432701873">
      <w:marLeft w:val="0"/>
      <w:marRight w:val="0"/>
      <w:marTop w:val="0"/>
      <w:marBottom w:val="0"/>
      <w:divBdr>
        <w:top w:val="none" w:sz="0" w:space="0" w:color="auto"/>
        <w:left w:val="none" w:sz="0" w:space="0" w:color="auto"/>
        <w:bottom w:val="none" w:sz="0" w:space="0" w:color="auto"/>
        <w:right w:val="none" w:sz="0" w:space="0" w:color="auto"/>
      </w:divBdr>
    </w:div>
    <w:div w:id="1434856502">
      <w:marLeft w:val="0"/>
      <w:marRight w:val="0"/>
      <w:marTop w:val="0"/>
      <w:marBottom w:val="180"/>
      <w:divBdr>
        <w:top w:val="none" w:sz="0" w:space="0" w:color="auto"/>
        <w:left w:val="none" w:sz="0" w:space="0" w:color="auto"/>
        <w:bottom w:val="none" w:sz="0" w:space="0" w:color="auto"/>
        <w:right w:val="none" w:sz="0" w:space="0" w:color="auto"/>
      </w:divBdr>
    </w:div>
    <w:div w:id="1435512467">
      <w:marLeft w:val="0"/>
      <w:marRight w:val="0"/>
      <w:marTop w:val="0"/>
      <w:marBottom w:val="0"/>
      <w:divBdr>
        <w:top w:val="none" w:sz="0" w:space="0" w:color="auto"/>
        <w:left w:val="none" w:sz="0" w:space="0" w:color="auto"/>
        <w:bottom w:val="none" w:sz="0" w:space="0" w:color="auto"/>
        <w:right w:val="none" w:sz="0" w:space="0" w:color="auto"/>
      </w:divBdr>
    </w:div>
    <w:div w:id="1435788120">
      <w:marLeft w:val="0"/>
      <w:marRight w:val="0"/>
      <w:marTop w:val="0"/>
      <w:marBottom w:val="0"/>
      <w:divBdr>
        <w:top w:val="none" w:sz="0" w:space="0" w:color="auto"/>
        <w:left w:val="none" w:sz="0" w:space="0" w:color="auto"/>
        <w:bottom w:val="none" w:sz="0" w:space="0" w:color="auto"/>
        <w:right w:val="none" w:sz="0" w:space="0" w:color="auto"/>
      </w:divBdr>
    </w:div>
    <w:div w:id="1436248435">
      <w:marLeft w:val="0"/>
      <w:marRight w:val="0"/>
      <w:marTop w:val="0"/>
      <w:marBottom w:val="180"/>
      <w:divBdr>
        <w:top w:val="none" w:sz="0" w:space="0" w:color="auto"/>
        <w:left w:val="none" w:sz="0" w:space="0" w:color="auto"/>
        <w:bottom w:val="none" w:sz="0" w:space="0" w:color="auto"/>
        <w:right w:val="none" w:sz="0" w:space="0" w:color="auto"/>
      </w:divBdr>
    </w:div>
    <w:div w:id="1436438416">
      <w:marLeft w:val="0"/>
      <w:marRight w:val="0"/>
      <w:marTop w:val="0"/>
      <w:marBottom w:val="0"/>
      <w:divBdr>
        <w:top w:val="none" w:sz="0" w:space="0" w:color="auto"/>
        <w:left w:val="none" w:sz="0" w:space="0" w:color="auto"/>
        <w:bottom w:val="none" w:sz="0" w:space="0" w:color="auto"/>
        <w:right w:val="none" w:sz="0" w:space="0" w:color="auto"/>
      </w:divBdr>
      <w:divsChild>
        <w:div w:id="1818762551">
          <w:marLeft w:val="0"/>
          <w:marRight w:val="0"/>
          <w:marTop w:val="0"/>
          <w:marBottom w:val="0"/>
          <w:divBdr>
            <w:top w:val="none" w:sz="0" w:space="0" w:color="auto"/>
            <w:left w:val="none" w:sz="0" w:space="0" w:color="auto"/>
            <w:bottom w:val="none" w:sz="0" w:space="0" w:color="auto"/>
            <w:right w:val="none" w:sz="0" w:space="0" w:color="auto"/>
          </w:divBdr>
        </w:div>
      </w:divsChild>
    </w:div>
    <w:div w:id="1438283138">
      <w:marLeft w:val="0"/>
      <w:marRight w:val="0"/>
      <w:marTop w:val="0"/>
      <w:marBottom w:val="240"/>
      <w:divBdr>
        <w:top w:val="none" w:sz="0" w:space="0" w:color="auto"/>
        <w:left w:val="none" w:sz="0" w:space="0" w:color="auto"/>
        <w:bottom w:val="none" w:sz="0" w:space="0" w:color="auto"/>
        <w:right w:val="none" w:sz="0" w:space="0" w:color="auto"/>
      </w:divBdr>
    </w:div>
    <w:div w:id="1441409258">
      <w:marLeft w:val="0"/>
      <w:marRight w:val="0"/>
      <w:marTop w:val="0"/>
      <w:marBottom w:val="240"/>
      <w:divBdr>
        <w:top w:val="none" w:sz="0" w:space="0" w:color="auto"/>
        <w:left w:val="none" w:sz="0" w:space="0" w:color="auto"/>
        <w:bottom w:val="none" w:sz="0" w:space="0" w:color="auto"/>
        <w:right w:val="none" w:sz="0" w:space="0" w:color="auto"/>
      </w:divBdr>
    </w:div>
    <w:div w:id="1441950326">
      <w:marLeft w:val="0"/>
      <w:marRight w:val="0"/>
      <w:marTop w:val="0"/>
      <w:marBottom w:val="240"/>
      <w:divBdr>
        <w:top w:val="none" w:sz="0" w:space="0" w:color="auto"/>
        <w:left w:val="none" w:sz="0" w:space="0" w:color="auto"/>
        <w:bottom w:val="none" w:sz="0" w:space="0" w:color="auto"/>
        <w:right w:val="none" w:sz="0" w:space="0" w:color="auto"/>
      </w:divBdr>
    </w:div>
    <w:div w:id="1442382831">
      <w:marLeft w:val="0"/>
      <w:marRight w:val="0"/>
      <w:marTop w:val="0"/>
      <w:marBottom w:val="0"/>
      <w:divBdr>
        <w:top w:val="none" w:sz="0" w:space="0" w:color="auto"/>
        <w:left w:val="none" w:sz="0" w:space="0" w:color="auto"/>
        <w:bottom w:val="none" w:sz="0" w:space="0" w:color="auto"/>
        <w:right w:val="none" w:sz="0" w:space="0" w:color="auto"/>
      </w:divBdr>
    </w:div>
    <w:div w:id="1443501857">
      <w:marLeft w:val="0"/>
      <w:marRight w:val="0"/>
      <w:marTop w:val="180"/>
      <w:marBottom w:val="180"/>
      <w:divBdr>
        <w:top w:val="none" w:sz="0" w:space="0" w:color="auto"/>
        <w:left w:val="none" w:sz="0" w:space="0" w:color="auto"/>
        <w:bottom w:val="none" w:sz="0" w:space="0" w:color="auto"/>
        <w:right w:val="none" w:sz="0" w:space="0" w:color="auto"/>
      </w:divBdr>
    </w:div>
    <w:div w:id="1444692099">
      <w:marLeft w:val="0"/>
      <w:marRight w:val="0"/>
      <w:marTop w:val="0"/>
      <w:marBottom w:val="180"/>
      <w:divBdr>
        <w:top w:val="none" w:sz="0" w:space="0" w:color="auto"/>
        <w:left w:val="none" w:sz="0" w:space="0" w:color="auto"/>
        <w:bottom w:val="none" w:sz="0" w:space="0" w:color="auto"/>
        <w:right w:val="none" w:sz="0" w:space="0" w:color="auto"/>
      </w:divBdr>
    </w:div>
    <w:div w:id="1447846835">
      <w:marLeft w:val="0"/>
      <w:marRight w:val="0"/>
      <w:marTop w:val="0"/>
      <w:marBottom w:val="0"/>
      <w:divBdr>
        <w:top w:val="none" w:sz="0" w:space="0" w:color="auto"/>
        <w:left w:val="none" w:sz="0" w:space="0" w:color="auto"/>
        <w:bottom w:val="none" w:sz="0" w:space="0" w:color="auto"/>
        <w:right w:val="none" w:sz="0" w:space="0" w:color="auto"/>
      </w:divBdr>
    </w:div>
    <w:div w:id="1449861005">
      <w:marLeft w:val="0"/>
      <w:marRight w:val="0"/>
      <w:marTop w:val="0"/>
      <w:marBottom w:val="0"/>
      <w:divBdr>
        <w:top w:val="none" w:sz="0" w:space="0" w:color="auto"/>
        <w:left w:val="none" w:sz="0" w:space="0" w:color="auto"/>
        <w:bottom w:val="none" w:sz="0" w:space="0" w:color="auto"/>
        <w:right w:val="none" w:sz="0" w:space="0" w:color="auto"/>
      </w:divBdr>
      <w:divsChild>
        <w:div w:id="1541551637">
          <w:marLeft w:val="0"/>
          <w:marRight w:val="0"/>
          <w:marTop w:val="0"/>
          <w:marBottom w:val="0"/>
          <w:divBdr>
            <w:top w:val="none" w:sz="0" w:space="0" w:color="auto"/>
            <w:left w:val="none" w:sz="0" w:space="0" w:color="auto"/>
            <w:bottom w:val="none" w:sz="0" w:space="0" w:color="auto"/>
            <w:right w:val="none" w:sz="0" w:space="0" w:color="auto"/>
          </w:divBdr>
        </w:div>
      </w:divsChild>
    </w:div>
    <w:div w:id="1450272305">
      <w:marLeft w:val="0"/>
      <w:marRight w:val="0"/>
      <w:marTop w:val="0"/>
      <w:marBottom w:val="240"/>
      <w:divBdr>
        <w:top w:val="none" w:sz="0" w:space="0" w:color="auto"/>
        <w:left w:val="none" w:sz="0" w:space="0" w:color="auto"/>
        <w:bottom w:val="none" w:sz="0" w:space="0" w:color="auto"/>
        <w:right w:val="none" w:sz="0" w:space="0" w:color="auto"/>
      </w:divBdr>
    </w:div>
    <w:div w:id="1450278736">
      <w:marLeft w:val="0"/>
      <w:marRight w:val="0"/>
      <w:marTop w:val="180"/>
      <w:marBottom w:val="180"/>
      <w:divBdr>
        <w:top w:val="none" w:sz="0" w:space="0" w:color="auto"/>
        <w:left w:val="none" w:sz="0" w:space="0" w:color="auto"/>
        <w:bottom w:val="none" w:sz="0" w:space="0" w:color="auto"/>
        <w:right w:val="none" w:sz="0" w:space="0" w:color="auto"/>
      </w:divBdr>
    </w:div>
    <w:div w:id="1451587681">
      <w:marLeft w:val="0"/>
      <w:marRight w:val="0"/>
      <w:marTop w:val="0"/>
      <w:marBottom w:val="0"/>
      <w:divBdr>
        <w:top w:val="none" w:sz="0" w:space="0" w:color="auto"/>
        <w:left w:val="none" w:sz="0" w:space="0" w:color="auto"/>
        <w:bottom w:val="none" w:sz="0" w:space="0" w:color="auto"/>
        <w:right w:val="none" w:sz="0" w:space="0" w:color="auto"/>
      </w:divBdr>
    </w:div>
    <w:div w:id="1454132800">
      <w:marLeft w:val="0"/>
      <w:marRight w:val="0"/>
      <w:marTop w:val="0"/>
      <w:marBottom w:val="240"/>
      <w:divBdr>
        <w:top w:val="none" w:sz="0" w:space="0" w:color="auto"/>
        <w:left w:val="none" w:sz="0" w:space="0" w:color="auto"/>
        <w:bottom w:val="none" w:sz="0" w:space="0" w:color="auto"/>
        <w:right w:val="none" w:sz="0" w:space="0" w:color="auto"/>
      </w:divBdr>
    </w:div>
    <w:div w:id="1454208352">
      <w:marLeft w:val="0"/>
      <w:marRight w:val="0"/>
      <w:marTop w:val="0"/>
      <w:marBottom w:val="0"/>
      <w:divBdr>
        <w:top w:val="none" w:sz="0" w:space="0" w:color="auto"/>
        <w:left w:val="none" w:sz="0" w:space="0" w:color="auto"/>
        <w:bottom w:val="none" w:sz="0" w:space="0" w:color="auto"/>
        <w:right w:val="none" w:sz="0" w:space="0" w:color="auto"/>
      </w:divBdr>
    </w:div>
    <w:div w:id="1454446978">
      <w:marLeft w:val="0"/>
      <w:marRight w:val="0"/>
      <w:marTop w:val="0"/>
      <w:marBottom w:val="0"/>
      <w:divBdr>
        <w:top w:val="none" w:sz="0" w:space="0" w:color="auto"/>
        <w:left w:val="none" w:sz="0" w:space="0" w:color="auto"/>
        <w:bottom w:val="none" w:sz="0" w:space="0" w:color="auto"/>
        <w:right w:val="none" w:sz="0" w:space="0" w:color="auto"/>
      </w:divBdr>
    </w:div>
    <w:div w:id="1455978706">
      <w:marLeft w:val="0"/>
      <w:marRight w:val="0"/>
      <w:marTop w:val="0"/>
      <w:marBottom w:val="0"/>
      <w:divBdr>
        <w:top w:val="none" w:sz="0" w:space="0" w:color="auto"/>
        <w:left w:val="none" w:sz="0" w:space="0" w:color="auto"/>
        <w:bottom w:val="none" w:sz="0" w:space="0" w:color="auto"/>
        <w:right w:val="none" w:sz="0" w:space="0" w:color="auto"/>
      </w:divBdr>
    </w:div>
    <w:div w:id="1457213321">
      <w:marLeft w:val="0"/>
      <w:marRight w:val="0"/>
      <w:marTop w:val="0"/>
      <w:marBottom w:val="240"/>
      <w:divBdr>
        <w:top w:val="none" w:sz="0" w:space="0" w:color="auto"/>
        <w:left w:val="none" w:sz="0" w:space="0" w:color="auto"/>
        <w:bottom w:val="none" w:sz="0" w:space="0" w:color="auto"/>
        <w:right w:val="none" w:sz="0" w:space="0" w:color="auto"/>
      </w:divBdr>
    </w:div>
    <w:div w:id="1459254150">
      <w:marLeft w:val="0"/>
      <w:marRight w:val="0"/>
      <w:marTop w:val="0"/>
      <w:marBottom w:val="240"/>
      <w:divBdr>
        <w:top w:val="none" w:sz="0" w:space="0" w:color="auto"/>
        <w:left w:val="none" w:sz="0" w:space="0" w:color="auto"/>
        <w:bottom w:val="none" w:sz="0" w:space="0" w:color="auto"/>
        <w:right w:val="none" w:sz="0" w:space="0" w:color="auto"/>
      </w:divBdr>
    </w:div>
    <w:div w:id="1460682798">
      <w:marLeft w:val="0"/>
      <w:marRight w:val="0"/>
      <w:marTop w:val="0"/>
      <w:marBottom w:val="240"/>
      <w:divBdr>
        <w:top w:val="none" w:sz="0" w:space="0" w:color="auto"/>
        <w:left w:val="none" w:sz="0" w:space="0" w:color="auto"/>
        <w:bottom w:val="none" w:sz="0" w:space="0" w:color="auto"/>
        <w:right w:val="none" w:sz="0" w:space="0" w:color="auto"/>
      </w:divBdr>
    </w:div>
    <w:div w:id="1466924769">
      <w:marLeft w:val="0"/>
      <w:marRight w:val="0"/>
      <w:marTop w:val="120"/>
      <w:marBottom w:val="120"/>
      <w:divBdr>
        <w:top w:val="none" w:sz="0" w:space="0" w:color="auto"/>
        <w:left w:val="none" w:sz="0" w:space="0" w:color="auto"/>
        <w:bottom w:val="none" w:sz="0" w:space="0" w:color="auto"/>
        <w:right w:val="none" w:sz="0" w:space="0" w:color="auto"/>
      </w:divBdr>
    </w:div>
    <w:div w:id="1467091137">
      <w:marLeft w:val="0"/>
      <w:marRight w:val="0"/>
      <w:marTop w:val="0"/>
      <w:marBottom w:val="180"/>
      <w:divBdr>
        <w:top w:val="none" w:sz="0" w:space="0" w:color="auto"/>
        <w:left w:val="none" w:sz="0" w:space="0" w:color="auto"/>
        <w:bottom w:val="none" w:sz="0" w:space="0" w:color="auto"/>
        <w:right w:val="none" w:sz="0" w:space="0" w:color="auto"/>
      </w:divBdr>
    </w:div>
    <w:div w:id="1472670250">
      <w:marLeft w:val="0"/>
      <w:marRight w:val="0"/>
      <w:marTop w:val="0"/>
      <w:marBottom w:val="0"/>
      <w:divBdr>
        <w:top w:val="none" w:sz="0" w:space="0" w:color="auto"/>
        <w:left w:val="none" w:sz="0" w:space="0" w:color="auto"/>
        <w:bottom w:val="none" w:sz="0" w:space="0" w:color="auto"/>
        <w:right w:val="none" w:sz="0" w:space="0" w:color="auto"/>
      </w:divBdr>
      <w:divsChild>
        <w:div w:id="1293486526">
          <w:marLeft w:val="0"/>
          <w:marRight w:val="0"/>
          <w:marTop w:val="0"/>
          <w:marBottom w:val="0"/>
          <w:divBdr>
            <w:top w:val="none" w:sz="0" w:space="0" w:color="auto"/>
            <w:left w:val="none" w:sz="0" w:space="0" w:color="auto"/>
            <w:bottom w:val="none" w:sz="0" w:space="0" w:color="auto"/>
            <w:right w:val="none" w:sz="0" w:space="0" w:color="auto"/>
          </w:divBdr>
        </w:div>
      </w:divsChild>
    </w:div>
    <w:div w:id="1473710708">
      <w:marLeft w:val="0"/>
      <w:marRight w:val="0"/>
      <w:marTop w:val="0"/>
      <w:marBottom w:val="180"/>
      <w:divBdr>
        <w:top w:val="none" w:sz="0" w:space="0" w:color="auto"/>
        <w:left w:val="none" w:sz="0" w:space="0" w:color="auto"/>
        <w:bottom w:val="none" w:sz="0" w:space="0" w:color="auto"/>
        <w:right w:val="none" w:sz="0" w:space="0" w:color="auto"/>
      </w:divBdr>
    </w:div>
    <w:div w:id="1474254461">
      <w:marLeft w:val="0"/>
      <w:marRight w:val="0"/>
      <w:marTop w:val="0"/>
      <w:marBottom w:val="0"/>
      <w:divBdr>
        <w:top w:val="none" w:sz="0" w:space="0" w:color="auto"/>
        <w:left w:val="none" w:sz="0" w:space="0" w:color="auto"/>
        <w:bottom w:val="none" w:sz="0" w:space="0" w:color="auto"/>
        <w:right w:val="none" w:sz="0" w:space="0" w:color="auto"/>
      </w:divBdr>
    </w:div>
    <w:div w:id="1480342037">
      <w:marLeft w:val="0"/>
      <w:marRight w:val="0"/>
      <w:marTop w:val="0"/>
      <w:marBottom w:val="0"/>
      <w:divBdr>
        <w:top w:val="none" w:sz="0" w:space="0" w:color="auto"/>
        <w:left w:val="none" w:sz="0" w:space="0" w:color="auto"/>
        <w:bottom w:val="none" w:sz="0" w:space="0" w:color="auto"/>
        <w:right w:val="none" w:sz="0" w:space="0" w:color="auto"/>
      </w:divBdr>
    </w:div>
    <w:div w:id="1481531967">
      <w:marLeft w:val="0"/>
      <w:marRight w:val="0"/>
      <w:marTop w:val="120"/>
      <w:marBottom w:val="180"/>
      <w:divBdr>
        <w:top w:val="none" w:sz="0" w:space="0" w:color="auto"/>
        <w:left w:val="none" w:sz="0" w:space="0" w:color="auto"/>
        <w:bottom w:val="none" w:sz="0" w:space="0" w:color="auto"/>
        <w:right w:val="none" w:sz="0" w:space="0" w:color="auto"/>
      </w:divBdr>
    </w:div>
    <w:div w:id="1483735855">
      <w:marLeft w:val="0"/>
      <w:marRight w:val="0"/>
      <w:marTop w:val="120"/>
      <w:marBottom w:val="180"/>
      <w:divBdr>
        <w:top w:val="none" w:sz="0" w:space="0" w:color="auto"/>
        <w:left w:val="none" w:sz="0" w:space="0" w:color="auto"/>
        <w:bottom w:val="none" w:sz="0" w:space="0" w:color="auto"/>
        <w:right w:val="none" w:sz="0" w:space="0" w:color="auto"/>
      </w:divBdr>
    </w:div>
    <w:div w:id="1484468266">
      <w:marLeft w:val="0"/>
      <w:marRight w:val="0"/>
      <w:marTop w:val="0"/>
      <w:marBottom w:val="240"/>
      <w:divBdr>
        <w:top w:val="none" w:sz="0" w:space="0" w:color="auto"/>
        <w:left w:val="none" w:sz="0" w:space="0" w:color="auto"/>
        <w:bottom w:val="none" w:sz="0" w:space="0" w:color="auto"/>
        <w:right w:val="none" w:sz="0" w:space="0" w:color="auto"/>
      </w:divBdr>
    </w:div>
    <w:div w:id="1484930843">
      <w:marLeft w:val="0"/>
      <w:marRight w:val="0"/>
      <w:marTop w:val="0"/>
      <w:marBottom w:val="0"/>
      <w:divBdr>
        <w:top w:val="none" w:sz="0" w:space="0" w:color="auto"/>
        <w:left w:val="none" w:sz="0" w:space="0" w:color="auto"/>
        <w:bottom w:val="none" w:sz="0" w:space="0" w:color="auto"/>
        <w:right w:val="none" w:sz="0" w:space="0" w:color="auto"/>
      </w:divBdr>
    </w:div>
    <w:div w:id="1485703461">
      <w:marLeft w:val="0"/>
      <w:marRight w:val="0"/>
      <w:marTop w:val="0"/>
      <w:marBottom w:val="0"/>
      <w:divBdr>
        <w:top w:val="none" w:sz="0" w:space="0" w:color="auto"/>
        <w:left w:val="none" w:sz="0" w:space="0" w:color="auto"/>
        <w:bottom w:val="none" w:sz="0" w:space="0" w:color="auto"/>
        <w:right w:val="none" w:sz="0" w:space="0" w:color="auto"/>
      </w:divBdr>
      <w:divsChild>
        <w:div w:id="1899897674">
          <w:marLeft w:val="0"/>
          <w:marRight w:val="0"/>
          <w:marTop w:val="0"/>
          <w:marBottom w:val="0"/>
          <w:divBdr>
            <w:top w:val="none" w:sz="0" w:space="0" w:color="auto"/>
            <w:left w:val="none" w:sz="0" w:space="0" w:color="auto"/>
            <w:bottom w:val="none" w:sz="0" w:space="0" w:color="auto"/>
            <w:right w:val="none" w:sz="0" w:space="0" w:color="auto"/>
          </w:divBdr>
        </w:div>
      </w:divsChild>
    </w:div>
    <w:div w:id="1486774604">
      <w:marLeft w:val="0"/>
      <w:marRight w:val="0"/>
      <w:marTop w:val="120"/>
      <w:marBottom w:val="120"/>
      <w:divBdr>
        <w:top w:val="none" w:sz="0" w:space="0" w:color="auto"/>
        <w:left w:val="none" w:sz="0" w:space="0" w:color="auto"/>
        <w:bottom w:val="none" w:sz="0" w:space="0" w:color="auto"/>
        <w:right w:val="none" w:sz="0" w:space="0" w:color="auto"/>
      </w:divBdr>
    </w:div>
    <w:div w:id="1486898687">
      <w:marLeft w:val="0"/>
      <w:marRight w:val="0"/>
      <w:marTop w:val="0"/>
      <w:marBottom w:val="0"/>
      <w:divBdr>
        <w:top w:val="none" w:sz="0" w:space="0" w:color="auto"/>
        <w:left w:val="none" w:sz="0" w:space="0" w:color="auto"/>
        <w:bottom w:val="none" w:sz="0" w:space="0" w:color="auto"/>
        <w:right w:val="none" w:sz="0" w:space="0" w:color="auto"/>
      </w:divBdr>
    </w:div>
    <w:div w:id="1494107894">
      <w:marLeft w:val="0"/>
      <w:marRight w:val="0"/>
      <w:marTop w:val="0"/>
      <w:marBottom w:val="240"/>
      <w:divBdr>
        <w:top w:val="none" w:sz="0" w:space="0" w:color="auto"/>
        <w:left w:val="none" w:sz="0" w:space="0" w:color="auto"/>
        <w:bottom w:val="none" w:sz="0" w:space="0" w:color="auto"/>
        <w:right w:val="none" w:sz="0" w:space="0" w:color="auto"/>
      </w:divBdr>
    </w:div>
    <w:div w:id="1494224434">
      <w:marLeft w:val="0"/>
      <w:marRight w:val="0"/>
      <w:marTop w:val="180"/>
      <w:marBottom w:val="180"/>
      <w:divBdr>
        <w:top w:val="none" w:sz="0" w:space="0" w:color="auto"/>
        <w:left w:val="none" w:sz="0" w:space="0" w:color="auto"/>
        <w:bottom w:val="none" w:sz="0" w:space="0" w:color="auto"/>
        <w:right w:val="none" w:sz="0" w:space="0" w:color="auto"/>
      </w:divBdr>
    </w:div>
    <w:div w:id="1494375920">
      <w:marLeft w:val="0"/>
      <w:marRight w:val="0"/>
      <w:marTop w:val="0"/>
      <w:marBottom w:val="0"/>
      <w:divBdr>
        <w:top w:val="none" w:sz="0" w:space="0" w:color="auto"/>
        <w:left w:val="none" w:sz="0" w:space="0" w:color="auto"/>
        <w:bottom w:val="none" w:sz="0" w:space="0" w:color="auto"/>
        <w:right w:val="none" w:sz="0" w:space="0" w:color="auto"/>
      </w:divBdr>
      <w:divsChild>
        <w:div w:id="637226902">
          <w:marLeft w:val="0"/>
          <w:marRight w:val="0"/>
          <w:marTop w:val="0"/>
          <w:marBottom w:val="0"/>
          <w:divBdr>
            <w:top w:val="none" w:sz="0" w:space="0" w:color="auto"/>
            <w:left w:val="none" w:sz="0" w:space="0" w:color="auto"/>
            <w:bottom w:val="none" w:sz="0" w:space="0" w:color="auto"/>
            <w:right w:val="none" w:sz="0" w:space="0" w:color="auto"/>
          </w:divBdr>
        </w:div>
      </w:divsChild>
    </w:div>
    <w:div w:id="1496266764">
      <w:marLeft w:val="0"/>
      <w:marRight w:val="0"/>
      <w:marTop w:val="180"/>
      <w:marBottom w:val="180"/>
      <w:divBdr>
        <w:top w:val="none" w:sz="0" w:space="0" w:color="auto"/>
        <w:left w:val="none" w:sz="0" w:space="0" w:color="auto"/>
        <w:bottom w:val="none" w:sz="0" w:space="0" w:color="auto"/>
        <w:right w:val="none" w:sz="0" w:space="0" w:color="auto"/>
      </w:divBdr>
    </w:div>
    <w:div w:id="1497183036">
      <w:marLeft w:val="0"/>
      <w:marRight w:val="0"/>
      <w:marTop w:val="0"/>
      <w:marBottom w:val="0"/>
      <w:divBdr>
        <w:top w:val="none" w:sz="0" w:space="0" w:color="auto"/>
        <w:left w:val="none" w:sz="0" w:space="0" w:color="auto"/>
        <w:bottom w:val="none" w:sz="0" w:space="0" w:color="auto"/>
        <w:right w:val="none" w:sz="0" w:space="0" w:color="auto"/>
      </w:divBdr>
      <w:divsChild>
        <w:div w:id="1954096777">
          <w:marLeft w:val="0"/>
          <w:marRight w:val="0"/>
          <w:marTop w:val="0"/>
          <w:marBottom w:val="0"/>
          <w:divBdr>
            <w:top w:val="none" w:sz="0" w:space="0" w:color="auto"/>
            <w:left w:val="none" w:sz="0" w:space="0" w:color="auto"/>
            <w:bottom w:val="none" w:sz="0" w:space="0" w:color="auto"/>
            <w:right w:val="none" w:sz="0" w:space="0" w:color="auto"/>
          </w:divBdr>
        </w:div>
      </w:divsChild>
    </w:div>
    <w:div w:id="1499734092">
      <w:marLeft w:val="0"/>
      <w:marRight w:val="0"/>
      <w:marTop w:val="0"/>
      <w:marBottom w:val="180"/>
      <w:divBdr>
        <w:top w:val="none" w:sz="0" w:space="0" w:color="auto"/>
        <w:left w:val="none" w:sz="0" w:space="0" w:color="auto"/>
        <w:bottom w:val="none" w:sz="0" w:space="0" w:color="auto"/>
        <w:right w:val="none" w:sz="0" w:space="0" w:color="auto"/>
      </w:divBdr>
    </w:div>
    <w:div w:id="1501508707">
      <w:marLeft w:val="0"/>
      <w:marRight w:val="0"/>
      <w:marTop w:val="0"/>
      <w:marBottom w:val="240"/>
      <w:divBdr>
        <w:top w:val="none" w:sz="0" w:space="0" w:color="auto"/>
        <w:left w:val="none" w:sz="0" w:space="0" w:color="auto"/>
        <w:bottom w:val="none" w:sz="0" w:space="0" w:color="auto"/>
        <w:right w:val="none" w:sz="0" w:space="0" w:color="auto"/>
      </w:divBdr>
    </w:div>
    <w:div w:id="1502621676">
      <w:marLeft w:val="0"/>
      <w:marRight w:val="0"/>
      <w:marTop w:val="0"/>
      <w:marBottom w:val="240"/>
      <w:divBdr>
        <w:top w:val="none" w:sz="0" w:space="0" w:color="auto"/>
        <w:left w:val="none" w:sz="0" w:space="0" w:color="auto"/>
        <w:bottom w:val="none" w:sz="0" w:space="0" w:color="auto"/>
        <w:right w:val="none" w:sz="0" w:space="0" w:color="auto"/>
      </w:divBdr>
    </w:div>
    <w:div w:id="1503203406">
      <w:marLeft w:val="0"/>
      <w:marRight w:val="0"/>
      <w:marTop w:val="0"/>
      <w:marBottom w:val="0"/>
      <w:divBdr>
        <w:top w:val="none" w:sz="0" w:space="0" w:color="auto"/>
        <w:left w:val="none" w:sz="0" w:space="0" w:color="auto"/>
        <w:bottom w:val="none" w:sz="0" w:space="0" w:color="auto"/>
        <w:right w:val="none" w:sz="0" w:space="0" w:color="auto"/>
      </w:divBdr>
    </w:div>
    <w:div w:id="1503616987">
      <w:marLeft w:val="0"/>
      <w:marRight w:val="0"/>
      <w:marTop w:val="0"/>
      <w:marBottom w:val="0"/>
      <w:divBdr>
        <w:top w:val="none" w:sz="0" w:space="0" w:color="auto"/>
        <w:left w:val="none" w:sz="0" w:space="0" w:color="auto"/>
        <w:bottom w:val="none" w:sz="0" w:space="0" w:color="auto"/>
        <w:right w:val="none" w:sz="0" w:space="0" w:color="auto"/>
      </w:divBdr>
      <w:divsChild>
        <w:div w:id="1157769404">
          <w:marLeft w:val="0"/>
          <w:marRight w:val="0"/>
          <w:marTop w:val="0"/>
          <w:marBottom w:val="0"/>
          <w:divBdr>
            <w:top w:val="none" w:sz="0" w:space="0" w:color="auto"/>
            <w:left w:val="none" w:sz="0" w:space="0" w:color="auto"/>
            <w:bottom w:val="none" w:sz="0" w:space="0" w:color="auto"/>
            <w:right w:val="none" w:sz="0" w:space="0" w:color="auto"/>
          </w:divBdr>
        </w:div>
      </w:divsChild>
    </w:div>
    <w:div w:id="1506359431">
      <w:marLeft w:val="0"/>
      <w:marRight w:val="0"/>
      <w:marTop w:val="0"/>
      <w:marBottom w:val="0"/>
      <w:divBdr>
        <w:top w:val="none" w:sz="0" w:space="0" w:color="auto"/>
        <w:left w:val="none" w:sz="0" w:space="0" w:color="auto"/>
        <w:bottom w:val="none" w:sz="0" w:space="0" w:color="auto"/>
        <w:right w:val="none" w:sz="0" w:space="0" w:color="auto"/>
      </w:divBdr>
      <w:divsChild>
        <w:div w:id="277764411">
          <w:marLeft w:val="0"/>
          <w:marRight w:val="0"/>
          <w:marTop w:val="0"/>
          <w:marBottom w:val="0"/>
          <w:divBdr>
            <w:top w:val="none" w:sz="0" w:space="0" w:color="auto"/>
            <w:left w:val="none" w:sz="0" w:space="0" w:color="auto"/>
            <w:bottom w:val="none" w:sz="0" w:space="0" w:color="auto"/>
            <w:right w:val="none" w:sz="0" w:space="0" w:color="auto"/>
          </w:divBdr>
        </w:div>
      </w:divsChild>
    </w:div>
    <w:div w:id="1508326329">
      <w:marLeft w:val="0"/>
      <w:marRight w:val="0"/>
      <w:marTop w:val="0"/>
      <w:marBottom w:val="0"/>
      <w:divBdr>
        <w:top w:val="none" w:sz="0" w:space="0" w:color="auto"/>
        <w:left w:val="none" w:sz="0" w:space="0" w:color="auto"/>
        <w:bottom w:val="none" w:sz="0" w:space="0" w:color="auto"/>
        <w:right w:val="none" w:sz="0" w:space="0" w:color="auto"/>
      </w:divBdr>
    </w:div>
    <w:div w:id="1508863680">
      <w:marLeft w:val="0"/>
      <w:marRight w:val="0"/>
      <w:marTop w:val="0"/>
      <w:marBottom w:val="180"/>
      <w:divBdr>
        <w:top w:val="none" w:sz="0" w:space="0" w:color="auto"/>
        <w:left w:val="none" w:sz="0" w:space="0" w:color="auto"/>
        <w:bottom w:val="none" w:sz="0" w:space="0" w:color="auto"/>
        <w:right w:val="none" w:sz="0" w:space="0" w:color="auto"/>
      </w:divBdr>
    </w:div>
    <w:div w:id="1510561127">
      <w:marLeft w:val="0"/>
      <w:marRight w:val="0"/>
      <w:marTop w:val="0"/>
      <w:marBottom w:val="0"/>
      <w:divBdr>
        <w:top w:val="none" w:sz="0" w:space="0" w:color="auto"/>
        <w:left w:val="none" w:sz="0" w:space="0" w:color="auto"/>
        <w:bottom w:val="none" w:sz="0" w:space="0" w:color="auto"/>
        <w:right w:val="none" w:sz="0" w:space="0" w:color="auto"/>
      </w:divBdr>
      <w:divsChild>
        <w:div w:id="1543251045">
          <w:marLeft w:val="0"/>
          <w:marRight w:val="0"/>
          <w:marTop w:val="0"/>
          <w:marBottom w:val="0"/>
          <w:divBdr>
            <w:top w:val="none" w:sz="0" w:space="0" w:color="auto"/>
            <w:left w:val="none" w:sz="0" w:space="0" w:color="auto"/>
            <w:bottom w:val="none" w:sz="0" w:space="0" w:color="auto"/>
            <w:right w:val="none" w:sz="0" w:space="0" w:color="auto"/>
          </w:divBdr>
        </w:div>
      </w:divsChild>
    </w:div>
    <w:div w:id="1510873813">
      <w:marLeft w:val="0"/>
      <w:marRight w:val="0"/>
      <w:marTop w:val="120"/>
      <w:marBottom w:val="120"/>
      <w:divBdr>
        <w:top w:val="none" w:sz="0" w:space="0" w:color="auto"/>
        <w:left w:val="none" w:sz="0" w:space="0" w:color="auto"/>
        <w:bottom w:val="none" w:sz="0" w:space="0" w:color="auto"/>
        <w:right w:val="none" w:sz="0" w:space="0" w:color="auto"/>
      </w:divBdr>
    </w:div>
    <w:div w:id="1511068587">
      <w:marLeft w:val="0"/>
      <w:marRight w:val="0"/>
      <w:marTop w:val="0"/>
      <w:marBottom w:val="240"/>
      <w:divBdr>
        <w:top w:val="none" w:sz="0" w:space="0" w:color="auto"/>
        <w:left w:val="none" w:sz="0" w:space="0" w:color="auto"/>
        <w:bottom w:val="none" w:sz="0" w:space="0" w:color="auto"/>
        <w:right w:val="none" w:sz="0" w:space="0" w:color="auto"/>
      </w:divBdr>
    </w:div>
    <w:div w:id="1512068314">
      <w:marLeft w:val="0"/>
      <w:marRight w:val="0"/>
      <w:marTop w:val="120"/>
      <w:marBottom w:val="180"/>
      <w:divBdr>
        <w:top w:val="none" w:sz="0" w:space="0" w:color="auto"/>
        <w:left w:val="none" w:sz="0" w:space="0" w:color="auto"/>
        <w:bottom w:val="none" w:sz="0" w:space="0" w:color="auto"/>
        <w:right w:val="none" w:sz="0" w:space="0" w:color="auto"/>
      </w:divBdr>
    </w:div>
    <w:div w:id="1512836605">
      <w:marLeft w:val="0"/>
      <w:marRight w:val="0"/>
      <w:marTop w:val="0"/>
      <w:marBottom w:val="240"/>
      <w:divBdr>
        <w:top w:val="none" w:sz="0" w:space="0" w:color="auto"/>
        <w:left w:val="none" w:sz="0" w:space="0" w:color="auto"/>
        <w:bottom w:val="none" w:sz="0" w:space="0" w:color="auto"/>
        <w:right w:val="none" w:sz="0" w:space="0" w:color="auto"/>
      </w:divBdr>
    </w:div>
    <w:div w:id="1516386380">
      <w:marLeft w:val="0"/>
      <w:marRight w:val="0"/>
      <w:marTop w:val="0"/>
      <w:marBottom w:val="180"/>
      <w:divBdr>
        <w:top w:val="none" w:sz="0" w:space="0" w:color="auto"/>
        <w:left w:val="none" w:sz="0" w:space="0" w:color="auto"/>
        <w:bottom w:val="none" w:sz="0" w:space="0" w:color="auto"/>
        <w:right w:val="none" w:sz="0" w:space="0" w:color="auto"/>
      </w:divBdr>
    </w:div>
    <w:div w:id="1517379142">
      <w:marLeft w:val="0"/>
      <w:marRight w:val="0"/>
      <w:marTop w:val="240"/>
      <w:marBottom w:val="240"/>
      <w:divBdr>
        <w:top w:val="none" w:sz="0" w:space="0" w:color="auto"/>
        <w:left w:val="none" w:sz="0" w:space="0" w:color="auto"/>
        <w:bottom w:val="none" w:sz="0" w:space="0" w:color="auto"/>
        <w:right w:val="none" w:sz="0" w:space="0" w:color="auto"/>
      </w:divBdr>
    </w:div>
    <w:div w:id="1518811732">
      <w:marLeft w:val="0"/>
      <w:marRight w:val="0"/>
      <w:marTop w:val="0"/>
      <w:marBottom w:val="180"/>
      <w:divBdr>
        <w:top w:val="none" w:sz="0" w:space="0" w:color="auto"/>
        <w:left w:val="none" w:sz="0" w:space="0" w:color="auto"/>
        <w:bottom w:val="none" w:sz="0" w:space="0" w:color="auto"/>
        <w:right w:val="none" w:sz="0" w:space="0" w:color="auto"/>
      </w:divBdr>
    </w:div>
    <w:div w:id="1519806291">
      <w:marLeft w:val="0"/>
      <w:marRight w:val="0"/>
      <w:marTop w:val="180"/>
      <w:marBottom w:val="180"/>
      <w:divBdr>
        <w:top w:val="none" w:sz="0" w:space="0" w:color="auto"/>
        <w:left w:val="none" w:sz="0" w:space="0" w:color="auto"/>
        <w:bottom w:val="none" w:sz="0" w:space="0" w:color="auto"/>
        <w:right w:val="none" w:sz="0" w:space="0" w:color="auto"/>
      </w:divBdr>
    </w:div>
    <w:div w:id="1520778195">
      <w:marLeft w:val="0"/>
      <w:marRight w:val="0"/>
      <w:marTop w:val="0"/>
      <w:marBottom w:val="0"/>
      <w:divBdr>
        <w:top w:val="none" w:sz="0" w:space="0" w:color="auto"/>
        <w:left w:val="none" w:sz="0" w:space="0" w:color="auto"/>
        <w:bottom w:val="none" w:sz="0" w:space="0" w:color="auto"/>
        <w:right w:val="none" w:sz="0" w:space="0" w:color="auto"/>
      </w:divBdr>
    </w:div>
    <w:div w:id="1520973909">
      <w:marLeft w:val="0"/>
      <w:marRight w:val="0"/>
      <w:marTop w:val="180"/>
      <w:marBottom w:val="180"/>
      <w:divBdr>
        <w:top w:val="none" w:sz="0" w:space="0" w:color="auto"/>
        <w:left w:val="none" w:sz="0" w:space="0" w:color="auto"/>
        <w:bottom w:val="none" w:sz="0" w:space="0" w:color="auto"/>
        <w:right w:val="none" w:sz="0" w:space="0" w:color="auto"/>
      </w:divBdr>
    </w:div>
    <w:div w:id="1527862324">
      <w:marLeft w:val="0"/>
      <w:marRight w:val="0"/>
      <w:marTop w:val="120"/>
      <w:marBottom w:val="180"/>
      <w:divBdr>
        <w:top w:val="none" w:sz="0" w:space="0" w:color="auto"/>
        <w:left w:val="none" w:sz="0" w:space="0" w:color="auto"/>
        <w:bottom w:val="none" w:sz="0" w:space="0" w:color="auto"/>
        <w:right w:val="none" w:sz="0" w:space="0" w:color="auto"/>
      </w:divBdr>
    </w:div>
    <w:div w:id="1530534756">
      <w:marLeft w:val="0"/>
      <w:marRight w:val="0"/>
      <w:marTop w:val="0"/>
      <w:marBottom w:val="180"/>
      <w:divBdr>
        <w:top w:val="none" w:sz="0" w:space="0" w:color="auto"/>
        <w:left w:val="none" w:sz="0" w:space="0" w:color="auto"/>
        <w:bottom w:val="none" w:sz="0" w:space="0" w:color="auto"/>
        <w:right w:val="none" w:sz="0" w:space="0" w:color="auto"/>
      </w:divBdr>
    </w:div>
    <w:div w:id="1532113981">
      <w:marLeft w:val="0"/>
      <w:marRight w:val="0"/>
      <w:marTop w:val="0"/>
      <w:marBottom w:val="0"/>
      <w:divBdr>
        <w:top w:val="none" w:sz="0" w:space="0" w:color="auto"/>
        <w:left w:val="none" w:sz="0" w:space="0" w:color="auto"/>
        <w:bottom w:val="none" w:sz="0" w:space="0" w:color="auto"/>
        <w:right w:val="none" w:sz="0" w:space="0" w:color="auto"/>
      </w:divBdr>
      <w:divsChild>
        <w:div w:id="1022510214">
          <w:marLeft w:val="0"/>
          <w:marRight w:val="0"/>
          <w:marTop w:val="0"/>
          <w:marBottom w:val="0"/>
          <w:divBdr>
            <w:top w:val="none" w:sz="0" w:space="0" w:color="auto"/>
            <w:left w:val="none" w:sz="0" w:space="0" w:color="auto"/>
            <w:bottom w:val="none" w:sz="0" w:space="0" w:color="auto"/>
            <w:right w:val="none" w:sz="0" w:space="0" w:color="auto"/>
          </w:divBdr>
        </w:div>
      </w:divsChild>
    </w:div>
    <w:div w:id="1533877797">
      <w:marLeft w:val="0"/>
      <w:marRight w:val="0"/>
      <w:marTop w:val="0"/>
      <w:marBottom w:val="180"/>
      <w:divBdr>
        <w:top w:val="none" w:sz="0" w:space="0" w:color="auto"/>
        <w:left w:val="none" w:sz="0" w:space="0" w:color="auto"/>
        <w:bottom w:val="none" w:sz="0" w:space="0" w:color="auto"/>
        <w:right w:val="none" w:sz="0" w:space="0" w:color="auto"/>
      </w:divBdr>
    </w:div>
    <w:div w:id="1535537252">
      <w:marLeft w:val="0"/>
      <w:marRight w:val="0"/>
      <w:marTop w:val="180"/>
      <w:marBottom w:val="180"/>
      <w:divBdr>
        <w:top w:val="none" w:sz="0" w:space="0" w:color="auto"/>
        <w:left w:val="none" w:sz="0" w:space="0" w:color="auto"/>
        <w:bottom w:val="none" w:sz="0" w:space="0" w:color="auto"/>
        <w:right w:val="none" w:sz="0" w:space="0" w:color="auto"/>
      </w:divBdr>
    </w:div>
    <w:div w:id="1537427883">
      <w:marLeft w:val="0"/>
      <w:marRight w:val="0"/>
      <w:marTop w:val="0"/>
      <w:marBottom w:val="0"/>
      <w:divBdr>
        <w:top w:val="none" w:sz="0" w:space="0" w:color="auto"/>
        <w:left w:val="none" w:sz="0" w:space="0" w:color="auto"/>
        <w:bottom w:val="none" w:sz="0" w:space="0" w:color="auto"/>
        <w:right w:val="none" w:sz="0" w:space="0" w:color="auto"/>
      </w:divBdr>
    </w:div>
    <w:div w:id="1538810589">
      <w:marLeft w:val="0"/>
      <w:marRight w:val="0"/>
      <w:marTop w:val="0"/>
      <w:marBottom w:val="60"/>
      <w:divBdr>
        <w:top w:val="none" w:sz="0" w:space="0" w:color="auto"/>
        <w:left w:val="none" w:sz="0" w:space="0" w:color="auto"/>
        <w:bottom w:val="none" w:sz="0" w:space="0" w:color="auto"/>
        <w:right w:val="none" w:sz="0" w:space="0" w:color="auto"/>
      </w:divBdr>
    </w:div>
    <w:div w:id="1538930488">
      <w:marLeft w:val="0"/>
      <w:marRight w:val="0"/>
      <w:marTop w:val="240"/>
      <w:marBottom w:val="240"/>
      <w:divBdr>
        <w:top w:val="none" w:sz="0" w:space="0" w:color="auto"/>
        <w:left w:val="none" w:sz="0" w:space="0" w:color="auto"/>
        <w:bottom w:val="none" w:sz="0" w:space="0" w:color="auto"/>
        <w:right w:val="none" w:sz="0" w:space="0" w:color="auto"/>
      </w:divBdr>
    </w:div>
    <w:div w:id="1541085752">
      <w:marLeft w:val="0"/>
      <w:marRight w:val="0"/>
      <w:marTop w:val="0"/>
      <w:marBottom w:val="240"/>
      <w:divBdr>
        <w:top w:val="none" w:sz="0" w:space="0" w:color="auto"/>
        <w:left w:val="none" w:sz="0" w:space="0" w:color="auto"/>
        <w:bottom w:val="none" w:sz="0" w:space="0" w:color="auto"/>
        <w:right w:val="none" w:sz="0" w:space="0" w:color="auto"/>
      </w:divBdr>
    </w:div>
    <w:div w:id="1541629880">
      <w:marLeft w:val="0"/>
      <w:marRight w:val="0"/>
      <w:marTop w:val="0"/>
      <w:marBottom w:val="0"/>
      <w:divBdr>
        <w:top w:val="none" w:sz="0" w:space="0" w:color="auto"/>
        <w:left w:val="none" w:sz="0" w:space="0" w:color="auto"/>
        <w:bottom w:val="none" w:sz="0" w:space="0" w:color="auto"/>
        <w:right w:val="none" w:sz="0" w:space="0" w:color="auto"/>
      </w:divBdr>
    </w:div>
    <w:div w:id="1542404619">
      <w:marLeft w:val="0"/>
      <w:marRight w:val="0"/>
      <w:marTop w:val="0"/>
      <w:marBottom w:val="180"/>
      <w:divBdr>
        <w:top w:val="none" w:sz="0" w:space="0" w:color="auto"/>
        <w:left w:val="none" w:sz="0" w:space="0" w:color="auto"/>
        <w:bottom w:val="none" w:sz="0" w:space="0" w:color="auto"/>
        <w:right w:val="none" w:sz="0" w:space="0" w:color="auto"/>
      </w:divBdr>
    </w:div>
    <w:div w:id="1543134507">
      <w:marLeft w:val="0"/>
      <w:marRight w:val="0"/>
      <w:marTop w:val="120"/>
      <w:marBottom w:val="120"/>
      <w:divBdr>
        <w:top w:val="none" w:sz="0" w:space="0" w:color="auto"/>
        <w:left w:val="none" w:sz="0" w:space="0" w:color="auto"/>
        <w:bottom w:val="none" w:sz="0" w:space="0" w:color="auto"/>
        <w:right w:val="none" w:sz="0" w:space="0" w:color="auto"/>
      </w:divBdr>
    </w:div>
    <w:div w:id="1544054392">
      <w:marLeft w:val="0"/>
      <w:marRight w:val="0"/>
      <w:marTop w:val="0"/>
      <w:marBottom w:val="180"/>
      <w:divBdr>
        <w:top w:val="none" w:sz="0" w:space="0" w:color="auto"/>
        <w:left w:val="none" w:sz="0" w:space="0" w:color="auto"/>
        <w:bottom w:val="none" w:sz="0" w:space="0" w:color="auto"/>
        <w:right w:val="none" w:sz="0" w:space="0" w:color="auto"/>
      </w:divBdr>
    </w:div>
    <w:div w:id="1545097044">
      <w:marLeft w:val="0"/>
      <w:marRight w:val="0"/>
      <w:marTop w:val="0"/>
      <w:marBottom w:val="0"/>
      <w:divBdr>
        <w:top w:val="none" w:sz="0" w:space="0" w:color="auto"/>
        <w:left w:val="none" w:sz="0" w:space="0" w:color="auto"/>
        <w:bottom w:val="none" w:sz="0" w:space="0" w:color="auto"/>
        <w:right w:val="none" w:sz="0" w:space="0" w:color="auto"/>
      </w:divBdr>
    </w:div>
    <w:div w:id="1548298897">
      <w:marLeft w:val="0"/>
      <w:marRight w:val="0"/>
      <w:marTop w:val="120"/>
      <w:marBottom w:val="120"/>
      <w:divBdr>
        <w:top w:val="none" w:sz="0" w:space="0" w:color="auto"/>
        <w:left w:val="none" w:sz="0" w:space="0" w:color="auto"/>
        <w:bottom w:val="none" w:sz="0" w:space="0" w:color="auto"/>
        <w:right w:val="none" w:sz="0" w:space="0" w:color="auto"/>
      </w:divBdr>
    </w:div>
    <w:div w:id="1548908032">
      <w:marLeft w:val="0"/>
      <w:marRight w:val="0"/>
      <w:marTop w:val="120"/>
      <w:marBottom w:val="240"/>
      <w:divBdr>
        <w:top w:val="none" w:sz="0" w:space="0" w:color="auto"/>
        <w:left w:val="none" w:sz="0" w:space="0" w:color="auto"/>
        <w:bottom w:val="none" w:sz="0" w:space="0" w:color="auto"/>
        <w:right w:val="none" w:sz="0" w:space="0" w:color="auto"/>
      </w:divBdr>
    </w:div>
    <w:div w:id="1549222686">
      <w:marLeft w:val="0"/>
      <w:marRight w:val="0"/>
      <w:marTop w:val="0"/>
      <w:marBottom w:val="240"/>
      <w:divBdr>
        <w:top w:val="none" w:sz="0" w:space="0" w:color="auto"/>
        <w:left w:val="none" w:sz="0" w:space="0" w:color="auto"/>
        <w:bottom w:val="none" w:sz="0" w:space="0" w:color="auto"/>
        <w:right w:val="none" w:sz="0" w:space="0" w:color="auto"/>
      </w:divBdr>
    </w:div>
    <w:div w:id="1555194225">
      <w:marLeft w:val="0"/>
      <w:marRight w:val="0"/>
      <w:marTop w:val="180"/>
      <w:marBottom w:val="180"/>
      <w:divBdr>
        <w:top w:val="none" w:sz="0" w:space="0" w:color="auto"/>
        <w:left w:val="none" w:sz="0" w:space="0" w:color="auto"/>
        <w:bottom w:val="none" w:sz="0" w:space="0" w:color="auto"/>
        <w:right w:val="none" w:sz="0" w:space="0" w:color="auto"/>
      </w:divBdr>
    </w:div>
    <w:div w:id="1562061317">
      <w:marLeft w:val="0"/>
      <w:marRight w:val="0"/>
      <w:marTop w:val="0"/>
      <w:marBottom w:val="0"/>
      <w:divBdr>
        <w:top w:val="none" w:sz="0" w:space="0" w:color="auto"/>
        <w:left w:val="none" w:sz="0" w:space="0" w:color="auto"/>
        <w:bottom w:val="none" w:sz="0" w:space="0" w:color="auto"/>
        <w:right w:val="none" w:sz="0" w:space="0" w:color="auto"/>
      </w:divBdr>
    </w:div>
    <w:div w:id="1562329942">
      <w:marLeft w:val="0"/>
      <w:marRight w:val="0"/>
      <w:marTop w:val="0"/>
      <w:marBottom w:val="180"/>
      <w:divBdr>
        <w:top w:val="none" w:sz="0" w:space="0" w:color="auto"/>
        <w:left w:val="none" w:sz="0" w:space="0" w:color="auto"/>
        <w:bottom w:val="none" w:sz="0" w:space="0" w:color="auto"/>
        <w:right w:val="none" w:sz="0" w:space="0" w:color="auto"/>
      </w:divBdr>
    </w:div>
    <w:div w:id="1564559609">
      <w:marLeft w:val="0"/>
      <w:marRight w:val="0"/>
      <w:marTop w:val="0"/>
      <w:marBottom w:val="240"/>
      <w:divBdr>
        <w:top w:val="none" w:sz="0" w:space="0" w:color="auto"/>
        <w:left w:val="none" w:sz="0" w:space="0" w:color="auto"/>
        <w:bottom w:val="none" w:sz="0" w:space="0" w:color="auto"/>
        <w:right w:val="none" w:sz="0" w:space="0" w:color="auto"/>
      </w:divBdr>
    </w:div>
    <w:div w:id="1565287391">
      <w:marLeft w:val="0"/>
      <w:marRight w:val="0"/>
      <w:marTop w:val="0"/>
      <w:marBottom w:val="240"/>
      <w:divBdr>
        <w:top w:val="none" w:sz="0" w:space="0" w:color="auto"/>
        <w:left w:val="none" w:sz="0" w:space="0" w:color="auto"/>
        <w:bottom w:val="none" w:sz="0" w:space="0" w:color="auto"/>
        <w:right w:val="none" w:sz="0" w:space="0" w:color="auto"/>
      </w:divBdr>
    </w:div>
    <w:div w:id="1566986523">
      <w:marLeft w:val="0"/>
      <w:marRight w:val="0"/>
      <w:marTop w:val="0"/>
      <w:marBottom w:val="240"/>
      <w:divBdr>
        <w:top w:val="none" w:sz="0" w:space="0" w:color="auto"/>
        <w:left w:val="none" w:sz="0" w:space="0" w:color="auto"/>
        <w:bottom w:val="none" w:sz="0" w:space="0" w:color="auto"/>
        <w:right w:val="none" w:sz="0" w:space="0" w:color="auto"/>
      </w:divBdr>
    </w:div>
    <w:div w:id="1568804303">
      <w:marLeft w:val="0"/>
      <w:marRight w:val="0"/>
      <w:marTop w:val="0"/>
      <w:marBottom w:val="180"/>
      <w:divBdr>
        <w:top w:val="none" w:sz="0" w:space="0" w:color="auto"/>
        <w:left w:val="none" w:sz="0" w:space="0" w:color="auto"/>
        <w:bottom w:val="none" w:sz="0" w:space="0" w:color="auto"/>
        <w:right w:val="none" w:sz="0" w:space="0" w:color="auto"/>
      </w:divBdr>
    </w:div>
    <w:div w:id="1569345929">
      <w:marLeft w:val="0"/>
      <w:marRight w:val="0"/>
      <w:marTop w:val="0"/>
      <w:marBottom w:val="0"/>
      <w:divBdr>
        <w:top w:val="none" w:sz="0" w:space="0" w:color="auto"/>
        <w:left w:val="none" w:sz="0" w:space="0" w:color="auto"/>
        <w:bottom w:val="none" w:sz="0" w:space="0" w:color="auto"/>
        <w:right w:val="none" w:sz="0" w:space="0" w:color="auto"/>
      </w:divBdr>
    </w:div>
    <w:div w:id="1570071065">
      <w:marLeft w:val="0"/>
      <w:marRight w:val="0"/>
      <w:marTop w:val="0"/>
      <w:marBottom w:val="0"/>
      <w:divBdr>
        <w:top w:val="none" w:sz="0" w:space="0" w:color="auto"/>
        <w:left w:val="none" w:sz="0" w:space="0" w:color="auto"/>
        <w:bottom w:val="none" w:sz="0" w:space="0" w:color="auto"/>
        <w:right w:val="none" w:sz="0" w:space="0" w:color="auto"/>
      </w:divBdr>
      <w:divsChild>
        <w:div w:id="1581864565">
          <w:marLeft w:val="0"/>
          <w:marRight w:val="0"/>
          <w:marTop w:val="0"/>
          <w:marBottom w:val="0"/>
          <w:divBdr>
            <w:top w:val="none" w:sz="0" w:space="0" w:color="auto"/>
            <w:left w:val="none" w:sz="0" w:space="0" w:color="auto"/>
            <w:bottom w:val="none" w:sz="0" w:space="0" w:color="auto"/>
            <w:right w:val="none" w:sz="0" w:space="0" w:color="auto"/>
          </w:divBdr>
        </w:div>
      </w:divsChild>
    </w:div>
    <w:div w:id="1571114059">
      <w:marLeft w:val="0"/>
      <w:marRight w:val="0"/>
      <w:marTop w:val="180"/>
      <w:marBottom w:val="180"/>
      <w:divBdr>
        <w:top w:val="none" w:sz="0" w:space="0" w:color="auto"/>
        <w:left w:val="none" w:sz="0" w:space="0" w:color="auto"/>
        <w:bottom w:val="none" w:sz="0" w:space="0" w:color="auto"/>
        <w:right w:val="none" w:sz="0" w:space="0" w:color="auto"/>
      </w:divBdr>
    </w:div>
    <w:div w:id="1572035006">
      <w:marLeft w:val="0"/>
      <w:marRight w:val="0"/>
      <w:marTop w:val="120"/>
      <w:marBottom w:val="180"/>
      <w:divBdr>
        <w:top w:val="none" w:sz="0" w:space="0" w:color="auto"/>
        <w:left w:val="none" w:sz="0" w:space="0" w:color="auto"/>
        <w:bottom w:val="none" w:sz="0" w:space="0" w:color="auto"/>
        <w:right w:val="none" w:sz="0" w:space="0" w:color="auto"/>
      </w:divBdr>
    </w:div>
    <w:div w:id="1573158144">
      <w:marLeft w:val="0"/>
      <w:marRight w:val="0"/>
      <w:marTop w:val="0"/>
      <w:marBottom w:val="0"/>
      <w:divBdr>
        <w:top w:val="none" w:sz="0" w:space="0" w:color="auto"/>
        <w:left w:val="none" w:sz="0" w:space="0" w:color="auto"/>
        <w:bottom w:val="none" w:sz="0" w:space="0" w:color="auto"/>
        <w:right w:val="none" w:sz="0" w:space="0" w:color="auto"/>
      </w:divBdr>
      <w:divsChild>
        <w:div w:id="1626886639">
          <w:marLeft w:val="0"/>
          <w:marRight w:val="0"/>
          <w:marTop w:val="0"/>
          <w:marBottom w:val="0"/>
          <w:divBdr>
            <w:top w:val="none" w:sz="0" w:space="0" w:color="auto"/>
            <w:left w:val="none" w:sz="0" w:space="0" w:color="auto"/>
            <w:bottom w:val="none" w:sz="0" w:space="0" w:color="auto"/>
            <w:right w:val="none" w:sz="0" w:space="0" w:color="auto"/>
          </w:divBdr>
        </w:div>
      </w:divsChild>
    </w:div>
    <w:div w:id="1575240339">
      <w:marLeft w:val="0"/>
      <w:marRight w:val="0"/>
      <w:marTop w:val="0"/>
      <w:marBottom w:val="180"/>
      <w:divBdr>
        <w:top w:val="none" w:sz="0" w:space="0" w:color="auto"/>
        <w:left w:val="none" w:sz="0" w:space="0" w:color="auto"/>
        <w:bottom w:val="none" w:sz="0" w:space="0" w:color="auto"/>
        <w:right w:val="none" w:sz="0" w:space="0" w:color="auto"/>
      </w:divBdr>
    </w:div>
    <w:div w:id="1578395069">
      <w:marLeft w:val="0"/>
      <w:marRight w:val="0"/>
      <w:marTop w:val="0"/>
      <w:marBottom w:val="0"/>
      <w:divBdr>
        <w:top w:val="none" w:sz="0" w:space="0" w:color="auto"/>
        <w:left w:val="none" w:sz="0" w:space="0" w:color="auto"/>
        <w:bottom w:val="none" w:sz="0" w:space="0" w:color="auto"/>
        <w:right w:val="none" w:sz="0" w:space="0" w:color="auto"/>
      </w:divBdr>
      <w:divsChild>
        <w:div w:id="941376359">
          <w:marLeft w:val="0"/>
          <w:marRight w:val="0"/>
          <w:marTop w:val="0"/>
          <w:marBottom w:val="0"/>
          <w:divBdr>
            <w:top w:val="none" w:sz="0" w:space="0" w:color="auto"/>
            <w:left w:val="none" w:sz="0" w:space="0" w:color="auto"/>
            <w:bottom w:val="none" w:sz="0" w:space="0" w:color="auto"/>
            <w:right w:val="none" w:sz="0" w:space="0" w:color="auto"/>
          </w:divBdr>
        </w:div>
      </w:divsChild>
    </w:div>
    <w:div w:id="1578779352">
      <w:marLeft w:val="0"/>
      <w:marRight w:val="0"/>
      <w:marTop w:val="0"/>
      <w:marBottom w:val="180"/>
      <w:divBdr>
        <w:top w:val="none" w:sz="0" w:space="0" w:color="auto"/>
        <w:left w:val="none" w:sz="0" w:space="0" w:color="auto"/>
        <w:bottom w:val="none" w:sz="0" w:space="0" w:color="auto"/>
        <w:right w:val="none" w:sz="0" w:space="0" w:color="auto"/>
      </w:divBdr>
    </w:div>
    <w:div w:id="1580407076">
      <w:marLeft w:val="0"/>
      <w:marRight w:val="0"/>
      <w:marTop w:val="0"/>
      <w:marBottom w:val="240"/>
      <w:divBdr>
        <w:top w:val="none" w:sz="0" w:space="0" w:color="auto"/>
        <w:left w:val="none" w:sz="0" w:space="0" w:color="auto"/>
        <w:bottom w:val="none" w:sz="0" w:space="0" w:color="auto"/>
        <w:right w:val="none" w:sz="0" w:space="0" w:color="auto"/>
      </w:divBdr>
    </w:div>
    <w:div w:id="1583568461">
      <w:marLeft w:val="0"/>
      <w:marRight w:val="0"/>
      <w:marTop w:val="0"/>
      <w:marBottom w:val="0"/>
      <w:divBdr>
        <w:top w:val="none" w:sz="0" w:space="0" w:color="auto"/>
        <w:left w:val="none" w:sz="0" w:space="0" w:color="auto"/>
        <w:bottom w:val="none" w:sz="0" w:space="0" w:color="auto"/>
        <w:right w:val="none" w:sz="0" w:space="0" w:color="auto"/>
      </w:divBdr>
    </w:div>
    <w:div w:id="1585340492">
      <w:marLeft w:val="0"/>
      <w:marRight w:val="0"/>
      <w:marTop w:val="180"/>
      <w:marBottom w:val="180"/>
      <w:divBdr>
        <w:top w:val="none" w:sz="0" w:space="0" w:color="auto"/>
        <w:left w:val="none" w:sz="0" w:space="0" w:color="auto"/>
        <w:bottom w:val="none" w:sz="0" w:space="0" w:color="auto"/>
        <w:right w:val="none" w:sz="0" w:space="0" w:color="auto"/>
      </w:divBdr>
    </w:div>
    <w:div w:id="1592351596">
      <w:marLeft w:val="0"/>
      <w:marRight w:val="0"/>
      <w:marTop w:val="0"/>
      <w:marBottom w:val="0"/>
      <w:divBdr>
        <w:top w:val="none" w:sz="0" w:space="0" w:color="auto"/>
        <w:left w:val="none" w:sz="0" w:space="0" w:color="auto"/>
        <w:bottom w:val="none" w:sz="0" w:space="0" w:color="auto"/>
        <w:right w:val="none" w:sz="0" w:space="0" w:color="auto"/>
      </w:divBdr>
      <w:divsChild>
        <w:div w:id="2010982085">
          <w:marLeft w:val="0"/>
          <w:marRight w:val="0"/>
          <w:marTop w:val="0"/>
          <w:marBottom w:val="0"/>
          <w:divBdr>
            <w:top w:val="none" w:sz="0" w:space="0" w:color="auto"/>
            <w:left w:val="none" w:sz="0" w:space="0" w:color="auto"/>
            <w:bottom w:val="none" w:sz="0" w:space="0" w:color="auto"/>
            <w:right w:val="none" w:sz="0" w:space="0" w:color="auto"/>
          </w:divBdr>
        </w:div>
      </w:divsChild>
    </w:div>
    <w:div w:id="1594819760">
      <w:marLeft w:val="0"/>
      <w:marRight w:val="0"/>
      <w:marTop w:val="0"/>
      <w:marBottom w:val="0"/>
      <w:divBdr>
        <w:top w:val="none" w:sz="0" w:space="0" w:color="auto"/>
        <w:left w:val="none" w:sz="0" w:space="0" w:color="auto"/>
        <w:bottom w:val="none" w:sz="0" w:space="0" w:color="auto"/>
        <w:right w:val="none" w:sz="0" w:space="0" w:color="auto"/>
      </w:divBdr>
    </w:div>
    <w:div w:id="1595093039">
      <w:marLeft w:val="0"/>
      <w:marRight w:val="0"/>
      <w:marTop w:val="0"/>
      <w:marBottom w:val="0"/>
      <w:divBdr>
        <w:top w:val="none" w:sz="0" w:space="0" w:color="auto"/>
        <w:left w:val="none" w:sz="0" w:space="0" w:color="auto"/>
        <w:bottom w:val="none" w:sz="0" w:space="0" w:color="auto"/>
        <w:right w:val="none" w:sz="0" w:space="0" w:color="auto"/>
      </w:divBdr>
    </w:div>
    <w:div w:id="1595362142">
      <w:marLeft w:val="0"/>
      <w:marRight w:val="0"/>
      <w:marTop w:val="180"/>
      <w:marBottom w:val="180"/>
      <w:divBdr>
        <w:top w:val="none" w:sz="0" w:space="0" w:color="auto"/>
        <w:left w:val="none" w:sz="0" w:space="0" w:color="auto"/>
        <w:bottom w:val="none" w:sz="0" w:space="0" w:color="auto"/>
        <w:right w:val="none" w:sz="0" w:space="0" w:color="auto"/>
      </w:divBdr>
    </w:div>
    <w:div w:id="1597447011">
      <w:marLeft w:val="0"/>
      <w:marRight w:val="0"/>
      <w:marTop w:val="0"/>
      <w:marBottom w:val="240"/>
      <w:divBdr>
        <w:top w:val="none" w:sz="0" w:space="0" w:color="auto"/>
        <w:left w:val="none" w:sz="0" w:space="0" w:color="auto"/>
        <w:bottom w:val="none" w:sz="0" w:space="0" w:color="auto"/>
        <w:right w:val="none" w:sz="0" w:space="0" w:color="auto"/>
      </w:divBdr>
    </w:div>
    <w:div w:id="1598249968">
      <w:marLeft w:val="0"/>
      <w:marRight w:val="0"/>
      <w:marTop w:val="0"/>
      <w:marBottom w:val="0"/>
      <w:divBdr>
        <w:top w:val="none" w:sz="0" w:space="0" w:color="auto"/>
        <w:left w:val="none" w:sz="0" w:space="0" w:color="auto"/>
        <w:bottom w:val="none" w:sz="0" w:space="0" w:color="auto"/>
        <w:right w:val="none" w:sz="0" w:space="0" w:color="auto"/>
      </w:divBdr>
    </w:div>
    <w:div w:id="1598828791">
      <w:marLeft w:val="0"/>
      <w:marRight w:val="0"/>
      <w:marTop w:val="0"/>
      <w:marBottom w:val="0"/>
      <w:divBdr>
        <w:top w:val="none" w:sz="0" w:space="0" w:color="auto"/>
        <w:left w:val="none" w:sz="0" w:space="0" w:color="auto"/>
        <w:bottom w:val="none" w:sz="0" w:space="0" w:color="auto"/>
        <w:right w:val="none" w:sz="0" w:space="0" w:color="auto"/>
      </w:divBdr>
      <w:divsChild>
        <w:div w:id="1199581730">
          <w:marLeft w:val="0"/>
          <w:marRight w:val="0"/>
          <w:marTop w:val="0"/>
          <w:marBottom w:val="0"/>
          <w:divBdr>
            <w:top w:val="none" w:sz="0" w:space="0" w:color="auto"/>
            <w:left w:val="none" w:sz="0" w:space="0" w:color="auto"/>
            <w:bottom w:val="none" w:sz="0" w:space="0" w:color="auto"/>
            <w:right w:val="none" w:sz="0" w:space="0" w:color="auto"/>
          </w:divBdr>
        </w:div>
      </w:divsChild>
    </w:div>
    <w:div w:id="1599562776">
      <w:marLeft w:val="0"/>
      <w:marRight w:val="0"/>
      <w:marTop w:val="0"/>
      <w:marBottom w:val="0"/>
      <w:divBdr>
        <w:top w:val="none" w:sz="0" w:space="0" w:color="auto"/>
        <w:left w:val="none" w:sz="0" w:space="0" w:color="auto"/>
        <w:bottom w:val="none" w:sz="0" w:space="0" w:color="auto"/>
        <w:right w:val="none" w:sz="0" w:space="0" w:color="auto"/>
      </w:divBdr>
      <w:divsChild>
        <w:div w:id="433941204">
          <w:marLeft w:val="0"/>
          <w:marRight w:val="0"/>
          <w:marTop w:val="0"/>
          <w:marBottom w:val="0"/>
          <w:divBdr>
            <w:top w:val="none" w:sz="0" w:space="0" w:color="auto"/>
            <w:left w:val="none" w:sz="0" w:space="0" w:color="auto"/>
            <w:bottom w:val="none" w:sz="0" w:space="0" w:color="auto"/>
            <w:right w:val="none" w:sz="0" w:space="0" w:color="auto"/>
          </w:divBdr>
        </w:div>
      </w:divsChild>
    </w:div>
    <w:div w:id="1601526166">
      <w:marLeft w:val="0"/>
      <w:marRight w:val="0"/>
      <w:marTop w:val="0"/>
      <w:marBottom w:val="120"/>
      <w:divBdr>
        <w:top w:val="none" w:sz="0" w:space="0" w:color="auto"/>
        <w:left w:val="none" w:sz="0" w:space="0" w:color="auto"/>
        <w:bottom w:val="none" w:sz="0" w:space="0" w:color="auto"/>
        <w:right w:val="none" w:sz="0" w:space="0" w:color="auto"/>
      </w:divBdr>
    </w:div>
    <w:div w:id="1602568932">
      <w:marLeft w:val="0"/>
      <w:marRight w:val="0"/>
      <w:marTop w:val="0"/>
      <w:marBottom w:val="180"/>
      <w:divBdr>
        <w:top w:val="none" w:sz="0" w:space="0" w:color="auto"/>
        <w:left w:val="none" w:sz="0" w:space="0" w:color="auto"/>
        <w:bottom w:val="none" w:sz="0" w:space="0" w:color="auto"/>
        <w:right w:val="none" w:sz="0" w:space="0" w:color="auto"/>
      </w:divBdr>
    </w:div>
    <w:div w:id="1605649879">
      <w:marLeft w:val="0"/>
      <w:marRight w:val="0"/>
      <w:marTop w:val="120"/>
      <w:marBottom w:val="120"/>
      <w:divBdr>
        <w:top w:val="none" w:sz="0" w:space="0" w:color="auto"/>
        <w:left w:val="none" w:sz="0" w:space="0" w:color="auto"/>
        <w:bottom w:val="none" w:sz="0" w:space="0" w:color="auto"/>
        <w:right w:val="none" w:sz="0" w:space="0" w:color="auto"/>
      </w:divBdr>
    </w:div>
    <w:div w:id="1610703059">
      <w:marLeft w:val="0"/>
      <w:marRight w:val="0"/>
      <w:marTop w:val="0"/>
      <w:marBottom w:val="0"/>
      <w:divBdr>
        <w:top w:val="none" w:sz="0" w:space="0" w:color="auto"/>
        <w:left w:val="none" w:sz="0" w:space="0" w:color="auto"/>
        <w:bottom w:val="none" w:sz="0" w:space="0" w:color="auto"/>
        <w:right w:val="none" w:sz="0" w:space="0" w:color="auto"/>
      </w:divBdr>
    </w:div>
    <w:div w:id="1611083487">
      <w:marLeft w:val="0"/>
      <w:marRight w:val="0"/>
      <w:marTop w:val="120"/>
      <w:marBottom w:val="120"/>
      <w:divBdr>
        <w:top w:val="none" w:sz="0" w:space="0" w:color="auto"/>
        <w:left w:val="none" w:sz="0" w:space="0" w:color="auto"/>
        <w:bottom w:val="none" w:sz="0" w:space="0" w:color="auto"/>
        <w:right w:val="none" w:sz="0" w:space="0" w:color="auto"/>
      </w:divBdr>
    </w:div>
    <w:div w:id="1612853699">
      <w:marLeft w:val="0"/>
      <w:marRight w:val="0"/>
      <w:marTop w:val="0"/>
      <w:marBottom w:val="180"/>
      <w:divBdr>
        <w:top w:val="none" w:sz="0" w:space="0" w:color="auto"/>
        <w:left w:val="none" w:sz="0" w:space="0" w:color="auto"/>
        <w:bottom w:val="none" w:sz="0" w:space="0" w:color="auto"/>
        <w:right w:val="none" w:sz="0" w:space="0" w:color="auto"/>
      </w:divBdr>
    </w:div>
    <w:div w:id="1614820269">
      <w:marLeft w:val="0"/>
      <w:marRight w:val="0"/>
      <w:marTop w:val="180"/>
      <w:marBottom w:val="180"/>
      <w:divBdr>
        <w:top w:val="none" w:sz="0" w:space="0" w:color="auto"/>
        <w:left w:val="none" w:sz="0" w:space="0" w:color="auto"/>
        <w:bottom w:val="none" w:sz="0" w:space="0" w:color="auto"/>
        <w:right w:val="none" w:sz="0" w:space="0" w:color="auto"/>
      </w:divBdr>
    </w:div>
    <w:div w:id="1617366210">
      <w:marLeft w:val="0"/>
      <w:marRight w:val="0"/>
      <w:marTop w:val="0"/>
      <w:marBottom w:val="0"/>
      <w:divBdr>
        <w:top w:val="none" w:sz="0" w:space="0" w:color="auto"/>
        <w:left w:val="none" w:sz="0" w:space="0" w:color="auto"/>
        <w:bottom w:val="none" w:sz="0" w:space="0" w:color="auto"/>
        <w:right w:val="none" w:sz="0" w:space="0" w:color="auto"/>
      </w:divBdr>
    </w:div>
    <w:div w:id="1621261014">
      <w:marLeft w:val="0"/>
      <w:marRight w:val="0"/>
      <w:marTop w:val="120"/>
      <w:marBottom w:val="120"/>
      <w:divBdr>
        <w:top w:val="none" w:sz="0" w:space="0" w:color="auto"/>
        <w:left w:val="none" w:sz="0" w:space="0" w:color="auto"/>
        <w:bottom w:val="none" w:sz="0" w:space="0" w:color="auto"/>
        <w:right w:val="none" w:sz="0" w:space="0" w:color="auto"/>
      </w:divBdr>
    </w:div>
    <w:div w:id="1624456066">
      <w:marLeft w:val="0"/>
      <w:marRight w:val="0"/>
      <w:marTop w:val="0"/>
      <w:marBottom w:val="240"/>
      <w:divBdr>
        <w:top w:val="none" w:sz="0" w:space="0" w:color="auto"/>
        <w:left w:val="none" w:sz="0" w:space="0" w:color="auto"/>
        <w:bottom w:val="none" w:sz="0" w:space="0" w:color="auto"/>
        <w:right w:val="none" w:sz="0" w:space="0" w:color="auto"/>
      </w:divBdr>
    </w:div>
    <w:div w:id="1626034341">
      <w:marLeft w:val="0"/>
      <w:marRight w:val="0"/>
      <w:marTop w:val="0"/>
      <w:marBottom w:val="0"/>
      <w:divBdr>
        <w:top w:val="none" w:sz="0" w:space="0" w:color="auto"/>
        <w:left w:val="none" w:sz="0" w:space="0" w:color="auto"/>
        <w:bottom w:val="none" w:sz="0" w:space="0" w:color="auto"/>
        <w:right w:val="none" w:sz="0" w:space="0" w:color="auto"/>
      </w:divBdr>
      <w:divsChild>
        <w:div w:id="1242327333">
          <w:marLeft w:val="0"/>
          <w:marRight w:val="0"/>
          <w:marTop w:val="0"/>
          <w:marBottom w:val="0"/>
          <w:divBdr>
            <w:top w:val="none" w:sz="0" w:space="0" w:color="auto"/>
            <w:left w:val="none" w:sz="0" w:space="0" w:color="auto"/>
            <w:bottom w:val="none" w:sz="0" w:space="0" w:color="auto"/>
            <w:right w:val="none" w:sz="0" w:space="0" w:color="auto"/>
          </w:divBdr>
        </w:div>
      </w:divsChild>
    </w:div>
    <w:div w:id="1627732973">
      <w:marLeft w:val="0"/>
      <w:marRight w:val="0"/>
      <w:marTop w:val="0"/>
      <w:marBottom w:val="240"/>
      <w:divBdr>
        <w:top w:val="none" w:sz="0" w:space="0" w:color="auto"/>
        <w:left w:val="none" w:sz="0" w:space="0" w:color="auto"/>
        <w:bottom w:val="none" w:sz="0" w:space="0" w:color="auto"/>
        <w:right w:val="none" w:sz="0" w:space="0" w:color="auto"/>
      </w:divBdr>
    </w:div>
    <w:div w:id="1628507000">
      <w:marLeft w:val="0"/>
      <w:marRight w:val="0"/>
      <w:marTop w:val="0"/>
      <w:marBottom w:val="0"/>
      <w:divBdr>
        <w:top w:val="none" w:sz="0" w:space="0" w:color="auto"/>
        <w:left w:val="none" w:sz="0" w:space="0" w:color="auto"/>
        <w:bottom w:val="none" w:sz="0" w:space="0" w:color="auto"/>
        <w:right w:val="none" w:sz="0" w:space="0" w:color="auto"/>
      </w:divBdr>
    </w:div>
    <w:div w:id="1628657971">
      <w:marLeft w:val="0"/>
      <w:marRight w:val="0"/>
      <w:marTop w:val="0"/>
      <w:marBottom w:val="240"/>
      <w:divBdr>
        <w:top w:val="none" w:sz="0" w:space="0" w:color="auto"/>
        <w:left w:val="none" w:sz="0" w:space="0" w:color="auto"/>
        <w:bottom w:val="none" w:sz="0" w:space="0" w:color="auto"/>
        <w:right w:val="none" w:sz="0" w:space="0" w:color="auto"/>
      </w:divBdr>
    </w:div>
    <w:div w:id="1628782722">
      <w:marLeft w:val="0"/>
      <w:marRight w:val="0"/>
      <w:marTop w:val="0"/>
      <w:marBottom w:val="0"/>
      <w:divBdr>
        <w:top w:val="none" w:sz="0" w:space="0" w:color="auto"/>
        <w:left w:val="none" w:sz="0" w:space="0" w:color="auto"/>
        <w:bottom w:val="none" w:sz="0" w:space="0" w:color="auto"/>
        <w:right w:val="none" w:sz="0" w:space="0" w:color="auto"/>
      </w:divBdr>
      <w:divsChild>
        <w:div w:id="81025983">
          <w:marLeft w:val="0"/>
          <w:marRight w:val="0"/>
          <w:marTop w:val="0"/>
          <w:marBottom w:val="0"/>
          <w:divBdr>
            <w:top w:val="none" w:sz="0" w:space="0" w:color="auto"/>
            <w:left w:val="none" w:sz="0" w:space="0" w:color="auto"/>
            <w:bottom w:val="none" w:sz="0" w:space="0" w:color="auto"/>
            <w:right w:val="none" w:sz="0" w:space="0" w:color="auto"/>
          </w:divBdr>
        </w:div>
      </w:divsChild>
    </w:div>
    <w:div w:id="1631126994">
      <w:marLeft w:val="0"/>
      <w:marRight w:val="0"/>
      <w:marTop w:val="0"/>
      <w:marBottom w:val="180"/>
      <w:divBdr>
        <w:top w:val="none" w:sz="0" w:space="0" w:color="auto"/>
        <w:left w:val="none" w:sz="0" w:space="0" w:color="auto"/>
        <w:bottom w:val="none" w:sz="0" w:space="0" w:color="auto"/>
        <w:right w:val="none" w:sz="0" w:space="0" w:color="auto"/>
      </w:divBdr>
    </w:div>
    <w:div w:id="1632326012">
      <w:marLeft w:val="0"/>
      <w:marRight w:val="0"/>
      <w:marTop w:val="180"/>
      <w:marBottom w:val="180"/>
      <w:divBdr>
        <w:top w:val="none" w:sz="0" w:space="0" w:color="auto"/>
        <w:left w:val="none" w:sz="0" w:space="0" w:color="auto"/>
        <w:bottom w:val="none" w:sz="0" w:space="0" w:color="auto"/>
        <w:right w:val="none" w:sz="0" w:space="0" w:color="auto"/>
      </w:divBdr>
    </w:div>
    <w:div w:id="1633049261">
      <w:marLeft w:val="0"/>
      <w:marRight w:val="0"/>
      <w:marTop w:val="0"/>
      <w:marBottom w:val="0"/>
      <w:divBdr>
        <w:top w:val="none" w:sz="0" w:space="0" w:color="auto"/>
        <w:left w:val="none" w:sz="0" w:space="0" w:color="auto"/>
        <w:bottom w:val="none" w:sz="0" w:space="0" w:color="auto"/>
        <w:right w:val="none" w:sz="0" w:space="0" w:color="auto"/>
      </w:divBdr>
    </w:div>
    <w:div w:id="1633244769">
      <w:marLeft w:val="0"/>
      <w:marRight w:val="0"/>
      <w:marTop w:val="0"/>
      <w:marBottom w:val="0"/>
      <w:divBdr>
        <w:top w:val="none" w:sz="0" w:space="0" w:color="auto"/>
        <w:left w:val="none" w:sz="0" w:space="0" w:color="auto"/>
        <w:bottom w:val="none" w:sz="0" w:space="0" w:color="auto"/>
        <w:right w:val="none" w:sz="0" w:space="0" w:color="auto"/>
      </w:divBdr>
    </w:div>
    <w:div w:id="1636526338">
      <w:marLeft w:val="0"/>
      <w:marRight w:val="0"/>
      <w:marTop w:val="0"/>
      <w:marBottom w:val="0"/>
      <w:divBdr>
        <w:top w:val="none" w:sz="0" w:space="0" w:color="auto"/>
        <w:left w:val="none" w:sz="0" w:space="0" w:color="auto"/>
        <w:bottom w:val="none" w:sz="0" w:space="0" w:color="auto"/>
        <w:right w:val="none" w:sz="0" w:space="0" w:color="auto"/>
      </w:divBdr>
      <w:divsChild>
        <w:div w:id="137460116">
          <w:marLeft w:val="0"/>
          <w:marRight w:val="0"/>
          <w:marTop w:val="0"/>
          <w:marBottom w:val="0"/>
          <w:divBdr>
            <w:top w:val="none" w:sz="0" w:space="0" w:color="auto"/>
            <w:left w:val="none" w:sz="0" w:space="0" w:color="auto"/>
            <w:bottom w:val="none" w:sz="0" w:space="0" w:color="auto"/>
            <w:right w:val="none" w:sz="0" w:space="0" w:color="auto"/>
          </w:divBdr>
        </w:div>
      </w:divsChild>
    </w:div>
    <w:div w:id="1638100399">
      <w:marLeft w:val="0"/>
      <w:marRight w:val="0"/>
      <w:marTop w:val="0"/>
      <w:marBottom w:val="0"/>
      <w:divBdr>
        <w:top w:val="none" w:sz="0" w:space="0" w:color="auto"/>
        <w:left w:val="none" w:sz="0" w:space="0" w:color="auto"/>
        <w:bottom w:val="none" w:sz="0" w:space="0" w:color="auto"/>
        <w:right w:val="none" w:sz="0" w:space="0" w:color="auto"/>
      </w:divBdr>
      <w:divsChild>
        <w:div w:id="1546218009">
          <w:marLeft w:val="0"/>
          <w:marRight w:val="0"/>
          <w:marTop w:val="0"/>
          <w:marBottom w:val="0"/>
          <w:divBdr>
            <w:top w:val="none" w:sz="0" w:space="0" w:color="auto"/>
            <w:left w:val="none" w:sz="0" w:space="0" w:color="auto"/>
            <w:bottom w:val="none" w:sz="0" w:space="0" w:color="auto"/>
            <w:right w:val="none" w:sz="0" w:space="0" w:color="auto"/>
          </w:divBdr>
        </w:div>
      </w:divsChild>
    </w:div>
    <w:div w:id="1638293189">
      <w:marLeft w:val="0"/>
      <w:marRight w:val="0"/>
      <w:marTop w:val="0"/>
      <w:marBottom w:val="0"/>
      <w:divBdr>
        <w:top w:val="none" w:sz="0" w:space="0" w:color="auto"/>
        <w:left w:val="none" w:sz="0" w:space="0" w:color="auto"/>
        <w:bottom w:val="none" w:sz="0" w:space="0" w:color="auto"/>
        <w:right w:val="none" w:sz="0" w:space="0" w:color="auto"/>
      </w:divBdr>
    </w:div>
    <w:div w:id="1639336196">
      <w:marLeft w:val="0"/>
      <w:marRight w:val="0"/>
      <w:marTop w:val="0"/>
      <w:marBottom w:val="60"/>
      <w:divBdr>
        <w:top w:val="none" w:sz="0" w:space="0" w:color="auto"/>
        <w:left w:val="none" w:sz="0" w:space="0" w:color="auto"/>
        <w:bottom w:val="none" w:sz="0" w:space="0" w:color="auto"/>
        <w:right w:val="none" w:sz="0" w:space="0" w:color="auto"/>
      </w:divBdr>
    </w:div>
    <w:div w:id="1640914832">
      <w:marLeft w:val="0"/>
      <w:marRight w:val="0"/>
      <w:marTop w:val="0"/>
      <w:marBottom w:val="180"/>
      <w:divBdr>
        <w:top w:val="none" w:sz="0" w:space="0" w:color="auto"/>
        <w:left w:val="none" w:sz="0" w:space="0" w:color="auto"/>
        <w:bottom w:val="none" w:sz="0" w:space="0" w:color="auto"/>
        <w:right w:val="none" w:sz="0" w:space="0" w:color="auto"/>
      </w:divBdr>
    </w:div>
    <w:div w:id="1641032502">
      <w:marLeft w:val="0"/>
      <w:marRight w:val="0"/>
      <w:marTop w:val="0"/>
      <w:marBottom w:val="180"/>
      <w:divBdr>
        <w:top w:val="none" w:sz="0" w:space="0" w:color="auto"/>
        <w:left w:val="none" w:sz="0" w:space="0" w:color="auto"/>
        <w:bottom w:val="none" w:sz="0" w:space="0" w:color="auto"/>
        <w:right w:val="none" w:sz="0" w:space="0" w:color="auto"/>
      </w:divBdr>
    </w:div>
    <w:div w:id="1642615472">
      <w:marLeft w:val="0"/>
      <w:marRight w:val="0"/>
      <w:marTop w:val="100"/>
      <w:marBottom w:val="0"/>
      <w:divBdr>
        <w:top w:val="none" w:sz="0" w:space="0" w:color="auto"/>
        <w:left w:val="none" w:sz="0" w:space="0" w:color="auto"/>
        <w:bottom w:val="none" w:sz="0" w:space="0" w:color="auto"/>
        <w:right w:val="none" w:sz="0" w:space="0" w:color="auto"/>
      </w:divBdr>
    </w:div>
    <w:div w:id="1644770489">
      <w:marLeft w:val="0"/>
      <w:marRight w:val="0"/>
      <w:marTop w:val="0"/>
      <w:marBottom w:val="240"/>
      <w:divBdr>
        <w:top w:val="none" w:sz="0" w:space="0" w:color="auto"/>
        <w:left w:val="none" w:sz="0" w:space="0" w:color="auto"/>
        <w:bottom w:val="none" w:sz="0" w:space="0" w:color="auto"/>
        <w:right w:val="none" w:sz="0" w:space="0" w:color="auto"/>
      </w:divBdr>
    </w:div>
    <w:div w:id="1645505426">
      <w:marLeft w:val="0"/>
      <w:marRight w:val="0"/>
      <w:marTop w:val="0"/>
      <w:marBottom w:val="0"/>
      <w:divBdr>
        <w:top w:val="none" w:sz="0" w:space="0" w:color="auto"/>
        <w:left w:val="none" w:sz="0" w:space="0" w:color="auto"/>
        <w:bottom w:val="none" w:sz="0" w:space="0" w:color="auto"/>
        <w:right w:val="none" w:sz="0" w:space="0" w:color="auto"/>
      </w:divBdr>
      <w:divsChild>
        <w:div w:id="2050301576">
          <w:marLeft w:val="0"/>
          <w:marRight w:val="0"/>
          <w:marTop w:val="0"/>
          <w:marBottom w:val="0"/>
          <w:divBdr>
            <w:top w:val="none" w:sz="0" w:space="0" w:color="auto"/>
            <w:left w:val="none" w:sz="0" w:space="0" w:color="auto"/>
            <w:bottom w:val="none" w:sz="0" w:space="0" w:color="auto"/>
            <w:right w:val="none" w:sz="0" w:space="0" w:color="auto"/>
          </w:divBdr>
        </w:div>
      </w:divsChild>
    </w:div>
    <w:div w:id="1646200024">
      <w:marLeft w:val="0"/>
      <w:marRight w:val="0"/>
      <w:marTop w:val="0"/>
      <w:marBottom w:val="0"/>
      <w:divBdr>
        <w:top w:val="none" w:sz="0" w:space="0" w:color="auto"/>
        <w:left w:val="none" w:sz="0" w:space="0" w:color="auto"/>
        <w:bottom w:val="none" w:sz="0" w:space="0" w:color="auto"/>
        <w:right w:val="none" w:sz="0" w:space="0" w:color="auto"/>
      </w:divBdr>
      <w:divsChild>
        <w:div w:id="289362205">
          <w:marLeft w:val="0"/>
          <w:marRight w:val="0"/>
          <w:marTop w:val="0"/>
          <w:marBottom w:val="0"/>
          <w:divBdr>
            <w:top w:val="none" w:sz="0" w:space="0" w:color="auto"/>
            <w:left w:val="none" w:sz="0" w:space="0" w:color="auto"/>
            <w:bottom w:val="none" w:sz="0" w:space="0" w:color="auto"/>
            <w:right w:val="none" w:sz="0" w:space="0" w:color="auto"/>
          </w:divBdr>
        </w:div>
      </w:divsChild>
    </w:div>
    <w:div w:id="1646424371">
      <w:marLeft w:val="0"/>
      <w:marRight w:val="0"/>
      <w:marTop w:val="0"/>
      <w:marBottom w:val="240"/>
      <w:divBdr>
        <w:top w:val="none" w:sz="0" w:space="0" w:color="auto"/>
        <w:left w:val="none" w:sz="0" w:space="0" w:color="auto"/>
        <w:bottom w:val="none" w:sz="0" w:space="0" w:color="auto"/>
        <w:right w:val="none" w:sz="0" w:space="0" w:color="auto"/>
      </w:divBdr>
    </w:div>
    <w:div w:id="1648709203">
      <w:marLeft w:val="0"/>
      <w:marRight w:val="0"/>
      <w:marTop w:val="0"/>
      <w:marBottom w:val="0"/>
      <w:divBdr>
        <w:top w:val="none" w:sz="0" w:space="0" w:color="auto"/>
        <w:left w:val="none" w:sz="0" w:space="0" w:color="auto"/>
        <w:bottom w:val="none" w:sz="0" w:space="0" w:color="auto"/>
        <w:right w:val="none" w:sz="0" w:space="0" w:color="auto"/>
      </w:divBdr>
    </w:div>
    <w:div w:id="1649944081">
      <w:marLeft w:val="0"/>
      <w:marRight w:val="0"/>
      <w:marTop w:val="0"/>
      <w:marBottom w:val="180"/>
      <w:divBdr>
        <w:top w:val="none" w:sz="0" w:space="0" w:color="auto"/>
        <w:left w:val="none" w:sz="0" w:space="0" w:color="auto"/>
        <w:bottom w:val="none" w:sz="0" w:space="0" w:color="auto"/>
        <w:right w:val="none" w:sz="0" w:space="0" w:color="auto"/>
      </w:divBdr>
    </w:div>
    <w:div w:id="1650596898">
      <w:marLeft w:val="0"/>
      <w:marRight w:val="0"/>
      <w:marTop w:val="0"/>
      <w:marBottom w:val="180"/>
      <w:divBdr>
        <w:top w:val="none" w:sz="0" w:space="0" w:color="auto"/>
        <w:left w:val="none" w:sz="0" w:space="0" w:color="auto"/>
        <w:bottom w:val="none" w:sz="0" w:space="0" w:color="auto"/>
        <w:right w:val="none" w:sz="0" w:space="0" w:color="auto"/>
      </w:divBdr>
    </w:div>
    <w:div w:id="1651865806">
      <w:marLeft w:val="0"/>
      <w:marRight w:val="0"/>
      <w:marTop w:val="0"/>
      <w:marBottom w:val="0"/>
      <w:divBdr>
        <w:top w:val="none" w:sz="0" w:space="0" w:color="auto"/>
        <w:left w:val="none" w:sz="0" w:space="0" w:color="auto"/>
        <w:bottom w:val="none" w:sz="0" w:space="0" w:color="auto"/>
        <w:right w:val="none" w:sz="0" w:space="0" w:color="auto"/>
      </w:divBdr>
      <w:divsChild>
        <w:div w:id="1145390064">
          <w:marLeft w:val="0"/>
          <w:marRight w:val="0"/>
          <w:marTop w:val="0"/>
          <w:marBottom w:val="0"/>
          <w:divBdr>
            <w:top w:val="none" w:sz="0" w:space="0" w:color="auto"/>
            <w:left w:val="none" w:sz="0" w:space="0" w:color="auto"/>
            <w:bottom w:val="none" w:sz="0" w:space="0" w:color="auto"/>
            <w:right w:val="none" w:sz="0" w:space="0" w:color="auto"/>
          </w:divBdr>
        </w:div>
      </w:divsChild>
    </w:div>
    <w:div w:id="1651907697">
      <w:marLeft w:val="0"/>
      <w:marRight w:val="0"/>
      <w:marTop w:val="0"/>
      <w:marBottom w:val="240"/>
      <w:divBdr>
        <w:top w:val="none" w:sz="0" w:space="0" w:color="auto"/>
        <w:left w:val="none" w:sz="0" w:space="0" w:color="auto"/>
        <w:bottom w:val="none" w:sz="0" w:space="0" w:color="auto"/>
        <w:right w:val="none" w:sz="0" w:space="0" w:color="auto"/>
      </w:divBdr>
    </w:div>
    <w:div w:id="1652056353">
      <w:marLeft w:val="0"/>
      <w:marRight w:val="0"/>
      <w:marTop w:val="0"/>
      <w:marBottom w:val="0"/>
      <w:divBdr>
        <w:top w:val="none" w:sz="0" w:space="0" w:color="auto"/>
        <w:left w:val="none" w:sz="0" w:space="0" w:color="auto"/>
        <w:bottom w:val="none" w:sz="0" w:space="0" w:color="auto"/>
        <w:right w:val="none" w:sz="0" w:space="0" w:color="auto"/>
      </w:divBdr>
      <w:divsChild>
        <w:div w:id="853419637">
          <w:marLeft w:val="0"/>
          <w:marRight w:val="0"/>
          <w:marTop w:val="0"/>
          <w:marBottom w:val="0"/>
          <w:divBdr>
            <w:top w:val="none" w:sz="0" w:space="0" w:color="auto"/>
            <w:left w:val="none" w:sz="0" w:space="0" w:color="auto"/>
            <w:bottom w:val="none" w:sz="0" w:space="0" w:color="auto"/>
            <w:right w:val="none" w:sz="0" w:space="0" w:color="auto"/>
          </w:divBdr>
        </w:div>
      </w:divsChild>
    </w:div>
    <w:div w:id="1654287724">
      <w:marLeft w:val="0"/>
      <w:marRight w:val="0"/>
      <w:marTop w:val="0"/>
      <w:marBottom w:val="0"/>
      <w:divBdr>
        <w:top w:val="none" w:sz="0" w:space="0" w:color="auto"/>
        <w:left w:val="none" w:sz="0" w:space="0" w:color="auto"/>
        <w:bottom w:val="none" w:sz="0" w:space="0" w:color="auto"/>
        <w:right w:val="none" w:sz="0" w:space="0" w:color="auto"/>
      </w:divBdr>
    </w:div>
    <w:div w:id="1654484065">
      <w:marLeft w:val="0"/>
      <w:marRight w:val="0"/>
      <w:marTop w:val="180"/>
      <w:marBottom w:val="180"/>
      <w:divBdr>
        <w:top w:val="none" w:sz="0" w:space="0" w:color="auto"/>
        <w:left w:val="none" w:sz="0" w:space="0" w:color="auto"/>
        <w:bottom w:val="none" w:sz="0" w:space="0" w:color="auto"/>
        <w:right w:val="none" w:sz="0" w:space="0" w:color="auto"/>
      </w:divBdr>
    </w:div>
    <w:div w:id="1654526613">
      <w:marLeft w:val="0"/>
      <w:marRight w:val="0"/>
      <w:marTop w:val="0"/>
      <w:marBottom w:val="0"/>
      <w:divBdr>
        <w:top w:val="none" w:sz="0" w:space="0" w:color="auto"/>
        <w:left w:val="none" w:sz="0" w:space="0" w:color="auto"/>
        <w:bottom w:val="none" w:sz="0" w:space="0" w:color="auto"/>
        <w:right w:val="none" w:sz="0" w:space="0" w:color="auto"/>
      </w:divBdr>
      <w:divsChild>
        <w:div w:id="1167985587">
          <w:marLeft w:val="0"/>
          <w:marRight w:val="0"/>
          <w:marTop w:val="0"/>
          <w:marBottom w:val="0"/>
          <w:divBdr>
            <w:top w:val="none" w:sz="0" w:space="0" w:color="auto"/>
            <w:left w:val="none" w:sz="0" w:space="0" w:color="auto"/>
            <w:bottom w:val="none" w:sz="0" w:space="0" w:color="auto"/>
            <w:right w:val="none" w:sz="0" w:space="0" w:color="auto"/>
          </w:divBdr>
        </w:div>
      </w:divsChild>
    </w:div>
    <w:div w:id="1655451776">
      <w:marLeft w:val="0"/>
      <w:marRight w:val="0"/>
      <w:marTop w:val="120"/>
      <w:marBottom w:val="120"/>
      <w:divBdr>
        <w:top w:val="none" w:sz="0" w:space="0" w:color="auto"/>
        <w:left w:val="none" w:sz="0" w:space="0" w:color="auto"/>
        <w:bottom w:val="none" w:sz="0" w:space="0" w:color="auto"/>
        <w:right w:val="none" w:sz="0" w:space="0" w:color="auto"/>
      </w:divBdr>
    </w:div>
    <w:div w:id="1657804043">
      <w:marLeft w:val="0"/>
      <w:marRight w:val="0"/>
      <w:marTop w:val="0"/>
      <w:marBottom w:val="0"/>
      <w:divBdr>
        <w:top w:val="none" w:sz="0" w:space="0" w:color="auto"/>
        <w:left w:val="none" w:sz="0" w:space="0" w:color="auto"/>
        <w:bottom w:val="none" w:sz="0" w:space="0" w:color="auto"/>
        <w:right w:val="none" w:sz="0" w:space="0" w:color="auto"/>
      </w:divBdr>
      <w:divsChild>
        <w:div w:id="1821461081">
          <w:marLeft w:val="0"/>
          <w:marRight w:val="0"/>
          <w:marTop w:val="0"/>
          <w:marBottom w:val="0"/>
          <w:divBdr>
            <w:top w:val="none" w:sz="0" w:space="0" w:color="auto"/>
            <w:left w:val="none" w:sz="0" w:space="0" w:color="auto"/>
            <w:bottom w:val="none" w:sz="0" w:space="0" w:color="auto"/>
            <w:right w:val="none" w:sz="0" w:space="0" w:color="auto"/>
          </w:divBdr>
        </w:div>
      </w:divsChild>
    </w:div>
    <w:div w:id="1659534611">
      <w:marLeft w:val="0"/>
      <w:marRight w:val="0"/>
      <w:marTop w:val="120"/>
      <w:marBottom w:val="120"/>
      <w:divBdr>
        <w:top w:val="none" w:sz="0" w:space="0" w:color="auto"/>
        <w:left w:val="none" w:sz="0" w:space="0" w:color="auto"/>
        <w:bottom w:val="none" w:sz="0" w:space="0" w:color="auto"/>
        <w:right w:val="none" w:sz="0" w:space="0" w:color="auto"/>
      </w:divBdr>
    </w:div>
    <w:div w:id="1664892314">
      <w:marLeft w:val="0"/>
      <w:marRight w:val="0"/>
      <w:marTop w:val="180"/>
      <w:marBottom w:val="180"/>
      <w:divBdr>
        <w:top w:val="none" w:sz="0" w:space="0" w:color="auto"/>
        <w:left w:val="none" w:sz="0" w:space="0" w:color="auto"/>
        <w:bottom w:val="none" w:sz="0" w:space="0" w:color="auto"/>
        <w:right w:val="none" w:sz="0" w:space="0" w:color="auto"/>
      </w:divBdr>
    </w:div>
    <w:div w:id="1666587853">
      <w:marLeft w:val="0"/>
      <w:marRight w:val="0"/>
      <w:marTop w:val="100"/>
      <w:marBottom w:val="140"/>
      <w:divBdr>
        <w:top w:val="none" w:sz="0" w:space="0" w:color="auto"/>
        <w:left w:val="none" w:sz="0" w:space="0" w:color="auto"/>
        <w:bottom w:val="none" w:sz="0" w:space="0" w:color="auto"/>
        <w:right w:val="none" w:sz="0" w:space="0" w:color="auto"/>
      </w:divBdr>
    </w:div>
    <w:div w:id="1669210234">
      <w:marLeft w:val="0"/>
      <w:marRight w:val="0"/>
      <w:marTop w:val="0"/>
      <w:marBottom w:val="180"/>
      <w:divBdr>
        <w:top w:val="none" w:sz="0" w:space="0" w:color="auto"/>
        <w:left w:val="none" w:sz="0" w:space="0" w:color="auto"/>
        <w:bottom w:val="none" w:sz="0" w:space="0" w:color="auto"/>
        <w:right w:val="none" w:sz="0" w:space="0" w:color="auto"/>
      </w:divBdr>
    </w:div>
    <w:div w:id="1672871965">
      <w:marLeft w:val="0"/>
      <w:marRight w:val="0"/>
      <w:marTop w:val="0"/>
      <w:marBottom w:val="0"/>
      <w:divBdr>
        <w:top w:val="none" w:sz="0" w:space="0" w:color="auto"/>
        <w:left w:val="none" w:sz="0" w:space="0" w:color="auto"/>
        <w:bottom w:val="none" w:sz="0" w:space="0" w:color="auto"/>
        <w:right w:val="none" w:sz="0" w:space="0" w:color="auto"/>
      </w:divBdr>
      <w:divsChild>
        <w:div w:id="757291414">
          <w:marLeft w:val="0"/>
          <w:marRight w:val="0"/>
          <w:marTop w:val="0"/>
          <w:marBottom w:val="0"/>
          <w:divBdr>
            <w:top w:val="none" w:sz="0" w:space="0" w:color="auto"/>
            <w:left w:val="none" w:sz="0" w:space="0" w:color="auto"/>
            <w:bottom w:val="none" w:sz="0" w:space="0" w:color="auto"/>
            <w:right w:val="none" w:sz="0" w:space="0" w:color="auto"/>
          </w:divBdr>
        </w:div>
      </w:divsChild>
    </w:div>
    <w:div w:id="1673028776">
      <w:marLeft w:val="0"/>
      <w:marRight w:val="0"/>
      <w:marTop w:val="0"/>
      <w:marBottom w:val="0"/>
      <w:divBdr>
        <w:top w:val="none" w:sz="0" w:space="0" w:color="auto"/>
        <w:left w:val="none" w:sz="0" w:space="0" w:color="auto"/>
        <w:bottom w:val="none" w:sz="0" w:space="0" w:color="auto"/>
        <w:right w:val="none" w:sz="0" w:space="0" w:color="auto"/>
      </w:divBdr>
    </w:div>
    <w:div w:id="1673068627">
      <w:marLeft w:val="0"/>
      <w:marRight w:val="0"/>
      <w:marTop w:val="100"/>
      <w:marBottom w:val="0"/>
      <w:divBdr>
        <w:top w:val="none" w:sz="0" w:space="0" w:color="auto"/>
        <w:left w:val="none" w:sz="0" w:space="0" w:color="auto"/>
        <w:bottom w:val="none" w:sz="0" w:space="0" w:color="auto"/>
        <w:right w:val="none" w:sz="0" w:space="0" w:color="auto"/>
      </w:divBdr>
    </w:div>
    <w:div w:id="1675305624">
      <w:marLeft w:val="0"/>
      <w:marRight w:val="0"/>
      <w:marTop w:val="0"/>
      <w:marBottom w:val="0"/>
      <w:divBdr>
        <w:top w:val="none" w:sz="0" w:space="0" w:color="auto"/>
        <w:left w:val="none" w:sz="0" w:space="0" w:color="auto"/>
        <w:bottom w:val="none" w:sz="0" w:space="0" w:color="auto"/>
        <w:right w:val="none" w:sz="0" w:space="0" w:color="auto"/>
      </w:divBdr>
    </w:div>
    <w:div w:id="1675381098">
      <w:marLeft w:val="0"/>
      <w:marRight w:val="0"/>
      <w:marTop w:val="120"/>
      <w:marBottom w:val="120"/>
      <w:divBdr>
        <w:top w:val="none" w:sz="0" w:space="0" w:color="auto"/>
        <w:left w:val="none" w:sz="0" w:space="0" w:color="auto"/>
        <w:bottom w:val="none" w:sz="0" w:space="0" w:color="auto"/>
        <w:right w:val="none" w:sz="0" w:space="0" w:color="auto"/>
      </w:divBdr>
    </w:div>
    <w:div w:id="1677806330">
      <w:marLeft w:val="0"/>
      <w:marRight w:val="0"/>
      <w:marTop w:val="100"/>
      <w:marBottom w:val="0"/>
      <w:divBdr>
        <w:top w:val="none" w:sz="0" w:space="0" w:color="auto"/>
        <w:left w:val="none" w:sz="0" w:space="0" w:color="auto"/>
        <w:bottom w:val="none" w:sz="0" w:space="0" w:color="auto"/>
        <w:right w:val="none" w:sz="0" w:space="0" w:color="auto"/>
      </w:divBdr>
    </w:div>
    <w:div w:id="1678389491">
      <w:marLeft w:val="0"/>
      <w:marRight w:val="0"/>
      <w:marTop w:val="0"/>
      <w:marBottom w:val="0"/>
      <w:divBdr>
        <w:top w:val="none" w:sz="0" w:space="0" w:color="auto"/>
        <w:left w:val="none" w:sz="0" w:space="0" w:color="auto"/>
        <w:bottom w:val="none" w:sz="0" w:space="0" w:color="auto"/>
        <w:right w:val="none" w:sz="0" w:space="0" w:color="auto"/>
      </w:divBdr>
      <w:divsChild>
        <w:div w:id="1697808195">
          <w:marLeft w:val="0"/>
          <w:marRight w:val="0"/>
          <w:marTop w:val="0"/>
          <w:marBottom w:val="0"/>
          <w:divBdr>
            <w:top w:val="none" w:sz="0" w:space="0" w:color="auto"/>
            <w:left w:val="none" w:sz="0" w:space="0" w:color="auto"/>
            <w:bottom w:val="none" w:sz="0" w:space="0" w:color="auto"/>
            <w:right w:val="none" w:sz="0" w:space="0" w:color="auto"/>
          </w:divBdr>
        </w:div>
      </w:divsChild>
    </w:div>
    <w:div w:id="1678772449">
      <w:marLeft w:val="0"/>
      <w:marRight w:val="0"/>
      <w:marTop w:val="0"/>
      <w:marBottom w:val="0"/>
      <w:divBdr>
        <w:top w:val="none" w:sz="0" w:space="0" w:color="auto"/>
        <w:left w:val="none" w:sz="0" w:space="0" w:color="auto"/>
        <w:bottom w:val="none" w:sz="0" w:space="0" w:color="auto"/>
        <w:right w:val="none" w:sz="0" w:space="0" w:color="auto"/>
      </w:divBdr>
    </w:div>
    <w:div w:id="1680498646">
      <w:marLeft w:val="0"/>
      <w:marRight w:val="0"/>
      <w:marTop w:val="180"/>
      <w:marBottom w:val="180"/>
      <w:divBdr>
        <w:top w:val="none" w:sz="0" w:space="0" w:color="auto"/>
        <w:left w:val="none" w:sz="0" w:space="0" w:color="auto"/>
        <w:bottom w:val="none" w:sz="0" w:space="0" w:color="auto"/>
        <w:right w:val="none" w:sz="0" w:space="0" w:color="auto"/>
      </w:divBdr>
    </w:div>
    <w:div w:id="1681084934">
      <w:marLeft w:val="0"/>
      <w:marRight w:val="0"/>
      <w:marTop w:val="0"/>
      <w:marBottom w:val="0"/>
      <w:divBdr>
        <w:top w:val="none" w:sz="0" w:space="0" w:color="auto"/>
        <w:left w:val="none" w:sz="0" w:space="0" w:color="auto"/>
        <w:bottom w:val="none" w:sz="0" w:space="0" w:color="auto"/>
        <w:right w:val="none" w:sz="0" w:space="0" w:color="auto"/>
      </w:divBdr>
      <w:divsChild>
        <w:div w:id="1167792796">
          <w:marLeft w:val="0"/>
          <w:marRight w:val="0"/>
          <w:marTop w:val="0"/>
          <w:marBottom w:val="0"/>
          <w:divBdr>
            <w:top w:val="none" w:sz="0" w:space="0" w:color="auto"/>
            <w:left w:val="none" w:sz="0" w:space="0" w:color="auto"/>
            <w:bottom w:val="none" w:sz="0" w:space="0" w:color="auto"/>
            <w:right w:val="none" w:sz="0" w:space="0" w:color="auto"/>
          </w:divBdr>
        </w:div>
      </w:divsChild>
    </w:div>
    <w:div w:id="1682001308">
      <w:marLeft w:val="0"/>
      <w:marRight w:val="0"/>
      <w:marTop w:val="0"/>
      <w:marBottom w:val="0"/>
      <w:divBdr>
        <w:top w:val="none" w:sz="0" w:space="0" w:color="auto"/>
        <w:left w:val="none" w:sz="0" w:space="0" w:color="auto"/>
        <w:bottom w:val="none" w:sz="0" w:space="0" w:color="auto"/>
        <w:right w:val="none" w:sz="0" w:space="0" w:color="auto"/>
      </w:divBdr>
    </w:div>
    <w:div w:id="1682272667">
      <w:marLeft w:val="0"/>
      <w:marRight w:val="0"/>
      <w:marTop w:val="0"/>
      <w:marBottom w:val="180"/>
      <w:divBdr>
        <w:top w:val="none" w:sz="0" w:space="0" w:color="auto"/>
        <w:left w:val="none" w:sz="0" w:space="0" w:color="auto"/>
        <w:bottom w:val="none" w:sz="0" w:space="0" w:color="auto"/>
        <w:right w:val="none" w:sz="0" w:space="0" w:color="auto"/>
      </w:divBdr>
    </w:div>
    <w:div w:id="1682975651">
      <w:marLeft w:val="0"/>
      <w:marRight w:val="0"/>
      <w:marTop w:val="0"/>
      <w:marBottom w:val="0"/>
      <w:divBdr>
        <w:top w:val="none" w:sz="0" w:space="0" w:color="auto"/>
        <w:left w:val="none" w:sz="0" w:space="0" w:color="auto"/>
        <w:bottom w:val="none" w:sz="0" w:space="0" w:color="auto"/>
        <w:right w:val="none" w:sz="0" w:space="0" w:color="auto"/>
      </w:divBdr>
      <w:divsChild>
        <w:div w:id="2132431980">
          <w:marLeft w:val="0"/>
          <w:marRight w:val="0"/>
          <w:marTop w:val="0"/>
          <w:marBottom w:val="0"/>
          <w:divBdr>
            <w:top w:val="none" w:sz="0" w:space="0" w:color="auto"/>
            <w:left w:val="none" w:sz="0" w:space="0" w:color="auto"/>
            <w:bottom w:val="none" w:sz="0" w:space="0" w:color="auto"/>
            <w:right w:val="none" w:sz="0" w:space="0" w:color="auto"/>
          </w:divBdr>
        </w:div>
      </w:divsChild>
    </w:div>
    <w:div w:id="1684819269">
      <w:marLeft w:val="0"/>
      <w:marRight w:val="0"/>
      <w:marTop w:val="0"/>
      <w:marBottom w:val="0"/>
      <w:divBdr>
        <w:top w:val="none" w:sz="0" w:space="0" w:color="auto"/>
        <w:left w:val="none" w:sz="0" w:space="0" w:color="auto"/>
        <w:bottom w:val="none" w:sz="0" w:space="0" w:color="auto"/>
        <w:right w:val="none" w:sz="0" w:space="0" w:color="auto"/>
      </w:divBdr>
      <w:divsChild>
        <w:div w:id="194004683">
          <w:marLeft w:val="0"/>
          <w:marRight w:val="0"/>
          <w:marTop w:val="0"/>
          <w:marBottom w:val="0"/>
          <w:divBdr>
            <w:top w:val="none" w:sz="0" w:space="0" w:color="auto"/>
            <w:left w:val="none" w:sz="0" w:space="0" w:color="auto"/>
            <w:bottom w:val="none" w:sz="0" w:space="0" w:color="auto"/>
            <w:right w:val="none" w:sz="0" w:space="0" w:color="auto"/>
          </w:divBdr>
        </w:div>
      </w:divsChild>
    </w:div>
    <w:div w:id="1685014853">
      <w:marLeft w:val="0"/>
      <w:marRight w:val="0"/>
      <w:marTop w:val="100"/>
      <w:marBottom w:val="0"/>
      <w:divBdr>
        <w:top w:val="none" w:sz="0" w:space="0" w:color="auto"/>
        <w:left w:val="none" w:sz="0" w:space="0" w:color="auto"/>
        <w:bottom w:val="none" w:sz="0" w:space="0" w:color="auto"/>
        <w:right w:val="none" w:sz="0" w:space="0" w:color="auto"/>
      </w:divBdr>
    </w:div>
    <w:div w:id="1686443851">
      <w:marLeft w:val="0"/>
      <w:marRight w:val="0"/>
      <w:marTop w:val="0"/>
      <w:marBottom w:val="180"/>
      <w:divBdr>
        <w:top w:val="none" w:sz="0" w:space="0" w:color="auto"/>
        <w:left w:val="none" w:sz="0" w:space="0" w:color="auto"/>
        <w:bottom w:val="none" w:sz="0" w:space="0" w:color="auto"/>
        <w:right w:val="none" w:sz="0" w:space="0" w:color="auto"/>
      </w:divBdr>
    </w:div>
    <w:div w:id="1687902546">
      <w:marLeft w:val="0"/>
      <w:marRight w:val="0"/>
      <w:marTop w:val="0"/>
      <w:marBottom w:val="0"/>
      <w:divBdr>
        <w:top w:val="none" w:sz="0" w:space="0" w:color="auto"/>
        <w:left w:val="none" w:sz="0" w:space="0" w:color="auto"/>
        <w:bottom w:val="none" w:sz="0" w:space="0" w:color="auto"/>
        <w:right w:val="none" w:sz="0" w:space="0" w:color="auto"/>
      </w:divBdr>
      <w:divsChild>
        <w:div w:id="1436708050">
          <w:marLeft w:val="0"/>
          <w:marRight w:val="0"/>
          <w:marTop w:val="0"/>
          <w:marBottom w:val="0"/>
          <w:divBdr>
            <w:top w:val="none" w:sz="0" w:space="0" w:color="auto"/>
            <w:left w:val="none" w:sz="0" w:space="0" w:color="auto"/>
            <w:bottom w:val="none" w:sz="0" w:space="0" w:color="auto"/>
            <w:right w:val="none" w:sz="0" w:space="0" w:color="auto"/>
          </w:divBdr>
        </w:div>
      </w:divsChild>
    </w:div>
    <w:div w:id="1689409446">
      <w:marLeft w:val="0"/>
      <w:marRight w:val="0"/>
      <w:marTop w:val="0"/>
      <w:marBottom w:val="0"/>
      <w:divBdr>
        <w:top w:val="none" w:sz="0" w:space="0" w:color="auto"/>
        <w:left w:val="none" w:sz="0" w:space="0" w:color="auto"/>
        <w:bottom w:val="none" w:sz="0" w:space="0" w:color="auto"/>
        <w:right w:val="none" w:sz="0" w:space="0" w:color="auto"/>
      </w:divBdr>
    </w:div>
    <w:div w:id="1690795668">
      <w:marLeft w:val="0"/>
      <w:marRight w:val="0"/>
      <w:marTop w:val="0"/>
      <w:marBottom w:val="240"/>
      <w:divBdr>
        <w:top w:val="none" w:sz="0" w:space="0" w:color="auto"/>
        <w:left w:val="none" w:sz="0" w:space="0" w:color="auto"/>
        <w:bottom w:val="none" w:sz="0" w:space="0" w:color="auto"/>
        <w:right w:val="none" w:sz="0" w:space="0" w:color="auto"/>
      </w:divBdr>
    </w:div>
    <w:div w:id="1691445084">
      <w:marLeft w:val="0"/>
      <w:marRight w:val="0"/>
      <w:marTop w:val="0"/>
      <w:marBottom w:val="180"/>
      <w:divBdr>
        <w:top w:val="none" w:sz="0" w:space="0" w:color="auto"/>
        <w:left w:val="none" w:sz="0" w:space="0" w:color="auto"/>
        <w:bottom w:val="none" w:sz="0" w:space="0" w:color="auto"/>
        <w:right w:val="none" w:sz="0" w:space="0" w:color="auto"/>
      </w:divBdr>
    </w:div>
    <w:div w:id="1693679429">
      <w:marLeft w:val="0"/>
      <w:marRight w:val="0"/>
      <w:marTop w:val="0"/>
      <w:marBottom w:val="0"/>
      <w:divBdr>
        <w:top w:val="none" w:sz="0" w:space="0" w:color="auto"/>
        <w:left w:val="none" w:sz="0" w:space="0" w:color="auto"/>
        <w:bottom w:val="none" w:sz="0" w:space="0" w:color="auto"/>
        <w:right w:val="none" w:sz="0" w:space="0" w:color="auto"/>
      </w:divBdr>
      <w:divsChild>
        <w:div w:id="759713126">
          <w:marLeft w:val="0"/>
          <w:marRight w:val="0"/>
          <w:marTop w:val="0"/>
          <w:marBottom w:val="0"/>
          <w:divBdr>
            <w:top w:val="none" w:sz="0" w:space="0" w:color="auto"/>
            <w:left w:val="none" w:sz="0" w:space="0" w:color="auto"/>
            <w:bottom w:val="none" w:sz="0" w:space="0" w:color="auto"/>
            <w:right w:val="none" w:sz="0" w:space="0" w:color="auto"/>
          </w:divBdr>
        </w:div>
      </w:divsChild>
    </w:div>
    <w:div w:id="1696929652">
      <w:marLeft w:val="0"/>
      <w:marRight w:val="0"/>
      <w:marTop w:val="0"/>
      <w:marBottom w:val="240"/>
      <w:divBdr>
        <w:top w:val="none" w:sz="0" w:space="0" w:color="auto"/>
        <w:left w:val="none" w:sz="0" w:space="0" w:color="auto"/>
        <w:bottom w:val="none" w:sz="0" w:space="0" w:color="auto"/>
        <w:right w:val="none" w:sz="0" w:space="0" w:color="auto"/>
      </w:divBdr>
    </w:div>
    <w:div w:id="1698458877">
      <w:marLeft w:val="0"/>
      <w:marRight w:val="0"/>
      <w:marTop w:val="0"/>
      <w:marBottom w:val="0"/>
      <w:divBdr>
        <w:top w:val="none" w:sz="0" w:space="0" w:color="auto"/>
        <w:left w:val="none" w:sz="0" w:space="0" w:color="auto"/>
        <w:bottom w:val="none" w:sz="0" w:space="0" w:color="auto"/>
        <w:right w:val="none" w:sz="0" w:space="0" w:color="auto"/>
      </w:divBdr>
    </w:div>
    <w:div w:id="1698659887">
      <w:marLeft w:val="0"/>
      <w:marRight w:val="0"/>
      <w:marTop w:val="0"/>
      <w:marBottom w:val="0"/>
      <w:divBdr>
        <w:top w:val="none" w:sz="0" w:space="0" w:color="auto"/>
        <w:left w:val="none" w:sz="0" w:space="0" w:color="auto"/>
        <w:bottom w:val="none" w:sz="0" w:space="0" w:color="auto"/>
        <w:right w:val="none" w:sz="0" w:space="0" w:color="auto"/>
      </w:divBdr>
    </w:div>
    <w:div w:id="1699742977">
      <w:marLeft w:val="0"/>
      <w:marRight w:val="0"/>
      <w:marTop w:val="0"/>
      <w:marBottom w:val="0"/>
      <w:divBdr>
        <w:top w:val="none" w:sz="0" w:space="0" w:color="auto"/>
        <w:left w:val="none" w:sz="0" w:space="0" w:color="auto"/>
        <w:bottom w:val="none" w:sz="0" w:space="0" w:color="auto"/>
        <w:right w:val="none" w:sz="0" w:space="0" w:color="auto"/>
      </w:divBdr>
    </w:div>
    <w:div w:id="1702825995">
      <w:marLeft w:val="0"/>
      <w:marRight w:val="0"/>
      <w:marTop w:val="120"/>
      <w:marBottom w:val="120"/>
      <w:divBdr>
        <w:top w:val="none" w:sz="0" w:space="0" w:color="auto"/>
        <w:left w:val="none" w:sz="0" w:space="0" w:color="auto"/>
        <w:bottom w:val="none" w:sz="0" w:space="0" w:color="auto"/>
        <w:right w:val="none" w:sz="0" w:space="0" w:color="auto"/>
      </w:divBdr>
    </w:div>
    <w:div w:id="1705786916">
      <w:marLeft w:val="0"/>
      <w:marRight w:val="0"/>
      <w:marTop w:val="0"/>
      <w:marBottom w:val="240"/>
      <w:divBdr>
        <w:top w:val="none" w:sz="0" w:space="0" w:color="auto"/>
        <w:left w:val="none" w:sz="0" w:space="0" w:color="auto"/>
        <w:bottom w:val="none" w:sz="0" w:space="0" w:color="auto"/>
        <w:right w:val="none" w:sz="0" w:space="0" w:color="auto"/>
      </w:divBdr>
    </w:div>
    <w:div w:id="1706951506">
      <w:marLeft w:val="0"/>
      <w:marRight w:val="0"/>
      <w:marTop w:val="0"/>
      <w:marBottom w:val="240"/>
      <w:divBdr>
        <w:top w:val="none" w:sz="0" w:space="0" w:color="auto"/>
        <w:left w:val="none" w:sz="0" w:space="0" w:color="auto"/>
        <w:bottom w:val="none" w:sz="0" w:space="0" w:color="auto"/>
        <w:right w:val="none" w:sz="0" w:space="0" w:color="auto"/>
      </w:divBdr>
    </w:div>
    <w:div w:id="1711110183">
      <w:marLeft w:val="0"/>
      <w:marRight w:val="0"/>
      <w:marTop w:val="0"/>
      <w:marBottom w:val="180"/>
      <w:divBdr>
        <w:top w:val="none" w:sz="0" w:space="0" w:color="auto"/>
        <w:left w:val="none" w:sz="0" w:space="0" w:color="auto"/>
        <w:bottom w:val="none" w:sz="0" w:space="0" w:color="auto"/>
        <w:right w:val="none" w:sz="0" w:space="0" w:color="auto"/>
      </w:divBdr>
    </w:div>
    <w:div w:id="1712917016">
      <w:marLeft w:val="0"/>
      <w:marRight w:val="0"/>
      <w:marTop w:val="0"/>
      <w:marBottom w:val="240"/>
      <w:divBdr>
        <w:top w:val="none" w:sz="0" w:space="0" w:color="auto"/>
        <w:left w:val="none" w:sz="0" w:space="0" w:color="auto"/>
        <w:bottom w:val="none" w:sz="0" w:space="0" w:color="auto"/>
        <w:right w:val="none" w:sz="0" w:space="0" w:color="auto"/>
      </w:divBdr>
    </w:div>
    <w:div w:id="1712917974">
      <w:marLeft w:val="0"/>
      <w:marRight w:val="0"/>
      <w:marTop w:val="0"/>
      <w:marBottom w:val="0"/>
      <w:divBdr>
        <w:top w:val="none" w:sz="0" w:space="0" w:color="auto"/>
        <w:left w:val="none" w:sz="0" w:space="0" w:color="auto"/>
        <w:bottom w:val="none" w:sz="0" w:space="0" w:color="auto"/>
        <w:right w:val="none" w:sz="0" w:space="0" w:color="auto"/>
      </w:divBdr>
    </w:div>
    <w:div w:id="1713142570">
      <w:marLeft w:val="0"/>
      <w:marRight w:val="0"/>
      <w:marTop w:val="180"/>
      <w:marBottom w:val="180"/>
      <w:divBdr>
        <w:top w:val="none" w:sz="0" w:space="0" w:color="auto"/>
        <w:left w:val="none" w:sz="0" w:space="0" w:color="auto"/>
        <w:bottom w:val="none" w:sz="0" w:space="0" w:color="auto"/>
        <w:right w:val="none" w:sz="0" w:space="0" w:color="auto"/>
      </w:divBdr>
    </w:div>
    <w:div w:id="1713310165">
      <w:marLeft w:val="0"/>
      <w:marRight w:val="0"/>
      <w:marTop w:val="0"/>
      <w:marBottom w:val="0"/>
      <w:divBdr>
        <w:top w:val="none" w:sz="0" w:space="0" w:color="auto"/>
        <w:left w:val="none" w:sz="0" w:space="0" w:color="auto"/>
        <w:bottom w:val="none" w:sz="0" w:space="0" w:color="auto"/>
        <w:right w:val="none" w:sz="0" w:space="0" w:color="auto"/>
      </w:divBdr>
    </w:div>
    <w:div w:id="1715736332">
      <w:marLeft w:val="0"/>
      <w:marRight w:val="0"/>
      <w:marTop w:val="180"/>
      <w:marBottom w:val="180"/>
      <w:divBdr>
        <w:top w:val="none" w:sz="0" w:space="0" w:color="auto"/>
        <w:left w:val="none" w:sz="0" w:space="0" w:color="auto"/>
        <w:bottom w:val="none" w:sz="0" w:space="0" w:color="auto"/>
        <w:right w:val="none" w:sz="0" w:space="0" w:color="auto"/>
      </w:divBdr>
    </w:div>
    <w:div w:id="1716082177">
      <w:marLeft w:val="0"/>
      <w:marRight w:val="0"/>
      <w:marTop w:val="0"/>
      <w:marBottom w:val="240"/>
      <w:divBdr>
        <w:top w:val="none" w:sz="0" w:space="0" w:color="auto"/>
        <w:left w:val="none" w:sz="0" w:space="0" w:color="auto"/>
        <w:bottom w:val="none" w:sz="0" w:space="0" w:color="auto"/>
        <w:right w:val="none" w:sz="0" w:space="0" w:color="auto"/>
      </w:divBdr>
    </w:div>
    <w:div w:id="1716614491">
      <w:marLeft w:val="0"/>
      <w:marRight w:val="0"/>
      <w:marTop w:val="0"/>
      <w:marBottom w:val="0"/>
      <w:divBdr>
        <w:top w:val="none" w:sz="0" w:space="0" w:color="auto"/>
        <w:left w:val="none" w:sz="0" w:space="0" w:color="auto"/>
        <w:bottom w:val="none" w:sz="0" w:space="0" w:color="auto"/>
        <w:right w:val="none" w:sz="0" w:space="0" w:color="auto"/>
      </w:divBdr>
    </w:div>
    <w:div w:id="1717503713">
      <w:marLeft w:val="0"/>
      <w:marRight w:val="0"/>
      <w:marTop w:val="0"/>
      <w:marBottom w:val="0"/>
      <w:divBdr>
        <w:top w:val="none" w:sz="0" w:space="0" w:color="auto"/>
        <w:left w:val="none" w:sz="0" w:space="0" w:color="auto"/>
        <w:bottom w:val="none" w:sz="0" w:space="0" w:color="auto"/>
        <w:right w:val="none" w:sz="0" w:space="0" w:color="auto"/>
      </w:divBdr>
    </w:div>
    <w:div w:id="1717579555">
      <w:marLeft w:val="0"/>
      <w:marRight w:val="0"/>
      <w:marTop w:val="120"/>
      <w:marBottom w:val="120"/>
      <w:divBdr>
        <w:top w:val="none" w:sz="0" w:space="0" w:color="auto"/>
        <w:left w:val="none" w:sz="0" w:space="0" w:color="auto"/>
        <w:bottom w:val="none" w:sz="0" w:space="0" w:color="auto"/>
        <w:right w:val="none" w:sz="0" w:space="0" w:color="auto"/>
      </w:divBdr>
    </w:div>
    <w:div w:id="1717774776">
      <w:marLeft w:val="0"/>
      <w:marRight w:val="0"/>
      <w:marTop w:val="100"/>
      <w:marBottom w:val="0"/>
      <w:divBdr>
        <w:top w:val="none" w:sz="0" w:space="0" w:color="auto"/>
        <w:left w:val="none" w:sz="0" w:space="0" w:color="auto"/>
        <w:bottom w:val="none" w:sz="0" w:space="0" w:color="auto"/>
        <w:right w:val="none" w:sz="0" w:space="0" w:color="auto"/>
      </w:divBdr>
      <w:divsChild>
        <w:div w:id="1163006215">
          <w:marLeft w:val="0"/>
          <w:marRight w:val="0"/>
          <w:marTop w:val="0"/>
          <w:marBottom w:val="0"/>
          <w:divBdr>
            <w:top w:val="none" w:sz="0" w:space="0" w:color="auto"/>
            <w:left w:val="none" w:sz="0" w:space="0" w:color="auto"/>
            <w:bottom w:val="none" w:sz="0" w:space="0" w:color="auto"/>
            <w:right w:val="none" w:sz="0" w:space="0" w:color="auto"/>
          </w:divBdr>
        </w:div>
        <w:div w:id="952439547">
          <w:marLeft w:val="0"/>
          <w:marRight w:val="0"/>
          <w:marTop w:val="0"/>
          <w:marBottom w:val="0"/>
          <w:divBdr>
            <w:top w:val="none" w:sz="0" w:space="0" w:color="auto"/>
            <w:left w:val="none" w:sz="0" w:space="0" w:color="auto"/>
            <w:bottom w:val="none" w:sz="0" w:space="0" w:color="auto"/>
            <w:right w:val="none" w:sz="0" w:space="0" w:color="auto"/>
          </w:divBdr>
        </w:div>
        <w:div w:id="1153913222">
          <w:marLeft w:val="0"/>
          <w:marRight w:val="0"/>
          <w:marTop w:val="0"/>
          <w:marBottom w:val="0"/>
          <w:divBdr>
            <w:top w:val="none" w:sz="0" w:space="0" w:color="auto"/>
            <w:left w:val="none" w:sz="0" w:space="0" w:color="auto"/>
            <w:bottom w:val="none" w:sz="0" w:space="0" w:color="auto"/>
            <w:right w:val="none" w:sz="0" w:space="0" w:color="auto"/>
          </w:divBdr>
        </w:div>
        <w:div w:id="448086284">
          <w:marLeft w:val="0"/>
          <w:marRight w:val="0"/>
          <w:marTop w:val="0"/>
          <w:marBottom w:val="0"/>
          <w:divBdr>
            <w:top w:val="none" w:sz="0" w:space="0" w:color="auto"/>
            <w:left w:val="none" w:sz="0" w:space="0" w:color="auto"/>
            <w:bottom w:val="none" w:sz="0" w:space="0" w:color="auto"/>
            <w:right w:val="none" w:sz="0" w:space="0" w:color="auto"/>
          </w:divBdr>
        </w:div>
        <w:div w:id="1991515513">
          <w:marLeft w:val="0"/>
          <w:marRight w:val="0"/>
          <w:marTop w:val="0"/>
          <w:marBottom w:val="0"/>
          <w:divBdr>
            <w:top w:val="none" w:sz="0" w:space="0" w:color="auto"/>
            <w:left w:val="none" w:sz="0" w:space="0" w:color="auto"/>
            <w:bottom w:val="none" w:sz="0" w:space="0" w:color="auto"/>
            <w:right w:val="none" w:sz="0" w:space="0" w:color="auto"/>
          </w:divBdr>
        </w:div>
      </w:divsChild>
    </w:div>
    <w:div w:id="1718122808">
      <w:marLeft w:val="0"/>
      <w:marRight w:val="0"/>
      <w:marTop w:val="0"/>
      <w:marBottom w:val="0"/>
      <w:divBdr>
        <w:top w:val="none" w:sz="0" w:space="0" w:color="auto"/>
        <w:left w:val="none" w:sz="0" w:space="0" w:color="auto"/>
        <w:bottom w:val="none" w:sz="0" w:space="0" w:color="auto"/>
        <w:right w:val="none" w:sz="0" w:space="0" w:color="auto"/>
      </w:divBdr>
      <w:divsChild>
        <w:div w:id="1796605601">
          <w:marLeft w:val="0"/>
          <w:marRight w:val="0"/>
          <w:marTop w:val="0"/>
          <w:marBottom w:val="0"/>
          <w:divBdr>
            <w:top w:val="none" w:sz="0" w:space="0" w:color="auto"/>
            <w:left w:val="none" w:sz="0" w:space="0" w:color="auto"/>
            <w:bottom w:val="none" w:sz="0" w:space="0" w:color="auto"/>
            <w:right w:val="none" w:sz="0" w:space="0" w:color="auto"/>
          </w:divBdr>
        </w:div>
      </w:divsChild>
    </w:div>
    <w:div w:id="1718431583">
      <w:marLeft w:val="0"/>
      <w:marRight w:val="0"/>
      <w:marTop w:val="0"/>
      <w:marBottom w:val="240"/>
      <w:divBdr>
        <w:top w:val="none" w:sz="0" w:space="0" w:color="auto"/>
        <w:left w:val="none" w:sz="0" w:space="0" w:color="auto"/>
        <w:bottom w:val="none" w:sz="0" w:space="0" w:color="auto"/>
        <w:right w:val="none" w:sz="0" w:space="0" w:color="auto"/>
      </w:divBdr>
    </w:div>
    <w:div w:id="1718701854">
      <w:marLeft w:val="0"/>
      <w:marRight w:val="0"/>
      <w:marTop w:val="180"/>
      <w:marBottom w:val="180"/>
      <w:divBdr>
        <w:top w:val="none" w:sz="0" w:space="0" w:color="auto"/>
        <w:left w:val="none" w:sz="0" w:space="0" w:color="auto"/>
        <w:bottom w:val="none" w:sz="0" w:space="0" w:color="auto"/>
        <w:right w:val="none" w:sz="0" w:space="0" w:color="auto"/>
      </w:divBdr>
    </w:div>
    <w:div w:id="1719935230">
      <w:marLeft w:val="0"/>
      <w:marRight w:val="0"/>
      <w:marTop w:val="0"/>
      <w:marBottom w:val="180"/>
      <w:divBdr>
        <w:top w:val="none" w:sz="0" w:space="0" w:color="auto"/>
        <w:left w:val="none" w:sz="0" w:space="0" w:color="auto"/>
        <w:bottom w:val="none" w:sz="0" w:space="0" w:color="auto"/>
        <w:right w:val="none" w:sz="0" w:space="0" w:color="auto"/>
      </w:divBdr>
    </w:div>
    <w:div w:id="1722055633">
      <w:marLeft w:val="0"/>
      <w:marRight w:val="0"/>
      <w:marTop w:val="180"/>
      <w:marBottom w:val="180"/>
      <w:divBdr>
        <w:top w:val="none" w:sz="0" w:space="0" w:color="auto"/>
        <w:left w:val="none" w:sz="0" w:space="0" w:color="auto"/>
        <w:bottom w:val="none" w:sz="0" w:space="0" w:color="auto"/>
        <w:right w:val="none" w:sz="0" w:space="0" w:color="auto"/>
      </w:divBdr>
    </w:div>
    <w:div w:id="1722095658">
      <w:marLeft w:val="0"/>
      <w:marRight w:val="0"/>
      <w:marTop w:val="120"/>
      <w:marBottom w:val="120"/>
      <w:divBdr>
        <w:top w:val="none" w:sz="0" w:space="0" w:color="auto"/>
        <w:left w:val="none" w:sz="0" w:space="0" w:color="auto"/>
        <w:bottom w:val="none" w:sz="0" w:space="0" w:color="auto"/>
        <w:right w:val="none" w:sz="0" w:space="0" w:color="auto"/>
      </w:divBdr>
    </w:div>
    <w:div w:id="1722551975">
      <w:marLeft w:val="0"/>
      <w:marRight w:val="0"/>
      <w:marTop w:val="180"/>
      <w:marBottom w:val="180"/>
      <w:divBdr>
        <w:top w:val="none" w:sz="0" w:space="0" w:color="auto"/>
        <w:left w:val="none" w:sz="0" w:space="0" w:color="auto"/>
        <w:bottom w:val="none" w:sz="0" w:space="0" w:color="auto"/>
        <w:right w:val="none" w:sz="0" w:space="0" w:color="auto"/>
      </w:divBdr>
    </w:div>
    <w:div w:id="1722707310">
      <w:marLeft w:val="0"/>
      <w:marRight w:val="0"/>
      <w:marTop w:val="180"/>
      <w:marBottom w:val="180"/>
      <w:divBdr>
        <w:top w:val="none" w:sz="0" w:space="0" w:color="auto"/>
        <w:left w:val="none" w:sz="0" w:space="0" w:color="auto"/>
        <w:bottom w:val="none" w:sz="0" w:space="0" w:color="auto"/>
        <w:right w:val="none" w:sz="0" w:space="0" w:color="auto"/>
      </w:divBdr>
    </w:div>
    <w:div w:id="1724672130">
      <w:marLeft w:val="0"/>
      <w:marRight w:val="0"/>
      <w:marTop w:val="0"/>
      <w:marBottom w:val="180"/>
      <w:divBdr>
        <w:top w:val="none" w:sz="0" w:space="0" w:color="auto"/>
        <w:left w:val="none" w:sz="0" w:space="0" w:color="auto"/>
        <w:bottom w:val="none" w:sz="0" w:space="0" w:color="auto"/>
        <w:right w:val="none" w:sz="0" w:space="0" w:color="auto"/>
      </w:divBdr>
    </w:div>
    <w:div w:id="1729038885">
      <w:marLeft w:val="0"/>
      <w:marRight w:val="0"/>
      <w:marTop w:val="0"/>
      <w:marBottom w:val="240"/>
      <w:divBdr>
        <w:top w:val="none" w:sz="0" w:space="0" w:color="auto"/>
        <w:left w:val="none" w:sz="0" w:space="0" w:color="auto"/>
        <w:bottom w:val="none" w:sz="0" w:space="0" w:color="auto"/>
        <w:right w:val="none" w:sz="0" w:space="0" w:color="auto"/>
      </w:divBdr>
    </w:div>
    <w:div w:id="1731731845">
      <w:marLeft w:val="0"/>
      <w:marRight w:val="0"/>
      <w:marTop w:val="0"/>
      <w:marBottom w:val="180"/>
      <w:divBdr>
        <w:top w:val="none" w:sz="0" w:space="0" w:color="auto"/>
        <w:left w:val="none" w:sz="0" w:space="0" w:color="auto"/>
        <w:bottom w:val="none" w:sz="0" w:space="0" w:color="auto"/>
        <w:right w:val="none" w:sz="0" w:space="0" w:color="auto"/>
      </w:divBdr>
    </w:div>
    <w:div w:id="1732387713">
      <w:marLeft w:val="0"/>
      <w:marRight w:val="0"/>
      <w:marTop w:val="100"/>
      <w:marBottom w:val="140"/>
      <w:divBdr>
        <w:top w:val="none" w:sz="0" w:space="0" w:color="auto"/>
        <w:left w:val="none" w:sz="0" w:space="0" w:color="auto"/>
        <w:bottom w:val="none" w:sz="0" w:space="0" w:color="auto"/>
        <w:right w:val="none" w:sz="0" w:space="0" w:color="auto"/>
      </w:divBdr>
    </w:div>
    <w:div w:id="1732845926">
      <w:marLeft w:val="0"/>
      <w:marRight w:val="0"/>
      <w:marTop w:val="0"/>
      <w:marBottom w:val="0"/>
      <w:divBdr>
        <w:top w:val="none" w:sz="0" w:space="0" w:color="auto"/>
        <w:left w:val="none" w:sz="0" w:space="0" w:color="auto"/>
        <w:bottom w:val="none" w:sz="0" w:space="0" w:color="auto"/>
        <w:right w:val="none" w:sz="0" w:space="0" w:color="auto"/>
      </w:divBdr>
    </w:div>
    <w:div w:id="1733504048">
      <w:marLeft w:val="0"/>
      <w:marRight w:val="0"/>
      <w:marTop w:val="0"/>
      <w:marBottom w:val="0"/>
      <w:divBdr>
        <w:top w:val="none" w:sz="0" w:space="0" w:color="auto"/>
        <w:left w:val="none" w:sz="0" w:space="0" w:color="auto"/>
        <w:bottom w:val="none" w:sz="0" w:space="0" w:color="auto"/>
        <w:right w:val="none" w:sz="0" w:space="0" w:color="auto"/>
      </w:divBdr>
      <w:divsChild>
        <w:div w:id="234974625">
          <w:marLeft w:val="0"/>
          <w:marRight w:val="0"/>
          <w:marTop w:val="0"/>
          <w:marBottom w:val="0"/>
          <w:divBdr>
            <w:top w:val="none" w:sz="0" w:space="0" w:color="auto"/>
            <w:left w:val="none" w:sz="0" w:space="0" w:color="auto"/>
            <w:bottom w:val="none" w:sz="0" w:space="0" w:color="auto"/>
            <w:right w:val="none" w:sz="0" w:space="0" w:color="auto"/>
          </w:divBdr>
        </w:div>
      </w:divsChild>
    </w:div>
    <w:div w:id="1734811589">
      <w:marLeft w:val="0"/>
      <w:marRight w:val="0"/>
      <w:marTop w:val="0"/>
      <w:marBottom w:val="180"/>
      <w:divBdr>
        <w:top w:val="none" w:sz="0" w:space="0" w:color="auto"/>
        <w:left w:val="none" w:sz="0" w:space="0" w:color="auto"/>
        <w:bottom w:val="none" w:sz="0" w:space="0" w:color="auto"/>
        <w:right w:val="none" w:sz="0" w:space="0" w:color="auto"/>
      </w:divBdr>
    </w:div>
    <w:div w:id="1737163234">
      <w:marLeft w:val="0"/>
      <w:marRight w:val="0"/>
      <w:marTop w:val="0"/>
      <w:marBottom w:val="180"/>
      <w:divBdr>
        <w:top w:val="none" w:sz="0" w:space="0" w:color="auto"/>
        <w:left w:val="none" w:sz="0" w:space="0" w:color="auto"/>
        <w:bottom w:val="none" w:sz="0" w:space="0" w:color="auto"/>
        <w:right w:val="none" w:sz="0" w:space="0" w:color="auto"/>
      </w:divBdr>
    </w:div>
    <w:div w:id="1737970952">
      <w:marLeft w:val="0"/>
      <w:marRight w:val="0"/>
      <w:marTop w:val="120"/>
      <w:marBottom w:val="120"/>
      <w:divBdr>
        <w:top w:val="none" w:sz="0" w:space="0" w:color="auto"/>
        <w:left w:val="none" w:sz="0" w:space="0" w:color="auto"/>
        <w:bottom w:val="none" w:sz="0" w:space="0" w:color="auto"/>
        <w:right w:val="none" w:sz="0" w:space="0" w:color="auto"/>
      </w:divBdr>
    </w:div>
    <w:div w:id="1740446020">
      <w:marLeft w:val="0"/>
      <w:marRight w:val="0"/>
      <w:marTop w:val="180"/>
      <w:marBottom w:val="180"/>
      <w:divBdr>
        <w:top w:val="none" w:sz="0" w:space="0" w:color="auto"/>
        <w:left w:val="none" w:sz="0" w:space="0" w:color="auto"/>
        <w:bottom w:val="none" w:sz="0" w:space="0" w:color="auto"/>
        <w:right w:val="none" w:sz="0" w:space="0" w:color="auto"/>
      </w:divBdr>
    </w:div>
    <w:div w:id="1742485487">
      <w:marLeft w:val="0"/>
      <w:marRight w:val="0"/>
      <w:marTop w:val="100"/>
      <w:marBottom w:val="0"/>
      <w:divBdr>
        <w:top w:val="none" w:sz="0" w:space="0" w:color="auto"/>
        <w:left w:val="none" w:sz="0" w:space="0" w:color="auto"/>
        <w:bottom w:val="none" w:sz="0" w:space="0" w:color="auto"/>
        <w:right w:val="none" w:sz="0" w:space="0" w:color="auto"/>
      </w:divBdr>
      <w:divsChild>
        <w:div w:id="577592768">
          <w:marLeft w:val="0"/>
          <w:marRight w:val="0"/>
          <w:marTop w:val="40"/>
          <w:marBottom w:val="40"/>
          <w:divBdr>
            <w:top w:val="none" w:sz="0" w:space="0" w:color="auto"/>
            <w:left w:val="none" w:sz="0" w:space="0" w:color="auto"/>
            <w:bottom w:val="none" w:sz="0" w:space="0" w:color="auto"/>
            <w:right w:val="none" w:sz="0" w:space="0" w:color="auto"/>
          </w:divBdr>
        </w:div>
        <w:div w:id="985160722">
          <w:marLeft w:val="0"/>
          <w:marRight w:val="0"/>
          <w:marTop w:val="40"/>
          <w:marBottom w:val="40"/>
          <w:divBdr>
            <w:top w:val="none" w:sz="0" w:space="0" w:color="auto"/>
            <w:left w:val="none" w:sz="0" w:space="0" w:color="auto"/>
            <w:bottom w:val="none" w:sz="0" w:space="0" w:color="auto"/>
            <w:right w:val="none" w:sz="0" w:space="0" w:color="auto"/>
          </w:divBdr>
        </w:div>
        <w:div w:id="1406613164">
          <w:marLeft w:val="0"/>
          <w:marRight w:val="0"/>
          <w:marTop w:val="40"/>
          <w:marBottom w:val="40"/>
          <w:divBdr>
            <w:top w:val="none" w:sz="0" w:space="0" w:color="auto"/>
            <w:left w:val="none" w:sz="0" w:space="0" w:color="auto"/>
            <w:bottom w:val="none" w:sz="0" w:space="0" w:color="auto"/>
            <w:right w:val="none" w:sz="0" w:space="0" w:color="auto"/>
          </w:divBdr>
        </w:div>
        <w:div w:id="1867214190">
          <w:marLeft w:val="0"/>
          <w:marRight w:val="0"/>
          <w:marTop w:val="40"/>
          <w:marBottom w:val="40"/>
          <w:divBdr>
            <w:top w:val="none" w:sz="0" w:space="0" w:color="auto"/>
            <w:left w:val="none" w:sz="0" w:space="0" w:color="auto"/>
            <w:bottom w:val="none" w:sz="0" w:space="0" w:color="auto"/>
            <w:right w:val="none" w:sz="0" w:space="0" w:color="auto"/>
          </w:divBdr>
        </w:div>
        <w:div w:id="1095709825">
          <w:marLeft w:val="0"/>
          <w:marRight w:val="0"/>
          <w:marTop w:val="40"/>
          <w:marBottom w:val="40"/>
          <w:divBdr>
            <w:top w:val="none" w:sz="0" w:space="0" w:color="auto"/>
            <w:left w:val="none" w:sz="0" w:space="0" w:color="auto"/>
            <w:bottom w:val="none" w:sz="0" w:space="0" w:color="auto"/>
            <w:right w:val="none" w:sz="0" w:space="0" w:color="auto"/>
          </w:divBdr>
        </w:div>
        <w:div w:id="1380323380">
          <w:marLeft w:val="0"/>
          <w:marRight w:val="0"/>
          <w:marTop w:val="40"/>
          <w:marBottom w:val="40"/>
          <w:divBdr>
            <w:top w:val="none" w:sz="0" w:space="0" w:color="auto"/>
            <w:left w:val="none" w:sz="0" w:space="0" w:color="auto"/>
            <w:bottom w:val="none" w:sz="0" w:space="0" w:color="auto"/>
            <w:right w:val="none" w:sz="0" w:space="0" w:color="auto"/>
          </w:divBdr>
        </w:div>
      </w:divsChild>
    </w:div>
    <w:div w:id="1743286187">
      <w:marLeft w:val="0"/>
      <w:marRight w:val="0"/>
      <w:marTop w:val="0"/>
      <w:marBottom w:val="0"/>
      <w:divBdr>
        <w:top w:val="none" w:sz="0" w:space="0" w:color="auto"/>
        <w:left w:val="none" w:sz="0" w:space="0" w:color="auto"/>
        <w:bottom w:val="none" w:sz="0" w:space="0" w:color="auto"/>
        <w:right w:val="none" w:sz="0" w:space="0" w:color="auto"/>
      </w:divBdr>
      <w:divsChild>
        <w:div w:id="334577818">
          <w:marLeft w:val="0"/>
          <w:marRight w:val="0"/>
          <w:marTop w:val="0"/>
          <w:marBottom w:val="0"/>
          <w:divBdr>
            <w:top w:val="none" w:sz="0" w:space="0" w:color="auto"/>
            <w:left w:val="none" w:sz="0" w:space="0" w:color="auto"/>
            <w:bottom w:val="none" w:sz="0" w:space="0" w:color="auto"/>
            <w:right w:val="none" w:sz="0" w:space="0" w:color="auto"/>
          </w:divBdr>
        </w:div>
      </w:divsChild>
    </w:div>
    <w:div w:id="1744378020">
      <w:marLeft w:val="0"/>
      <w:marRight w:val="0"/>
      <w:marTop w:val="180"/>
      <w:marBottom w:val="180"/>
      <w:divBdr>
        <w:top w:val="none" w:sz="0" w:space="0" w:color="auto"/>
        <w:left w:val="none" w:sz="0" w:space="0" w:color="auto"/>
        <w:bottom w:val="none" w:sz="0" w:space="0" w:color="auto"/>
        <w:right w:val="none" w:sz="0" w:space="0" w:color="auto"/>
      </w:divBdr>
    </w:div>
    <w:div w:id="1744797410">
      <w:marLeft w:val="0"/>
      <w:marRight w:val="0"/>
      <w:marTop w:val="180"/>
      <w:marBottom w:val="180"/>
      <w:divBdr>
        <w:top w:val="none" w:sz="0" w:space="0" w:color="auto"/>
        <w:left w:val="none" w:sz="0" w:space="0" w:color="auto"/>
        <w:bottom w:val="none" w:sz="0" w:space="0" w:color="auto"/>
        <w:right w:val="none" w:sz="0" w:space="0" w:color="auto"/>
      </w:divBdr>
    </w:div>
    <w:div w:id="1746534661">
      <w:marLeft w:val="0"/>
      <w:marRight w:val="0"/>
      <w:marTop w:val="0"/>
      <w:marBottom w:val="180"/>
      <w:divBdr>
        <w:top w:val="none" w:sz="0" w:space="0" w:color="auto"/>
        <w:left w:val="none" w:sz="0" w:space="0" w:color="auto"/>
        <w:bottom w:val="none" w:sz="0" w:space="0" w:color="auto"/>
        <w:right w:val="none" w:sz="0" w:space="0" w:color="auto"/>
      </w:divBdr>
    </w:div>
    <w:div w:id="1750730840">
      <w:marLeft w:val="0"/>
      <w:marRight w:val="0"/>
      <w:marTop w:val="0"/>
      <w:marBottom w:val="0"/>
      <w:divBdr>
        <w:top w:val="none" w:sz="0" w:space="0" w:color="auto"/>
        <w:left w:val="none" w:sz="0" w:space="0" w:color="auto"/>
        <w:bottom w:val="none" w:sz="0" w:space="0" w:color="auto"/>
        <w:right w:val="none" w:sz="0" w:space="0" w:color="auto"/>
      </w:divBdr>
      <w:divsChild>
        <w:div w:id="1989628506">
          <w:marLeft w:val="0"/>
          <w:marRight w:val="0"/>
          <w:marTop w:val="0"/>
          <w:marBottom w:val="0"/>
          <w:divBdr>
            <w:top w:val="none" w:sz="0" w:space="0" w:color="auto"/>
            <w:left w:val="none" w:sz="0" w:space="0" w:color="auto"/>
            <w:bottom w:val="none" w:sz="0" w:space="0" w:color="auto"/>
            <w:right w:val="none" w:sz="0" w:space="0" w:color="auto"/>
          </w:divBdr>
        </w:div>
      </w:divsChild>
    </w:div>
    <w:div w:id="1752462675">
      <w:marLeft w:val="0"/>
      <w:marRight w:val="0"/>
      <w:marTop w:val="0"/>
      <w:marBottom w:val="0"/>
      <w:divBdr>
        <w:top w:val="none" w:sz="0" w:space="0" w:color="auto"/>
        <w:left w:val="none" w:sz="0" w:space="0" w:color="auto"/>
        <w:bottom w:val="none" w:sz="0" w:space="0" w:color="auto"/>
        <w:right w:val="none" w:sz="0" w:space="0" w:color="auto"/>
      </w:divBdr>
    </w:div>
    <w:div w:id="1753625337">
      <w:marLeft w:val="0"/>
      <w:marRight w:val="0"/>
      <w:marTop w:val="180"/>
      <w:marBottom w:val="180"/>
      <w:divBdr>
        <w:top w:val="none" w:sz="0" w:space="0" w:color="auto"/>
        <w:left w:val="none" w:sz="0" w:space="0" w:color="auto"/>
        <w:bottom w:val="none" w:sz="0" w:space="0" w:color="auto"/>
        <w:right w:val="none" w:sz="0" w:space="0" w:color="auto"/>
      </w:divBdr>
    </w:div>
    <w:div w:id="1757046485">
      <w:marLeft w:val="0"/>
      <w:marRight w:val="0"/>
      <w:marTop w:val="0"/>
      <w:marBottom w:val="0"/>
      <w:divBdr>
        <w:top w:val="none" w:sz="0" w:space="0" w:color="auto"/>
        <w:left w:val="none" w:sz="0" w:space="0" w:color="auto"/>
        <w:bottom w:val="none" w:sz="0" w:space="0" w:color="auto"/>
        <w:right w:val="none" w:sz="0" w:space="0" w:color="auto"/>
      </w:divBdr>
      <w:divsChild>
        <w:div w:id="439909004">
          <w:marLeft w:val="0"/>
          <w:marRight w:val="0"/>
          <w:marTop w:val="0"/>
          <w:marBottom w:val="0"/>
          <w:divBdr>
            <w:top w:val="none" w:sz="0" w:space="0" w:color="auto"/>
            <w:left w:val="none" w:sz="0" w:space="0" w:color="auto"/>
            <w:bottom w:val="none" w:sz="0" w:space="0" w:color="auto"/>
            <w:right w:val="none" w:sz="0" w:space="0" w:color="auto"/>
          </w:divBdr>
        </w:div>
      </w:divsChild>
    </w:div>
    <w:div w:id="1758362552">
      <w:marLeft w:val="0"/>
      <w:marRight w:val="0"/>
      <w:marTop w:val="0"/>
      <w:marBottom w:val="0"/>
      <w:divBdr>
        <w:top w:val="none" w:sz="0" w:space="0" w:color="auto"/>
        <w:left w:val="none" w:sz="0" w:space="0" w:color="auto"/>
        <w:bottom w:val="none" w:sz="0" w:space="0" w:color="auto"/>
        <w:right w:val="none" w:sz="0" w:space="0" w:color="auto"/>
      </w:divBdr>
      <w:divsChild>
        <w:div w:id="582305162">
          <w:marLeft w:val="0"/>
          <w:marRight w:val="0"/>
          <w:marTop w:val="0"/>
          <w:marBottom w:val="0"/>
          <w:divBdr>
            <w:top w:val="none" w:sz="0" w:space="0" w:color="auto"/>
            <w:left w:val="none" w:sz="0" w:space="0" w:color="auto"/>
            <w:bottom w:val="none" w:sz="0" w:space="0" w:color="auto"/>
            <w:right w:val="none" w:sz="0" w:space="0" w:color="auto"/>
          </w:divBdr>
        </w:div>
      </w:divsChild>
    </w:div>
    <w:div w:id="1763992746">
      <w:marLeft w:val="0"/>
      <w:marRight w:val="0"/>
      <w:marTop w:val="0"/>
      <w:marBottom w:val="0"/>
      <w:divBdr>
        <w:top w:val="none" w:sz="0" w:space="0" w:color="auto"/>
        <w:left w:val="none" w:sz="0" w:space="0" w:color="auto"/>
        <w:bottom w:val="none" w:sz="0" w:space="0" w:color="auto"/>
        <w:right w:val="none" w:sz="0" w:space="0" w:color="auto"/>
      </w:divBdr>
      <w:divsChild>
        <w:div w:id="1394353511">
          <w:marLeft w:val="0"/>
          <w:marRight w:val="0"/>
          <w:marTop w:val="0"/>
          <w:marBottom w:val="0"/>
          <w:divBdr>
            <w:top w:val="none" w:sz="0" w:space="0" w:color="auto"/>
            <w:left w:val="none" w:sz="0" w:space="0" w:color="auto"/>
            <w:bottom w:val="none" w:sz="0" w:space="0" w:color="auto"/>
            <w:right w:val="none" w:sz="0" w:space="0" w:color="auto"/>
          </w:divBdr>
        </w:div>
      </w:divsChild>
    </w:div>
    <w:div w:id="1766421730">
      <w:marLeft w:val="0"/>
      <w:marRight w:val="0"/>
      <w:marTop w:val="0"/>
      <w:marBottom w:val="180"/>
      <w:divBdr>
        <w:top w:val="none" w:sz="0" w:space="0" w:color="auto"/>
        <w:left w:val="none" w:sz="0" w:space="0" w:color="auto"/>
        <w:bottom w:val="none" w:sz="0" w:space="0" w:color="auto"/>
        <w:right w:val="none" w:sz="0" w:space="0" w:color="auto"/>
      </w:divBdr>
    </w:div>
    <w:div w:id="1766922823">
      <w:marLeft w:val="0"/>
      <w:marRight w:val="0"/>
      <w:marTop w:val="0"/>
      <w:marBottom w:val="0"/>
      <w:divBdr>
        <w:top w:val="none" w:sz="0" w:space="0" w:color="auto"/>
        <w:left w:val="none" w:sz="0" w:space="0" w:color="auto"/>
        <w:bottom w:val="none" w:sz="0" w:space="0" w:color="auto"/>
        <w:right w:val="none" w:sz="0" w:space="0" w:color="auto"/>
      </w:divBdr>
      <w:divsChild>
        <w:div w:id="1434016096">
          <w:marLeft w:val="0"/>
          <w:marRight w:val="0"/>
          <w:marTop w:val="0"/>
          <w:marBottom w:val="0"/>
          <w:divBdr>
            <w:top w:val="none" w:sz="0" w:space="0" w:color="auto"/>
            <w:left w:val="none" w:sz="0" w:space="0" w:color="auto"/>
            <w:bottom w:val="none" w:sz="0" w:space="0" w:color="auto"/>
            <w:right w:val="none" w:sz="0" w:space="0" w:color="auto"/>
          </w:divBdr>
        </w:div>
      </w:divsChild>
    </w:div>
    <w:div w:id="1770463585">
      <w:marLeft w:val="0"/>
      <w:marRight w:val="0"/>
      <w:marTop w:val="180"/>
      <w:marBottom w:val="180"/>
      <w:divBdr>
        <w:top w:val="none" w:sz="0" w:space="0" w:color="auto"/>
        <w:left w:val="none" w:sz="0" w:space="0" w:color="auto"/>
        <w:bottom w:val="none" w:sz="0" w:space="0" w:color="auto"/>
        <w:right w:val="none" w:sz="0" w:space="0" w:color="auto"/>
      </w:divBdr>
    </w:div>
    <w:div w:id="1771928400">
      <w:marLeft w:val="0"/>
      <w:marRight w:val="0"/>
      <w:marTop w:val="0"/>
      <w:marBottom w:val="180"/>
      <w:divBdr>
        <w:top w:val="none" w:sz="0" w:space="0" w:color="auto"/>
        <w:left w:val="none" w:sz="0" w:space="0" w:color="auto"/>
        <w:bottom w:val="none" w:sz="0" w:space="0" w:color="auto"/>
        <w:right w:val="none" w:sz="0" w:space="0" w:color="auto"/>
      </w:divBdr>
    </w:div>
    <w:div w:id="1776515978">
      <w:marLeft w:val="0"/>
      <w:marRight w:val="0"/>
      <w:marTop w:val="0"/>
      <w:marBottom w:val="0"/>
      <w:divBdr>
        <w:top w:val="none" w:sz="0" w:space="0" w:color="auto"/>
        <w:left w:val="none" w:sz="0" w:space="0" w:color="auto"/>
        <w:bottom w:val="none" w:sz="0" w:space="0" w:color="auto"/>
        <w:right w:val="none" w:sz="0" w:space="0" w:color="auto"/>
      </w:divBdr>
    </w:div>
    <w:div w:id="1777407624">
      <w:marLeft w:val="0"/>
      <w:marRight w:val="0"/>
      <w:marTop w:val="0"/>
      <w:marBottom w:val="0"/>
      <w:divBdr>
        <w:top w:val="none" w:sz="0" w:space="0" w:color="auto"/>
        <w:left w:val="none" w:sz="0" w:space="0" w:color="auto"/>
        <w:bottom w:val="none" w:sz="0" w:space="0" w:color="auto"/>
        <w:right w:val="none" w:sz="0" w:space="0" w:color="auto"/>
      </w:divBdr>
      <w:divsChild>
        <w:div w:id="1570648577">
          <w:marLeft w:val="0"/>
          <w:marRight w:val="0"/>
          <w:marTop w:val="0"/>
          <w:marBottom w:val="0"/>
          <w:divBdr>
            <w:top w:val="none" w:sz="0" w:space="0" w:color="auto"/>
            <w:left w:val="none" w:sz="0" w:space="0" w:color="auto"/>
            <w:bottom w:val="none" w:sz="0" w:space="0" w:color="auto"/>
            <w:right w:val="none" w:sz="0" w:space="0" w:color="auto"/>
          </w:divBdr>
        </w:div>
      </w:divsChild>
    </w:div>
    <w:div w:id="1781531092">
      <w:marLeft w:val="0"/>
      <w:marRight w:val="0"/>
      <w:marTop w:val="100"/>
      <w:marBottom w:val="180"/>
      <w:divBdr>
        <w:top w:val="none" w:sz="0" w:space="0" w:color="auto"/>
        <w:left w:val="none" w:sz="0" w:space="0" w:color="auto"/>
        <w:bottom w:val="none" w:sz="0" w:space="0" w:color="auto"/>
        <w:right w:val="none" w:sz="0" w:space="0" w:color="auto"/>
      </w:divBdr>
    </w:div>
    <w:div w:id="1781871354">
      <w:marLeft w:val="0"/>
      <w:marRight w:val="0"/>
      <w:marTop w:val="120"/>
      <w:marBottom w:val="120"/>
      <w:divBdr>
        <w:top w:val="none" w:sz="0" w:space="0" w:color="auto"/>
        <w:left w:val="none" w:sz="0" w:space="0" w:color="auto"/>
        <w:bottom w:val="none" w:sz="0" w:space="0" w:color="auto"/>
        <w:right w:val="none" w:sz="0" w:space="0" w:color="auto"/>
      </w:divBdr>
    </w:div>
    <w:div w:id="1782871197">
      <w:marLeft w:val="0"/>
      <w:marRight w:val="0"/>
      <w:marTop w:val="0"/>
      <w:marBottom w:val="180"/>
      <w:divBdr>
        <w:top w:val="none" w:sz="0" w:space="0" w:color="auto"/>
        <w:left w:val="none" w:sz="0" w:space="0" w:color="auto"/>
        <w:bottom w:val="none" w:sz="0" w:space="0" w:color="auto"/>
        <w:right w:val="none" w:sz="0" w:space="0" w:color="auto"/>
      </w:divBdr>
    </w:div>
    <w:div w:id="1782913751">
      <w:marLeft w:val="0"/>
      <w:marRight w:val="0"/>
      <w:marTop w:val="0"/>
      <w:marBottom w:val="0"/>
      <w:divBdr>
        <w:top w:val="none" w:sz="0" w:space="0" w:color="auto"/>
        <w:left w:val="none" w:sz="0" w:space="0" w:color="auto"/>
        <w:bottom w:val="none" w:sz="0" w:space="0" w:color="auto"/>
        <w:right w:val="none" w:sz="0" w:space="0" w:color="auto"/>
      </w:divBdr>
      <w:divsChild>
        <w:div w:id="154879133">
          <w:marLeft w:val="0"/>
          <w:marRight w:val="0"/>
          <w:marTop w:val="0"/>
          <w:marBottom w:val="0"/>
          <w:divBdr>
            <w:top w:val="none" w:sz="0" w:space="0" w:color="auto"/>
            <w:left w:val="none" w:sz="0" w:space="0" w:color="auto"/>
            <w:bottom w:val="none" w:sz="0" w:space="0" w:color="auto"/>
            <w:right w:val="none" w:sz="0" w:space="0" w:color="auto"/>
          </w:divBdr>
        </w:div>
      </w:divsChild>
    </w:div>
    <w:div w:id="1783376742">
      <w:marLeft w:val="0"/>
      <w:marRight w:val="0"/>
      <w:marTop w:val="120"/>
      <w:marBottom w:val="120"/>
      <w:divBdr>
        <w:top w:val="none" w:sz="0" w:space="0" w:color="auto"/>
        <w:left w:val="none" w:sz="0" w:space="0" w:color="auto"/>
        <w:bottom w:val="none" w:sz="0" w:space="0" w:color="auto"/>
        <w:right w:val="none" w:sz="0" w:space="0" w:color="auto"/>
      </w:divBdr>
    </w:div>
    <w:div w:id="1784380679">
      <w:marLeft w:val="0"/>
      <w:marRight w:val="0"/>
      <w:marTop w:val="0"/>
      <w:marBottom w:val="0"/>
      <w:divBdr>
        <w:top w:val="none" w:sz="0" w:space="0" w:color="auto"/>
        <w:left w:val="none" w:sz="0" w:space="0" w:color="auto"/>
        <w:bottom w:val="none" w:sz="0" w:space="0" w:color="auto"/>
        <w:right w:val="none" w:sz="0" w:space="0" w:color="auto"/>
      </w:divBdr>
      <w:divsChild>
        <w:div w:id="1769740092">
          <w:marLeft w:val="0"/>
          <w:marRight w:val="0"/>
          <w:marTop w:val="0"/>
          <w:marBottom w:val="0"/>
          <w:divBdr>
            <w:top w:val="none" w:sz="0" w:space="0" w:color="auto"/>
            <w:left w:val="none" w:sz="0" w:space="0" w:color="auto"/>
            <w:bottom w:val="none" w:sz="0" w:space="0" w:color="auto"/>
            <w:right w:val="none" w:sz="0" w:space="0" w:color="auto"/>
          </w:divBdr>
        </w:div>
      </w:divsChild>
    </w:div>
    <w:div w:id="1787651930">
      <w:marLeft w:val="0"/>
      <w:marRight w:val="0"/>
      <w:marTop w:val="0"/>
      <w:marBottom w:val="240"/>
      <w:divBdr>
        <w:top w:val="none" w:sz="0" w:space="0" w:color="auto"/>
        <w:left w:val="none" w:sz="0" w:space="0" w:color="auto"/>
        <w:bottom w:val="none" w:sz="0" w:space="0" w:color="auto"/>
        <w:right w:val="none" w:sz="0" w:space="0" w:color="auto"/>
      </w:divBdr>
    </w:div>
    <w:div w:id="1789349295">
      <w:marLeft w:val="0"/>
      <w:marRight w:val="0"/>
      <w:marTop w:val="0"/>
      <w:marBottom w:val="0"/>
      <w:divBdr>
        <w:top w:val="none" w:sz="0" w:space="0" w:color="auto"/>
        <w:left w:val="none" w:sz="0" w:space="0" w:color="auto"/>
        <w:bottom w:val="none" w:sz="0" w:space="0" w:color="auto"/>
        <w:right w:val="none" w:sz="0" w:space="0" w:color="auto"/>
      </w:divBdr>
      <w:divsChild>
        <w:div w:id="494761915">
          <w:marLeft w:val="0"/>
          <w:marRight w:val="0"/>
          <w:marTop w:val="0"/>
          <w:marBottom w:val="0"/>
          <w:divBdr>
            <w:top w:val="none" w:sz="0" w:space="0" w:color="auto"/>
            <w:left w:val="none" w:sz="0" w:space="0" w:color="auto"/>
            <w:bottom w:val="none" w:sz="0" w:space="0" w:color="auto"/>
            <w:right w:val="none" w:sz="0" w:space="0" w:color="auto"/>
          </w:divBdr>
        </w:div>
      </w:divsChild>
    </w:div>
    <w:div w:id="1790053663">
      <w:marLeft w:val="0"/>
      <w:marRight w:val="0"/>
      <w:marTop w:val="0"/>
      <w:marBottom w:val="0"/>
      <w:divBdr>
        <w:top w:val="none" w:sz="0" w:space="0" w:color="auto"/>
        <w:left w:val="none" w:sz="0" w:space="0" w:color="auto"/>
        <w:bottom w:val="none" w:sz="0" w:space="0" w:color="auto"/>
        <w:right w:val="none" w:sz="0" w:space="0" w:color="auto"/>
      </w:divBdr>
    </w:div>
    <w:div w:id="1792820434">
      <w:marLeft w:val="0"/>
      <w:marRight w:val="0"/>
      <w:marTop w:val="0"/>
      <w:marBottom w:val="0"/>
      <w:divBdr>
        <w:top w:val="none" w:sz="0" w:space="0" w:color="auto"/>
        <w:left w:val="none" w:sz="0" w:space="0" w:color="auto"/>
        <w:bottom w:val="none" w:sz="0" w:space="0" w:color="auto"/>
        <w:right w:val="none" w:sz="0" w:space="0" w:color="auto"/>
      </w:divBdr>
      <w:divsChild>
        <w:div w:id="495848795">
          <w:marLeft w:val="0"/>
          <w:marRight w:val="0"/>
          <w:marTop w:val="0"/>
          <w:marBottom w:val="0"/>
          <w:divBdr>
            <w:top w:val="none" w:sz="0" w:space="0" w:color="auto"/>
            <w:left w:val="none" w:sz="0" w:space="0" w:color="auto"/>
            <w:bottom w:val="none" w:sz="0" w:space="0" w:color="auto"/>
            <w:right w:val="none" w:sz="0" w:space="0" w:color="auto"/>
          </w:divBdr>
        </w:div>
      </w:divsChild>
    </w:div>
    <w:div w:id="1793329381">
      <w:marLeft w:val="0"/>
      <w:marRight w:val="0"/>
      <w:marTop w:val="0"/>
      <w:marBottom w:val="180"/>
      <w:divBdr>
        <w:top w:val="none" w:sz="0" w:space="0" w:color="auto"/>
        <w:left w:val="none" w:sz="0" w:space="0" w:color="auto"/>
        <w:bottom w:val="none" w:sz="0" w:space="0" w:color="auto"/>
        <w:right w:val="none" w:sz="0" w:space="0" w:color="auto"/>
      </w:divBdr>
    </w:div>
    <w:div w:id="1793666454">
      <w:marLeft w:val="0"/>
      <w:marRight w:val="0"/>
      <w:marTop w:val="0"/>
      <w:marBottom w:val="0"/>
      <w:divBdr>
        <w:top w:val="none" w:sz="0" w:space="0" w:color="auto"/>
        <w:left w:val="none" w:sz="0" w:space="0" w:color="auto"/>
        <w:bottom w:val="none" w:sz="0" w:space="0" w:color="auto"/>
        <w:right w:val="none" w:sz="0" w:space="0" w:color="auto"/>
      </w:divBdr>
    </w:div>
    <w:div w:id="1793747215">
      <w:marLeft w:val="0"/>
      <w:marRight w:val="0"/>
      <w:marTop w:val="0"/>
      <w:marBottom w:val="0"/>
      <w:divBdr>
        <w:top w:val="none" w:sz="0" w:space="0" w:color="auto"/>
        <w:left w:val="none" w:sz="0" w:space="0" w:color="auto"/>
        <w:bottom w:val="none" w:sz="0" w:space="0" w:color="auto"/>
        <w:right w:val="none" w:sz="0" w:space="0" w:color="auto"/>
      </w:divBdr>
      <w:divsChild>
        <w:div w:id="1581526485">
          <w:marLeft w:val="0"/>
          <w:marRight w:val="0"/>
          <w:marTop w:val="0"/>
          <w:marBottom w:val="0"/>
          <w:divBdr>
            <w:top w:val="none" w:sz="0" w:space="0" w:color="auto"/>
            <w:left w:val="none" w:sz="0" w:space="0" w:color="auto"/>
            <w:bottom w:val="none" w:sz="0" w:space="0" w:color="auto"/>
            <w:right w:val="none" w:sz="0" w:space="0" w:color="auto"/>
          </w:divBdr>
        </w:div>
      </w:divsChild>
    </w:div>
    <w:div w:id="1793865085">
      <w:marLeft w:val="0"/>
      <w:marRight w:val="0"/>
      <w:marTop w:val="0"/>
      <w:marBottom w:val="0"/>
      <w:divBdr>
        <w:top w:val="none" w:sz="0" w:space="0" w:color="auto"/>
        <w:left w:val="none" w:sz="0" w:space="0" w:color="auto"/>
        <w:bottom w:val="none" w:sz="0" w:space="0" w:color="auto"/>
        <w:right w:val="none" w:sz="0" w:space="0" w:color="auto"/>
      </w:divBdr>
    </w:div>
    <w:div w:id="1794667544">
      <w:marLeft w:val="0"/>
      <w:marRight w:val="0"/>
      <w:marTop w:val="180"/>
      <w:marBottom w:val="180"/>
      <w:divBdr>
        <w:top w:val="none" w:sz="0" w:space="0" w:color="auto"/>
        <w:left w:val="none" w:sz="0" w:space="0" w:color="auto"/>
        <w:bottom w:val="none" w:sz="0" w:space="0" w:color="auto"/>
        <w:right w:val="none" w:sz="0" w:space="0" w:color="auto"/>
      </w:divBdr>
    </w:div>
    <w:div w:id="1795825155">
      <w:marLeft w:val="0"/>
      <w:marRight w:val="0"/>
      <w:marTop w:val="0"/>
      <w:marBottom w:val="0"/>
      <w:divBdr>
        <w:top w:val="none" w:sz="0" w:space="0" w:color="auto"/>
        <w:left w:val="none" w:sz="0" w:space="0" w:color="auto"/>
        <w:bottom w:val="none" w:sz="0" w:space="0" w:color="auto"/>
        <w:right w:val="none" w:sz="0" w:space="0" w:color="auto"/>
      </w:divBdr>
      <w:divsChild>
        <w:div w:id="558446589">
          <w:marLeft w:val="0"/>
          <w:marRight w:val="0"/>
          <w:marTop w:val="0"/>
          <w:marBottom w:val="0"/>
          <w:divBdr>
            <w:top w:val="none" w:sz="0" w:space="0" w:color="auto"/>
            <w:left w:val="none" w:sz="0" w:space="0" w:color="auto"/>
            <w:bottom w:val="none" w:sz="0" w:space="0" w:color="auto"/>
            <w:right w:val="none" w:sz="0" w:space="0" w:color="auto"/>
          </w:divBdr>
        </w:div>
      </w:divsChild>
    </w:div>
    <w:div w:id="1796634572">
      <w:marLeft w:val="0"/>
      <w:marRight w:val="0"/>
      <w:marTop w:val="120"/>
      <w:marBottom w:val="120"/>
      <w:divBdr>
        <w:top w:val="none" w:sz="0" w:space="0" w:color="auto"/>
        <w:left w:val="none" w:sz="0" w:space="0" w:color="auto"/>
        <w:bottom w:val="none" w:sz="0" w:space="0" w:color="auto"/>
        <w:right w:val="none" w:sz="0" w:space="0" w:color="auto"/>
      </w:divBdr>
    </w:div>
    <w:div w:id="1796756557">
      <w:marLeft w:val="0"/>
      <w:marRight w:val="0"/>
      <w:marTop w:val="0"/>
      <w:marBottom w:val="180"/>
      <w:divBdr>
        <w:top w:val="none" w:sz="0" w:space="0" w:color="auto"/>
        <w:left w:val="none" w:sz="0" w:space="0" w:color="auto"/>
        <w:bottom w:val="none" w:sz="0" w:space="0" w:color="auto"/>
        <w:right w:val="none" w:sz="0" w:space="0" w:color="auto"/>
      </w:divBdr>
    </w:div>
    <w:div w:id="1797405468">
      <w:marLeft w:val="0"/>
      <w:marRight w:val="0"/>
      <w:marTop w:val="0"/>
      <w:marBottom w:val="180"/>
      <w:divBdr>
        <w:top w:val="none" w:sz="0" w:space="0" w:color="auto"/>
        <w:left w:val="none" w:sz="0" w:space="0" w:color="auto"/>
        <w:bottom w:val="none" w:sz="0" w:space="0" w:color="auto"/>
        <w:right w:val="none" w:sz="0" w:space="0" w:color="auto"/>
      </w:divBdr>
    </w:div>
    <w:div w:id="1798715817">
      <w:marLeft w:val="0"/>
      <w:marRight w:val="0"/>
      <w:marTop w:val="0"/>
      <w:marBottom w:val="240"/>
      <w:divBdr>
        <w:top w:val="none" w:sz="0" w:space="0" w:color="auto"/>
        <w:left w:val="none" w:sz="0" w:space="0" w:color="auto"/>
        <w:bottom w:val="none" w:sz="0" w:space="0" w:color="auto"/>
        <w:right w:val="none" w:sz="0" w:space="0" w:color="auto"/>
      </w:divBdr>
    </w:div>
    <w:div w:id="1803427718">
      <w:marLeft w:val="0"/>
      <w:marRight w:val="0"/>
      <w:marTop w:val="0"/>
      <w:marBottom w:val="240"/>
      <w:divBdr>
        <w:top w:val="none" w:sz="0" w:space="0" w:color="auto"/>
        <w:left w:val="none" w:sz="0" w:space="0" w:color="auto"/>
        <w:bottom w:val="none" w:sz="0" w:space="0" w:color="auto"/>
        <w:right w:val="none" w:sz="0" w:space="0" w:color="auto"/>
      </w:divBdr>
    </w:div>
    <w:div w:id="1803695440">
      <w:marLeft w:val="0"/>
      <w:marRight w:val="0"/>
      <w:marTop w:val="180"/>
      <w:marBottom w:val="180"/>
      <w:divBdr>
        <w:top w:val="none" w:sz="0" w:space="0" w:color="auto"/>
        <w:left w:val="none" w:sz="0" w:space="0" w:color="auto"/>
        <w:bottom w:val="none" w:sz="0" w:space="0" w:color="auto"/>
        <w:right w:val="none" w:sz="0" w:space="0" w:color="auto"/>
      </w:divBdr>
    </w:div>
    <w:div w:id="1804424347">
      <w:marLeft w:val="0"/>
      <w:marRight w:val="0"/>
      <w:marTop w:val="180"/>
      <w:marBottom w:val="180"/>
      <w:divBdr>
        <w:top w:val="none" w:sz="0" w:space="0" w:color="auto"/>
        <w:left w:val="none" w:sz="0" w:space="0" w:color="auto"/>
        <w:bottom w:val="none" w:sz="0" w:space="0" w:color="auto"/>
        <w:right w:val="none" w:sz="0" w:space="0" w:color="auto"/>
      </w:divBdr>
    </w:div>
    <w:div w:id="1805007423">
      <w:marLeft w:val="0"/>
      <w:marRight w:val="0"/>
      <w:marTop w:val="0"/>
      <w:marBottom w:val="240"/>
      <w:divBdr>
        <w:top w:val="none" w:sz="0" w:space="0" w:color="auto"/>
        <w:left w:val="none" w:sz="0" w:space="0" w:color="auto"/>
        <w:bottom w:val="none" w:sz="0" w:space="0" w:color="auto"/>
        <w:right w:val="none" w:sz="0" w:space="0" w:color="auto"/>
      </w:divBdr>
    </w:div>
    <w:div w:id="1809275133">
      <w:marLeft w:val="0"/>
      <w:marRight w:val="0"/>
      <w:marTop w:val="120"/>
      <w:marBottom w:val="120"/>
      <w:divBdr>
        <w:top w:val="none" w:sz="0" w:space="0" w:color="auto"/>
        <w:left w:val="none" w:sz="0" w:space="0" w:color="auto"/>
        <w:bottom w:val="none" w:sz="0" w:space="0" w:color="auto"/>
        <w:right w:val="none" w:sz="0" w:space="0" w:color="auto"/>
      </w:divBdr>
    </w:div>
    <w:div w:id="1810199856">
      <w:marLeft w:val="0"/>
      <w:marRight w:val="0"/>
      <w:marTop w:val="0"/>
      <w:marBottom w:val="0"/>
      <w:divBdr>
        <w:top w:val="none" w:sz="0" w:space="0" w:color="auto"/>
        <w:left w:val="none" w:sz="0" w:space="0" w:color="auto"/>
        <w:bottom w:val="none" w:sz="0" w:space="0" w:color="auto"/>
        <w:right w:val="none" w:sz="0" w:space="0" w:color="auto"/>
      </w:divBdr>
    </w:div>
    <w:div w:id="1812013261">
      <w:marLeft w:val="0"/>
      <w:marRight w:val="0"/>
      <w:marTop w:val="0"/>
      <w:marBottom w:val="240"/>
      <w:divBdr>
        <w:top w:val="none" w:sz="0" w:space="0" w:color="auto"/>
        <w:left w:val="none" w:sz="0" w:space="0" w:color="auto"/>
        <w:bottom w:val="none" w:sz="0" w:space="0" w:color="auto"/>
        <w:right w:val="none" w:sz="0" w:space="0" w:color="auto"/>
      </w:divBdr>
    </w:div>
    <w:div w:id="1812553942">
      <w:marLeft w:val="0"/>
      <w:marRight w:val="0"/>
      <w:marTop w:val="0"/>
      <w:marBottom w:val="0"/>
      <w:divBdr>
        <w:top w:val="none" w:sz="0" w:space="0" w:color="auto"/>
        <w:left w:val="none" w:sz="0" w:space="0" w:color="auto"/>
        <w:bottom w:val="none" w:sz="0" w:space="0" w:color="auto"/>
        <w:right w:val="none" w:sz="0" w:space="0" w:color="auto"/>
      </w:divBdr>
      <w:divsChild>
        <w:div w:id="206988528">
          <w:marLeft w:val="0"/>
          <w:marRight w:val="0"/>
          <w:marTop w:val="0"/>
          <w:marBottom w:val="0"/>
          <w:divBdr>
            <w:top w:val="none" w:sz="0" w:space="0" w:color="auto"/>
            <w:left w:val="none" w:sz="0" w:space="0" w:color="auto"/>
            <w:bottom w:val="none" w:sz="0" w:space="0" w:color="auto"/>
            <w:right w:val="none" w:sz="0" w:space="0" w:color="auto"/>
          </w:divBdr>
        </w:div>
      </w:divsChild>
    </w:div>
    <w:div w:id="1813980795">
      <w:marLeft w:val="0"/>
      <w:marRight w:val="0"/>
      <w:marTop w:val="0"/>
      <w:marBottom w:val="0"/>
      <w:divBdr>
        <w:top w:val="none" w:sz="0" w:space="0" w:color="auto"/>
        <w:left w:val="none" w:sz="0" w:space="0" w:color="auto"/>
        <w:bottom w:val="none" w:sz="0" w:space="0" w:color="auto"/>
        <w:right w:val="none" w:sz="0" w:space="0" w:color="auto"/>
      </w:divBdr>
    </w:div>
    <w:div w:id="1814253431">
      <w:marLeft w:val="0"/>
      <w:marRight w:val="0"/>
      <w:marTop w:val="100"/>
      <w:marBottom w:val="0"/>
      <w:divBdr>
        <w:top w:val="none" w:sz="0" w:space="0" w:color="auto"/>
        <w:left w:val="none" w:sz="0" w:space="0" w:color="auto"/>
        <w:bottom w:val="none" w:sz="0" w:space="0" w:color="auto"/>
        <w:right w:val="none" w:sz="0" w:space="0" w:color="auto"/>
      </w:divBdr>
    </w:div>
    <w:div w:id="1814254385">
      <w:marLeft w:val="0"/>
      <w:marRight w:val="0"/>
      <w:marTop w:val="0"/>
      <w:marBottom w:val="180"/>
      <w:divBdr>
        <w:top w:val="none" w:sz="0" w:space="0" w:color="auto"/>
        <w:left w:val="none" w:sz="0" w:space="0" w:color="auto"/>
        <w:bottom w:val="none" w:sz="0" w:space="0" w:color="auto"/>
        <w:right w:val="none" w:sz="0" w:space="0" w:color="auto"/>
      </w:divBdr>
    </w:div>
    <w:div w:id="1815639551">
      <w:marLeft w:val="0"/>
      <w:marRight w:val="0"/>
      <w:marTop w:val="0"/>
      <w:marBottom w:val="240"/>
      <w:divBdr>
        <w:top w:val="none" w:sz="0" w:space="0" w:color="auto"/>
        <w:left w:val="none" w:sz="0" w:space="0" w:color="auto"/>
        <w:bottom w:val="none" w:sz="0" w:space="0" w:color="auto"/>
        <w:right w:val="none" w:sz="0" w:space="0" w:color="auto"/>
      </w:divBdr>
    </w:div>
    <w:div w:id="1818303397">
      <w:marLeft w:val="0"/>
      <w:marRight w:val="0"/>
      <w:marTop w:val="0"/>
      <w:marBottom w:val="0"/>
      <w:divBdr>
        <w:top w:val="none" w:sz="0" w:space="0" w:color="auto"/>
        <w:left w:val="none" w:sz="0" w:space="0" w:color="auto"/>
        <w:bottom w:val="none" w:sz="0" w:space="0" w:color="auto"/>
        <w:right w:val="none" w:sz="0" w:space="0" w:color="auto"/>
      </w:divBdr>
    </w:div>
    <w:div w:id="1818835115">
      <w:marLeft w:val="0"/>
      <w:marRight w:val="0"/>
      <w:marTop w:val="0"/>
      <w:marBottom w:val="240"/>
      <w:divBdr>
        <w:top w:val="none" w:sz="0" w:space="0" w:color="auto"/>
        <w:left w:val="none" w:sz="0" w:space="0" w:color="auto"/>
        <w:bottom w:val="none" w:sz="0" w:space="0" w:color="auto"/>
        <w:right w:val="none" w:sz="0" w:space="0" w:color="auto"/>
      </w:divBdr>
    </w:div>
    <w:div w:id="1819032905">
      <w:marLeft w:val="0"/>
      <w:marRight w:val="0"/>
      <w:marTop w:val="0"/>
      <w:marBottom w:val="0"/>
      <w:divBdr>
        <w:top w:val="none" w:sz="0" w:space="0" w:color="auto"/>
        <w:left w:val="none" w:sz="0" w:space="0" w:color="auto"/>
        <w:bottom w:val="none" w:sz="0" w:space="0" w:color="auto"/>
        <w:right w:val="none" w:sz="0" w:space="0" w:color="auto"/>
      </w:divBdr>
      <w:divsChild>
        <w:div w:id="345254794">
          <w:marLeft w:val="0"/>
          <w:marRight w:val="0"/>
          <w:marTop w:val="0"/>
          <w:marBottom w:val="0"/>
          <w:divBdr>
            <w:top w:val="none" w:sz="0" w:space="0" w:color="auto"/>
            <w:left w:val="none" w:sz="0" w:space="0" w:color="auto"/>
            <w:bottom w:val="none" w:sz="0" w:space="0" w:color="auto"/>
            <w:right w:val="none" w:sz="0" w:space="0" w:color="auto"/>
          </w:divBdr>
        </w:div>
      </w:divsChild>
    </w:div>
    <w:div w:id="1819573616">
      <w:marLeft w:val="0"/>
      <w:marRight w:val="0"/>
      <w:marTop w:val="0"/>
      <w:marBottom w:val="240"/>
      <w:divBdr>
        <w:top w:val="none" w:sz="0" w:space="0" w:color="auto"/>
        <w:left w:val="none" w:sz="0" w:space="0" w:color="auto"/>
        <w:bottom w:val="none" w:sz="0" w:space="0" w:color="auto"/>
        <w:right w:val="none" w:sz="0" w:space="0" w:color="auto"/>
      </w:divBdr>
    </w:div>
    <w:div w:id="1821002036">
      <w:marLeft w:val="0"/>
      <w:marRight w:val="0"/>
      <w:marTop w:val="0"/>
      <w:marBottom w:val="0"/>
      <w:divBdr>
        <w:top w:val="none" w:sz="0" w:space="0" w:color="auto"/>
        <w:left w:val="none" w:sz="0" w:space="0" w:color="auto"/>
        <w:bottom w:val="none" w:sz="0" w:space="0" w:color="auto"/>
        <w:right w:val="none" w:sz="0" w:space="0" w:color="auto"/>
      </w:divBdr>
    </w:div>
    <w:div w:id="1821269651">
      <w:marLeft w:val="0"/>
      <w:marRight w:val="0"/>
      <w:marTop w:val="0"/>
      <w:marBottom w:val="0"/>
      <w:divBdr>
        <w:top w:val="none" w:sz="0" w:space="0" w:color="auto"/>
        <w:left w:val="none" w:sz="0" w:space="0" w:color="auto"/>
        <w:bottom w:val="none" w:sz="0" w:space="0" w:color="auto"/>
        <w:right w:val="none" w:sz="0" w:space="0" w:color="auto"/>
      </w:divBdr>
      <w:divsChild>
        <w:div w:id="1661538128">
          <w:marLeft w:val="0"/>
          <w:marRight w:val="0"/>
          <w:marTop w:val="0"/>
          <w:marBottom w:val="0"/>
          <w:divBdr>
            <w:top w:val="none" w:sz="0" w:space="0" w:color="auto"/>
            <w:left w:val="none" w:sz="0" w:space="0" w:color="auto"/>
            <w:bottom w:val="none" w:sz="0" w:space="0" w:color="auto"/>
            <w:right w:val="none" w:sz="0" w:space="0" w:color="auto"/>
          </w:divBdr>
          <w:divsChild>
            <w:div w:id="17858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091">
      <w:marLeft w:val="0"/>
      <w:marRight w:val="0"/>
      <w:marTop w:val="180"/>
      <w:marBottom w:val="180"/>
      <w:divBdr>
        <w:top w:val="none" w:sz="0" w:space="0" w:color="auto"/>
        <w:left w:val="none" w:sz="0" w:space="0" w:color="auto"/>
        <w:bottom w:val="none" w:sz="0" w:space="0" w:color="auto"/>
        <w:right w:val="none" w:sz="0" w:space="0" w:color="auto"/>
      </w:divBdr>
    </w:div>
    <w:div w:id="1825582893">
      <w:marLeft w:val="0"/>
      <w:marRight w:val="0"/>
      <w:marTop w:val="0"/>
      <w:marBottom w:val="0"/>
      <w:divBdr>
        <w:top w:val="none" w:sz="0" w:space="0" w:color="auto"/>
        <w:left w:val="none" w:sz="0" w:space="0" w:color="auto"/>
        <w:bottom w:val="none" w:sz="0" w:space="0" w:color="auto"/>
        <w:right w:val="none" w:sz="0" w:space="0" w:color="auto"/>
      </w:divBdr>
    </w:div>
    <w:div w:id="1825967999">
      <w:marLeft w:val="0"/>
      <w:marRight w:val="0"/>
      <w:marTop w:val="120"/>
      <w:marBottom w:val="120"/>
      <w:divBdr>
        <w:top w:val="none" w:sz="0" w:space="0" w:color="auto"/>
        <w:left w:val="none" w:sz="0" w:space="0" w:color="auto"/>
        <w:bottom w:val="none" w:sz="0" w:space="0" w:color="auto"/>
        <w:right w:val="none" w:sz="0" w:space="0" w:color="auto"/>
      </w:divBdr>
    </w:div>
    <w:div w:id="1827547832">
      <w:marLeft w:val="0"/>
      <w:marRight w:val="0"/>
      <w:marTop w:val="0"/>
      <w:marBottom w:val="0"/>
      <w:divBdr>
        <w:top w:val="none" w:sz="0" w:space="0" w:color="auto"/>
        <w:left w:val="none" w:sz="0" w:space="0" w:color="auto"/>
        <w:bottom w:val="none" w:sz="0" w:space="0" w:color="auto"/>
        <w:right w:val="none" w:sz="0" w:space="0" w:color="auto"/>
      </w:divBdr>
      <w:divsChild>
        <w:div w:id="1126387483">
          <w:marLeft w:val="0"/>
          <w:marRight w:val="0"/>
          <w:marTop w:val="0"/>
          <w:marBottom w:val="0"/>
          <w:divBdr>
            <w:top w:val="none" w:sz="0" w:space="0" w:color="auto"/>
            <w:left w:val="none" w:sz="0" w:space="0" w:color="auto"/>
            <w:bottom w:val="none" w:sz="0" w:space="0" w:color="auto"/>
            <w:right w:val="none" w:sz="0" w:space="0" w:color="auto"/>
          </w:divBdr>
        </w:div>
      </w:divsChild>
    </w:div>
    <w:div w:id="1829244932">
      <w:marLeft w:val="0"/>
      <w:marRight w:val="0"/>
      <w:marTop w:val="180"/>
      <w:marBottom w:val="180"/>
      <w:divBdr>
        <w:top w:val="none" w:sz="0" w:space="0" w:color="auto"/>
        <w:left w:val="none" w:sz="0" w:space="0" w:color="auto"/>
        <w:bottom w:val="none" w:sz="0" w:space="0" w:color="auto"/>
        <w:right w:val="none" w:sz="0" w:space="0" w:color="auto"/>
      </w:divBdr>
    </w:div>
    <w:div w:id="1830093448">
      <w:marLeft w:val="0"/>
      <w:marRight w:val="0"/>
      <w:marTop w:val="120"/>
      <w:marBottom w:val="240"/>
      <w:divBdr>
        <w:top w:val="none" w:sz="0" w:space="0" w:color="auto"/>
        <w:left w:val="none" w:sz="0" w:space="0" w:color="auto"/>
        <w:bottom w:val="none" w:sz="0" w:space="0" w:color="auto"/>
        <w:right w:val="none" w:sz="0" w:space="0" w:color="auto"/>
      </w:divBdr>
    </w:div>
    <w:div w:id="1830169902">
      <w:marLeft w:val="0"/>
      <w:marRight w:val="0"/>
      <w:marTop w:val="180"/>
      <w:marBottom w:val="180"/>
      <w:divBdr>
        <w:top w:val="none" w:sz="0" w:space="0" w:color="auto"/>
        <w:left w:val="none" w:sz="0" w:space="0" w:color="auto"/>
        <w:bottom w:val="none" w:sz="0" w:space="0" w:color="auto"/>
        <w:right w:val="none" w:sz="0" w:space="0" w:color="auto"/>
      </w:divBdr>
    </w:div>
    <w:div w:id="1831292323">
      <w:marLeft w:val="0"/>
      <w:marRight w:val="0"/>
      <w:marTop w:val="0"/>
      <w:marBottom w:val="0"/>
      <w:divBdr>
        <w:top w:val="none" w:sz="0" w:space="0" w:color="auto"/>
        <w:left w:val="none" w:sz="0" w:space="0" w:color="auto"/>
        <w:bottom w:val="none" w:sz="0" w:space="0" w:color="auto"/>
        <w:right w:val="none" w:sz="0" w:space="0" w:color="auto"/>
      </w:divBdr>
      <w:divsChild>
        <w:div w:id="241258394">
          <w:marLeft w:val="0"/>
          <w:marRight w:val="0"/>
          <w:marTop w:val="0"/>
          <w:marBottom w:val="0"/>
          <w:divBdr>
            <w:top w:val="none" w:sz="0" w:space="0" w:color="auto"/>
            <w:left w:val="none" w:sz="0" w:space="0" w:color="auto"/>
            <w:bottom w:val="none" w:sz="0" w:space="0" w:color="auto"/>
            <w:right w:val="none" w:sz="0" w:space="0" w:color="auto"/>
          </w:divBdr>
        </w:div>
      </w:divsChild>
    </w:div>
    <w:div w:id="1831948947">
      <w:marLeft w:val="0"/>
      <w:marRight w:val="0"/>
      <w:marTop w:val="0"/>
      <w:marBottom w:val="240"/>
      <w:divBdr>
        <w:top w:val="none" w:sz="0" w:space="0" w:color="auto"/>
        <w:left w:val="none" w:sz="0" w:space="0" w:color="auto"/>
        <w:bottom w:val="none" w:sz="0" w:space="0" w:color="auto"/>
        <w:right w:val="none" w:sz="0" w:space="0" w:color="auto"/>
      </w:divBdr>
    </w:div>
    <w:div w:id="1833134503">
      <w:marLeft w:val="0"/>
      <w:marRight w:val="0"/>
      <w:marTop w:val="0"/>
      <w:marBottom w:val="180"/>
      <w:divBdr>
        <w:top w:val="none" w:sz="0" w:space="0" w:color="auto"/>
        <w:left w:val="none" w:sz="0" w:space="0" w:color="auto"/>
        <w:bottom w:val="none" w:sz="0" w:space="0" w:color="auto"/>
        <w:right w:val="none" w:sz="0" w:space="0" w:color="auto"/>
      </w:divBdr>
    </w:div>
    <w:div w:id="1834056417">
      <w:marLeft w:val="0"/>
      <w:marRight w:val="0"/>
      <w:marTop w:val="0"/>
      <w:marBottom w:val="0"/>
      <w:divBdr>
        <w:top w:val="none" w:sz="0" w:space="0" w:color="auto"/>
        <w:left w:val="none" w:sz="0" w:space="0" w:color="auto"/>
        <w:bottom w:val="none" w:sz="0" w:space="0" w:color="auto"/>
        <w:right w:val="none" w:sz="0" w:space="0" w:color="auto"/>
      </w:divBdr>
    </w:div>
    <w:div w:id="1835485321">
      <w:marLeft w:val="0"/>
      <w:marRight w:val="0"/>
      <w:marTop w:val="0"/>
      <w:marBottom w:val="240"/>
      <w:divBdr>
        <w:top w:val="none" w:sz="0" w:space="0" w:color="auto"/>
        <w:left w:val="none" w:sz="0" w:space="0" w:color="auto"/>
        <w:bottom w:val="none" w:sz="0" w:space="0" w:color="auto"/>
        <w:right w:val="none" w:sz="0" w:space="0" w:color="auto"/>
      </w:divBdr>
    </w:div>
    <w:div w:id="1836142503">
      <w:marLeft w:val="0"/>
      <w:marRight w:val="0"/>
      <w:marTop w:val="0"/>
      <w:marBottom w:val="180"/>
      <w:divBdr>
        <w:top w:val="none" w:sz="0" w:space="0" w:color="auto"/>
        <w:left w:val="none" w:sz="0" w:space="0" w:color="auto"/>
        <w:bottom w:val="none" w:sz="0" w:space="0" w:color="auto"/>
        <w:right w:val="none" w:sz="0" w:space="0" w:color="auto"/>
      </w:divBdr>
    </w:div>
    <w:div w:id="1836337422">
      <w:marLeft w:val="0"/>
      <w:marRight w:val="0"/>
      <w:marTop w:val="0"/>
      <w:marBottom w:val="180"/>
      <w:divBdr>
        <w:top w:val="none" w:sz="0" w:space="0" w:color="auto"/>
        <w:left w:val="none" w:sz="0" w:space="0" w:color="auto"/>
        <w:bottom w:val="none" w:sz="0" w:space="0" w:color="auto"/>
        <w:right w:val="none" w:sz="0" w:space="0" w:color="auto"/>
      </w:divBdr>
    </w:div>
    <w:div w:id="1840390523">
      <w:marLeft w:val="0"/>
      <w:marRight w:val="0"/>
      <w:marTop w:val="0"/>
      <w:marBottom w:val="0"/>
      <w:divBdr>
        <w:top w:val="none" w:sz="0" w:space="0" w:color="auto"/>
        <w:left w:val="none" w:sz="0" w:space="0" w:color="auto"/>
        <w:bottom w:val="none" w:sz="0" w:space="0" w:color="auto"/>
        <w:right w:val="none" w:sz="0" w:space="0" w:color="auto"/>
      </w:divBdr>
    </w:div>
    <w:div w:id="1843425008">
      <w:marLeft w:val="0"/>
      <w:marRight w:val="0"/>
      <w:marTop w:val="0"/>
      <w:marBottom w:val="0"/>
      <w:divBdr>
        <w:top w:val="none" w:sz="0" w:space="0" w:color="auto"/>
        <w:left w:val="none" w:sz="0" w:space="0" w:color="auto"/>
        <w:bottom w:val="none" w:sz="0" w:space="0" w:color="auto"/>
        <w:right w:val="none" w:sz="0" w:space="0" w:color="auto"/>
      </w:divBdr>
    </w:div>
    <w:div w:id="1846506621">
      <w:marLeft w:val="0"/>
      <w:marRight w:val="0"/>
      <w:marTop w:val="0"/>
      <w:marBottom w:val="240"/>
      <w:divBdr>
        <w:top w:val="none" w:sz="0" w:space="0" w:color="auto"/>
        <w:left w:val="none" w:sz="0" w:space="0" w:color="auto"/>
        <w:bottom w:val="none" w:sz="0" w:space="0" w:color="auto"/>
        <w:right w:val="none" w:sz="0" w:space="0" w:color="auto"/>
      </w:divBdr>
    </w:div>
    <w:div w:id="1847287485">
      <w:marLeft w:val="0"/>
      <w:marRight w:val="0"/>
      <w:marTop w:val="0"/>
      <w:marBottom w:val="180"/>
      <w:divBdr>
        <w:top w:val="none" w:sz="0" w:space="0" w:color="auto"/>
        <w:left w:val="none" w:sz="0" w:space="0" w:color="auto"/>
        <w:bottom w:val="none" w:sz="0" w:space="0" w:color="auto"/>
        <w:right w:val="none" w:sz="0" w:space="0" w:color="auto"/>
      </w:divBdr>
    </w:div>
    <w:div w:id="1847359668">
      <w:marLeft w:val="0"/>
      <w:marRight w:val="0"/>
      <w:marTop w:val="0"/>
      <w:marBottom w:val="180"/>
      <w:divBdr>
        <w:top w:val="none" w:sz="0" w:space="0" w:color="auto"/>
        <w:left w:val="none" w:sz="0" w:space="0" w:color="auto"/>
        <w:bottom w:val="none" w:sz="0" w:space="0" w:color="auto"/>
        <w:right w:val="none" w:sz="0" w:space="0" w:color="auto"/>
      </w:divBdr>
    </w:div>
    <w:div w:id="1848981754">
      <w:marLeft w:val="0"/>
      <w:marRight w:val="0"/>
      <w:marTop w:val="180"/>
      <w:marBottom w:val="180"/>
      <w:divBdr>
        <w:top w:val="none" w:sz="0" w:space="0" w:color="auto"/>
        <w:left w:val="none" w:sz="0" w:space="0" w:color="auto"/>
        <w:bottom w:val="none" w:sz="0" w:space="0" w:color="auto"/>
        <w:right w:val="none" w:sz="0" w:space="0" w:color="auto"/>
      </w:divBdr>
    </w:div>
    <w:div w:id="1849169617">
      <w:marLeft w:val="0"/>
      <w:marRight w:val="0"/>
      <w:marTop w:val="180"/>
      <w:marBottom w:val="180"/>
      <w:divBdr>
        <w:top w:val="none" w:sz="0" w:space="0" w:color="auto"/>
        <w:left w:val="none" w:sz="0" w:space="0" w:color="auto"/>
        <w:bottom w:val="none" w:sz="0" w:space="0" w:color="auto"/>
        <w:right w:val="none" w:sz="0" w:space="0" w:color="auto"/>
      </w:divBdr>
    </w:div>
    <w:div w:id="1852331705">
      <w:marLeft w:val="0"/>
      <w:marRight w:val="0"/>
      <w:marTop w:val="0"/>
      <w:marBottom w:val="180"/>
      <w:divBdr>
        <w:top w:val="none" w:sz="0" w:space="0" w:color="auto"/>
        <w:left w:val="none" w:sz="0" w:space="0" w:color="auto"/>
        <w:bottom w:val="none" w:sz="0" w:space="0" w:color="auto"/>
        <w:right w:val="none" w:sz="0" w:space="0" w:color="auto"/>
      </w:divBdr>
    </w:div>
    <w:div w:id="1856387264">
      <w:marLeft w:val="0"/>
      <w:marRight w:val="0"/>
      <w:marTop w:val="180"/>
      <w:marBottom w:val="180"/>
      <w:divBdr>
        <w:top w:val="none" w:sz="0" w:space="0" w:color="auto"/>
        <w:left w:val="none" w:sz="0" w:space="0" w:color="auto"/>
        <w:bottom w:val="none" w:sz="0" w:space="0" w:color="auto"/>
        <w:right w:val="none" w:sz="0" w:space="0" w:color="auto"/>
      </w:divBdr>
    </w:div>
    <w:div w:id="1857845561">
      <w:marLeft w:val="0"/>
      <w:marRight w:val="0"/>
      <w:marTop w:val="100"/>
      <w:marBottom w:val="0"/>
      <w:divBdr>
        <w:top w:val="none" w:sz="0" w:space="0" w:color="auto"/>
        <w:left w:val="none" w:sz="0" w:space="0" w:color="auto"/>
        <w:bottom w:val="none" w:sz="0" w:space="0" w:color="auto"/>
        <w:right w:val="none" w:sz="0" w:space="0" w:color="auto"/>
      </w:divBdr>
    </w:div>
    <w:div w:id="1859000073">
      <w:marLeft w:val="0"/>
      <w:marRight w:val="0"/>
      <w:marTop w:val="0"/>
      <w:marBottom w:val="0"/>
      <w:divBdr>
        <w:top w:val="none" w:sz="0" w:space="0" w:color="auto"/>
        <w:left w:val="none" w:sz="0" w:space="0" w:color="auto"/>
        <w:bottom w:val="none" w:sz="0" w:space="0" w:color="auto"/>
        <w:right w:val="none" w:sz="0" w:space="0" w:color="auto"/>
      </w:divBdr>
    </w:div>
    <w:div w:id="1859542167">
      <w:marLeft w:val="0"/>
      <w:marRight w:val="0"/>
      <w:marTop w:val="0"/>
      <w:marBottom w:val="180"/>
      <w:divBdr>
        <w:top w:val="none" w:sz="0" w:space="0" w:color="auto"/>
        <w:left w:val="none" w:sz="0" w:space="0" w:color="auto"/>
        <w:bottom w:val="none" w:sz="0" w:space="0" w:color="auto"/>
        <w:right w:val="none" w:sz="0" w:space="0" w:color="auto"/>
      </w:divBdr>
    </w:div>
    <w:div w:id="1862164122">
      <w:marLeft w:val="0"/>
      <w:marRight w:val="0"/>
      <w:marTop w:val="0"/>
      <w:marBottom w:val="0"/>
      <w:divBdr>
        <w:top w:val="none" w:sz="0" w:space="0" w:color="auto"/>
        <w:left w:val="none" w:sz="0" w:space="0" w:color="auto"/>
        <w:bottom w:val="none" w:sz="0" w:space="0" w:color="auto"/>
        <w:right w:val="none" w:sz="0" w:space="0" w:color="auto"/>
      </w:divBdr>
      <w:divsChild>
        <w:div w:id="928735108">
          <w:marLeft w:val="0"/>
          <w:marRight w:val="0"/>
          <w:marTop w:val="0"/>
          <w:marBottom w:val="0"/>
          <w:divBdr>
            <w:top w:val="none" w:sz="0" w:space="0" w:color="auto"/>
            <w:left w:val="none" w:sz="0" w:space="0" w:color="auto"/>
            <w:bottom w:val="none" w:sz="0" w:space="0" w:color="auto"/>
            <w:right w:val="none" w:sz="0" w:space="0" w:color="auto"/>
          </w:divBdr>
        </w:div>
      </w:divsChild>
    </w:div>
    <w:div w:id="1864052855">
      <w:marLeft w:val="0"/>
      <w:marRight w:val="0"/>
      <w:marTop w:val="120"/>
      <w:marBottom w:val="180"/>
      <w:divBdr>
        <w:top w:val="none" w:sz="0" w:space="0" w:color="auto"/>
        <w:left w:val="none" w:sz="0" w:space="0" w:color="auto"/>
        <w:bottom w:val="none" w:sz="0" w:space="0" w:color="auto"/>
        <w:right w:val="none" w:sz="0" w:space="0" w:color="auto"/>
      </w:divBdr>
    </w:div>
    <w:div w:id="1868054603">
      <w:marLeft w:val="0"/>
      <w:marRight w:val="0"/>
      <w:marTop w:val="120"/>
      <w:marBottom w:val="120"/>
      <w:divBdr>
        <w:top w:val="none" w:sz="0" w:space="0" w:color="auto"/>
        <w:left w:val="none" w:sz="0" w:space="0" w:color="auto"/>
        <w:bottom w:val="none" w:sz="0" w:space="0" w:color="auto"/>
        <w:right w:val="none" w:sz="0" w:space="0" w:color="auto"/>
      </w:divBdr>
    </w:div>
    <w:div w:id="1868328339">
      <w:marLeft w:val="0"/>
      <w:marRight w:val="0"/>
      <w:marTop w:val="180"/>
      <w:marBottom w:val="180"/>
      <w:divBdr>
        <w:top w:val="none" w:sz="0" w:space="0" w:color="auto"/>
        <w:left w:val="none" w:sz="0" w:space="0" w:color="auto"/>
        <w:bottom w:val="none" w:sz="0" w:space="0" w:color="auto"/>
        <w:right w:val="none" w:sz="0" w:space="0" w:color="auto"/>
      </w:divBdr>
    </w:div>
    <w:div w:id="1872919508">
      <w:marLeft w:val="0"/>
      <w:marRight w:val="0"/>
      <w:marTop w:val="120"/>
      <w:marBottom w:val="120"/>
      <w:divBdr>
        <w:top w:val="none" w:sz="0" w:space="0" w:color="auto"/>
        <w:left w:val="none" w:sz="0" w:space="0" w:color="auto"/>
        <w:bottom w:val="none" w:sz="0" w:space="0" w:color="auto"/>
        <w:right w:val="none" w:sz="0" w:space="0" w:color="auto"/>
      </w:divBdr>
    </w:div>
    <w:div w:id="1875922342">
      <w:marLeft w:val="0"/>
      <w:marRight w:val="0"/>
      <w:marTop w:val="0"/>
      <w:marBottom w:val="0"/>
      <w:divBdr>
        <w:top w:val="none" w:sz="0" w:space="0" w:color="auto"/>
        <w:left w:val="none" w:sz="0" w:space="0" w:color="auto"/>
        <w:bottom w:val="none" w:sz="0" w:space="0" w:color="auto"/>
        <w:right w:val="none" w:sz="0" w:space="0" w:color="auto"/>
      </w:divBdr>
    </w:div>
    <w:div w:id="1880390129">
      <w:marLeft w:val="0"/>
      <w:marRight w:val="0"/>
      <w:marTop w:val="0"/>
      <w:marBottom w:val="0"/>
      <w:divBdr>
        <w:top w:val="none" w:sz="0" w:space="0" w:color="auto"/>
        <w:left w:val="none" w:sz="0" w:space="0" w:color="auto"/>
        <w:bottom w:val="none" w:sz="0" w:space="0" w:color="auto"/>
        <w:right w:val="none" w:sz="0" w:space="0" w:color="auto"/>
      </w:divBdr>
      <w:divsChild>
        <w:div w:id="2025204799">
          <w:marLeft w:val="0"/>
          <w:marRight w:val="0"/>
          <w:marTop w:val="0"/>
          <w:marBottom w:val="0"/>
          <w:divBdr>
            <w:top w:val="none" w:sz="0" w:space="0" w:color="auto"/>
            <w:left w:val="none" w:sz="0" w:space="0" w:color="auto"/>
            <w:bottom w:val="none" w:sz="0" w:space="0" w:color="auto"/>
            <w:right w:val="none" w:sz="0" w:space="0" w:color="auto"/>
          </w:divBdr>
        </w:div>
      </w:divsChild>
    </w:div>
    <w:div w:id="1883862476">
      <w:marLeft w:val="0"/>
      <w:marRight w:val="0"/>
      <w:marTop w:val="0"/>
      <w:marBottom w:val="0"/>
      <w:divBdr>
        <w:top w:val="none" w:sz="0" w:space="0" w:color="auto"/>
        <w:left w:val="none" w:sz="0" w:space="0" w:color="auto"/>
        <w:bottom w:val="none" w:sz="0" w:space="0" w:color="auto"/>
        <w:right w:val="none" w:sz="0" w:space="0" w:color="auto"/>
      </w:divBdr>
    </w:div>
    <w:div w:id="1884556867">
      <w:marLeft w:val="0"/>
      <w:marRight w:val="0"/>
      <w:marTop w:val="100"/>
      <w:marBottom w:val="0"/>
      <w:divBdr>
        <w:top w:val="none" w:sz="0" w:space="0" w:color="auto"/>
        <w:left w:val="none" w:sz="0" w:space="0" w:color="auto"/>
        <w:bottom w:val="none" w:sz="0" w:space="0" w:color="auto"/>
        <w:right w:val="none" w:sz="0" w:space="0" w:color="auto"/>
      </w:divBdr>
    </w:div>
    <w:div w:id="1885753306">
      <w:marLeft w:val="0"/>
      <w:marRight w:val="0"/>
      <w:marTop w:val="0"/>
      <w:marBottom w:val="180"/>
      <w:divBdr>
        <w:top w:val="none" w:sz="0" w:space="0" w:color="auto"/>
        <w:left w:val="none" w:sz="0" w:space="0" w:color="auto"/>
        <w:bottom w:val="none" w:sz="0" w:space="0" w:color="auto"/>
        <w:right w:val="none" w:sz="0" w:space="0" w:color="auto"/>
      </w:divBdr>
    </w:div>
    <w:div w:id="1890998498">
      <w:marLeft w:val="0"/>
      <w:marRight w:val="0"/>
      <w:marTop w:val="0"/>
      <w:marBottom w:val="240"/>
      <w:divBdr>
        <w:top w:val="none" w:sz="0" w:space="0" w:color="auto"/>
        <w:left w:val="none" w:sz="0" w:space="0" w:color="auto"/>
        <w:bottom w:val="none" w:sz="0" w:space="0" w:color="auto"/>
        <w:right w:val="none" w:sz="0" w:space="0" w:color="auto"/>
      </w:divBdr>
    </w:div>
    <w:div w:id="1891184687">
      <w:marLeft w:val="0"/>
      <w:marRight w:val="0"/>
      <w:marTop w:val="0"/>
      <w:marBottom w:val="240"/>
      <w:divBdr>
        <w:top w:val="none" w:sz="0" w:space="0" w:color="auto"/>
        <w:left w:val="none" w:sz="0" w:space="0" w:color="auto"/>
        <w:bottom w:val="none" w:sz="0" w:space="0" w:color="auto"/>
        <w:right w:val="none" w:sz="0" w:space="0" w:color="auto"/>
      </w:divBdr>
    </w:div>
    <w:div w:id="1891381331">
      <w:marLeft w:val="0"/>
      <w:marRight w:val="0"/>
      <w:marTop w:val="0"/>
      <w:marBottom w:val="0"/>
      <w:divBdr>
        <w:top w:val="none" w:sz="0" w:space="0" w:color="auto"/>
        <w:left w:val="none" w:sz="0" w:space="0" w:color="auto"/>
        <w:bottom w:val="none" w:sz="0" w:space="0" w:color="auto"/>
        <w:right w:val="none" w:sz="0" w:space="0" w:color="auto"/>
      </w:divBdr>
      <w:divsChild>
        <w:div w:id="1971550770">
          <w:marLeft w:val="0"/>
          <w:marRight w:val="0"/>
          <w:marTop w:val="0"/>
          <w:marBottom w:val="0"/>
          <w:divBdr>
            <w:top w:val="none" w:sz="0" w:space="0" w:color="auto"/>
            <w:left w:val="none" w:sz="0" w:space="0" w:color="auto"/>
            <w:bottom w:val="none" w:sz="0" w:space="0" w:color="auto"/>
            <w:right w:val="none" w:sz="0" w:space="0" w:color="auto"/>
          </w:divBdr>
        </w:div>
      </w:divsChild>
    </w:div>
    <w:div w:id="1892576713">
      <w:marLeft w:val="0"/>
      <w:marRight w:val="0"/>
      <w:marTop w:val="180"/>
      <w:marBottom w:val="180"/>
      <w:divBdr>
        <w:top w:val="none" w:sz="0" w:space="0" w:color="auto"/>
        <w:left w:val="none" w:sz="0" w:space="0" w:color="auto"/>
        <w:bottom w:val="none" w:sz="0" w:space="0" w:color="auto"/>
        <w:right w:val="none" w:sz="0" w:space="0" w:color="auto"/>
      </w:divBdr>
    </w:div>
    <w:div w:id="1893151697">
      <w:marLeft w:val="0"/>
      <w:marRight w:val="0"/>
      <w:marTop w:val="0"/>
      <w:marBottom w:val="0"/>
      <w:divBdr>
        <w:top w:val="none" w:sz="0" w:space="0" w:color="auto"/>
        <w:left w:val="none" w:sz="0" w:space="0" w:color="auto"/>
        <w:bottom w:val="none" w:sz="0" w:space="0" w:color="auto"/>
        <w:right w:val="none" w:sz="0" w:space="0" w:color="auto"/>
      </w:divBdr>
    </w:div>
    <w:div w:id="1894392808">
      <w:marLeft w:val="0"/>
      <w:marRight w:val="0"/>
      <w:marTop w:val="100"/>
      <w:marBottom w:val="0"/>
      <w:divBdr>
        <w:top w:val="none" w:sz="0" w:space="0" w:color="auto"/>
        <w:left w:val="none" w:sz="0" w:space="0" w:color="auto"/>
        <w:bottom w:val="none" w:sz="0" w:space="0" w:color="auto"/>
        <w:right w:val="none" w:sz="0" w:space="0" w:color="auto"/>
      </w:divBdr>
    </w:div>
    <w:div w:id="1895778198">
      <w:marLeft w:val="0"/>
      <w:marRight w:val="0"/>
      <w:marTop w:val="100"/>
      <w:marBottom w:val="0"/>
      <w:divBdr>
        <w:top w:val="none" w:sz="0" w:space="0" w:color="auto"/>
        <w:left w:val="none" w:sz="0" w:space="0" w:color="auto"/>
        <w:bottom w:val="none" w:sz="0" w:space="0" w:color="auto"/>
        <w:right w:val="none" w:sz="0" w:space="0" w:color="auto"/>
      </w:divBdr>
      <w:divsChild>
        <w:div w:id="1175730007">
          <w:marLeft w:val="0"/>
          <w:marRight w:val="0"/>
          <w:marTop w:val="0"/>
          <w:marBottom w:val="0"/>
          <w:divBdr>
            <w:top w:val="none" w:sz="0" w:space="0" w:color="auto"/>
            <w:left w:val="none" w:sz="0" w:space="0" w:color="auto"/>
            <w:bottom w:val="none" w:sz="0" w:space="0" w:color="auto"/>
            <w:right w:val="none" w:sz="0" w:space="0" w:color="auto"/>
          </w:divBdr>
        </w:div>
        <w:div w:id="354502686">
          <w:marLeft w:val="0"/>
          <w:marRight w:val="0"/>
          <w:marTop w:val="0"/>
          <w:marBottom w:val="0"/>
          <w:divBdr>
            <w:top w:val="none" w:sz="0" w:space="0" w:color="auto"/>
            <w:left w:val="none" w:sz="0" w:space="0" w:color="auto"/>
            <w:bottom w:val="none" w:sz="0" w:space="0" w:color="auto"/>
            <w:right w:val="none" w:sz="0" w:space="0" w:color="auto"/>
          </w:divBdr>
        </w:div>
        <w:div w:id="1265309042">
          <w:marLeft w:val="0"/>
          <w:marRight w:val="0"/>
          <w:marTop w:val="0"/>
          <w:marBottom w:val="0"/>
          <w:divBdr>
            <w:top w:val="none" w:sz="0" w:space="0" w:color="auto"/>
            <w:left w:val="none" w:sz="0" w:space="0" w:color="auto"/>
            <w:bottom w:val="none" w:sz="0" w:space="0" w:color="auto"/>
            <w:right w:val="none" w:sz="0" w:space="0" w:color="auto"/>
          </w:divBdr>
        </w:div>
        <w:div w:id="1062409660">
          <w:marLeft w:val="0"/>
          <w:marRight w:val="0"/>
          <w:marTop w:val="0"/>
          <w:marBottom w:val="0"/>
          <w:divBdr>
            <w:top w:val="none" w:sz="0" w:space="0" w:color="auto"/>
            <w:left w:val="none" w:sz="0" w:space="0" w:color="auto"/>
            <w:bottom w:val="none" w:sz="0" w:space="0" w:color="auto"/>
            <w:right w:val="none" w:sz="0" w:space="0" w:color="auto"/>
          </w:divBdr>
        </w:div>
      </w:divsChild>
    </w:div>
    <w:div w:id="1896117143">
      <w:marLeft w:val="0"/>
      <w:marRight w:val="0"/>
      <w:marTop w:val="120"/>
      <w:marBottom w:val="240"/>
      <w:divBdr>
        <w:top w:val="none" w:sz="0" w:space="0" w:color="auto"/>
        <w:left w:val="none" w:sz="0" w:space="0" w:color="auto"/>
        <w:bottom w:val="none" w:sz="0" w:space="0" w:color="auto"/>
        <w:right w:val="none" w:sz="0" w:space="0" w:color="auto"/>
      </w:divBdr>
    </w:div>
    <w:div w:id="1898080923">
      <w:marLeft w:val="0"/>
      <w:marRight w:val="0"/>
      <w:marTop w:val="0"/>
      <w:marBottom w:val="240"/>
      <w:divBdr>
        <w:top w:val="none" w:sz="0" w:space="0" w:color="auto"/>
        <w:left w:val="none" w:sz="0" w:space="0" w:color="auto"/>
        <w:bottom w:val="none" w:sz="0" w:space="0" w:color="auto"/>
        <w:right w:val="none" w:sz="0" w:space="0" w:color="auto"/>
      </w:divBdr>
    </w:div>
    <w:div w:id="1898860672">
      <w:marLeft w:val="0"/>
      <w:marRight w:val="0"/>
      <w:marTop w:val="0"/>
      <w:marBottom w:val="180"/>
      <w:divBdr>
        <w:top w:val="none" w:sz="0" w:space="0" w:color="auto"/>
        <w:left w:val="none" w:sz="0" w:space="0" w:color="auto"/>
        <w:bottom w:val="none" w:sz="0" w:space="0" w:color="auto"/>
        <w:right w:val="none" w:sz="0" w:space="0" w:color="auto"/>
      </w:divBdr>
    </w:div>
    <w:div w:id="1899627299">
      <w:marLeft w:val="0"/>
      <w:marRight w:val="0"/>
      <w:marTop w:val="0"/>
      <w:marBottom w:val="0"/>
      <w:divBdr>
        <w:top w:val="none" w:sz="0" w:space="0" w:color="auto"/>
        <w:left w:val="none" w:sz="0" w:space="0" w:color="auto"/>
        <w:bottom w:val="none" w:sz="0" w:space="0" w:color="auto"/>
        <w:right w:val="none" w:sz="0" w:space="0" w:color="auto"/>
      </w:divBdr>
      <w:divsChild>
        <w:div w:id="1908225427">
          <w:marLeft w:val="0"/>
          <w:marRight w:val="0"/>
          <w:marTop w:val="0"/>
          <w:marBottom w:val="0"/>
          <w:divBdr>
            <w:top w:val="none" w:sz="0" w:space="0" w:color="auto"/>
            <w:left w:val="none" w:sz="0" w:space="0" w:color="auto"/>
            <w:bottom w:val="none" w:sz="0" w:space="0" w:color="auto"/>
            <w:right w:val="none" w:sz="0" w:space="0" w:color="auto"/>
          </w:divBdr>
        </w:div>
      </w:divsChild>
    </w:div>
    <w:div w:id="1900285223">
      <w:marLeft w:val="0"/>
      <w:marRight w:val="0"/>
      <w:marTop w:val="0"/>
      <w:marBottom w:val="240"/>
      <w:divBdr>
        <w:top w:val="none" w:sz="0" w:space="0" w:color="auto"/>
        <w:left w:val="none" w:sz="0" w:space="0" w:color="auto"/>
        <w:bottom w:val="none" w:sz="0" w:space="0" w:color="auto"/>
        <w:right w:val="none" w:sz="0" w:space="0" w:color="auto"/>
      </w:divBdr>
    </w:div>
    <w:div w:id="1900820746">
      <w:marLeft w:val="0"/>
      <w:marRight w:val="0"/>
      <w:marTop w:val="180"/>
      <w:marBottom w:val="18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sChild>
        <w:div w:id="2050105142">
          <w:marLeft w:val="0"/>
          <w:marRight w:val="0"/>
          <w:marTop w:val="0"/>
          <w:marBottom w:val="0"/>
          <w:divBdr>
            <w:top w:val="none" w:sz="0" w:space="0" w:color="auto"/>
            <w:left w:val="none" w:sz="0" w:space="0" w:color="auto"/>
            <w:bottom w:val="none" w:sz="0" w:space="0" w:color="auto"/>
            <w:right w:val="none" w:sz="0" w:space="0" w:color="auto"/>
          </w:divBdr>
        </w:div>
      </w:divsChild>
    </w:div>
    <w:div w:id="1904565311">
      <w:marLeft w:val="0"/>
      <w:marRight w:val="0"/>
      <w:marTop w:val="0"/>
      <w:marBottom w:val="180"/>
      <w:divBdr>
        <w:top w:val="none" w:sz="0" w:space="0" w:color="auto"/>
        <w:left w:val="none" w:sz="0" w:space="0" w:color="auto"/>
        <w:bottom w:val="none" w:sz="0" w:space="0" w:color="auto"/>
        <w:right w:val="none" w:sz="0" w:space="0" w:color="auto"/>
      </w:divBdr>
    </w:div>
    <w:div w:id="1906525216">
      <w:marLeft w:val="0"/>
      <w:marRight w:val="0"/>
      <w:marTop w:val="0"/>
      <w:marBottom w:val="0"/>
      <w:divBdr>
        <w:top w:val="none" w:sz="0" w:space="0" w:color="auto"/>
        <w:left w:val="none" w:sz="0" w:space="0" w:color="auto"/>
        <w:bottom w:val="none" w:sz="0" w:space="0" w:color="auto"/>
        <w:right w:val="none" w:sz="0" w:space="0" w:color="auto"/>
      </w:divBdr>
    </w:div>
    <w:div w:id="1907375256">
      <w:marLeft w:val="0"/>
      <w:marRight w:val="0"/>
      <w:marTop w:val="0"/>
      <w:marBottom w:val="0"/>
      <w:divBdr>
        <w:top w:val="none" w:sz="0" w:space="0" w:color="auto"/>
        <w:left w:val="none" w:sz="0" w:space="0" w:color="auto"/>
        <w:bottom w:val="none" w:sz="0" w:space="0" w:color="auto"/>
        <w:right w:val="none" w:sz="0" w:space="0" w:color="auto"/>
      </w:divBdr>
      <w:divsChild>
        <w:div w:id="537468526">
          <w:marLeft w:val="0"/>
          <w:marRight w:val="0"/>
          <w:marTop w:val="0"/>
          <w:marBottom w:val="0"/>
          <w:divBdr>
            <w:top w:val="none" w:sz="0" w:space="0" w:color="auto"/>
            <w:left w:val="none" w:sz="0" w:space="0" w:color="auto"/>
            <w:bottom w:val="none" w:sz="0" w:space="0" w:color="auto"/>
            <w:right w:val="none" w:sz="0" w:space="0" w:color="auto"/>
          </w:divBdr>
        </w:div>
      </w:divsChild>
    </w:div>
    <w:div w:id="1909148385">
      <w:marLeft w:val="0"/>
      <w:marRight w:val="0"/>
      <w:marTop w:val="0"/>
      <w:marBottom w:val="240"/>
      <w:divBdr>
        <w:top w:val="none" w:sz="0" w:space="0" w:color="auto"/>
        <w:left w:val="none" w:sz="0" w:space="0" w:color="auto"/>
        <w:bottom w:val="none" w:sz="0" w:space="0" w:color="auto"/>
        <w:right w:val="none" w:sz="0" w:space="0" w:color="auto"/>
      </w:divBdr>
    </w:div>
    <w:div w:id="1912424981">
      <w:marLeft w:val="0"/>
      <w:marRight w:val="0"/>
      <w:marTop w:val="0"/>
      <w:marBottom w:val="0"/>
      <w:divBdr>
        <w:top w:val="none" w:sz="0" w:space="0" w:color="auto"/>
        <w:left w:val="none" w:sz="0" w:space="0" w:color="auto"/>
        <w:bottom w:val="none" w:sz="0" w:space="0" w:color="auto"/>
        <w:right w:val="none" w:sz="0" w:space="0" w:color="auto"/>
      </w:divBdr>
    </w:div>
    <w:div w:id="1912471647">
      <w:marLeft w:val="0"/>
      <w:marRight w:val="0"/>
      <w:marTop w:val="0"/>
      <w:marBottom w:val="0"/>
      <w:divBdr>
        <w:top w:val="none" w:sz="0" w:space="0" w:color="auto"/>
        <w:left w:val="none" w:sz="0" w:space="0" w:color="auto"/>
        <w:bottom w:val="none" w:sz="0" w:space="0" w:color="auto"/>
        <w:right w:val="none" w:sz="0" w:space="0" w:color="auto"/>
      </w:divBdr>
    </w:div>
    <w:div w:id="1914388386">
      <w:marLeft w:val="0"/>
      <w:marRight w:val="0"/>
      <w:marTop w:val="120"/>
      <w:marBottom w:val="120"/>
      <w:divBdr>
        <w:top w:val="none" w:sz="0" w:space="0" w:color="auto"/>
        <w:left w:val="none" w:sz="0" w:space="0" w:color="auto"/>
        <w:bottom w:val="none" w:sz="0" w:space="0" w:color="auto"/>
        <w:right w:val="none" w:sz="0" w:space="0" w:color="auto"/>
      </w:divBdr>
    </w:div>
    <w:div w:id="1914657308">
      <w:marLeft w:val="0"/>
      <w:marRight w:val="0"/>
      <w:marTop w:val="0"/>
      <w:marBottom w:val="180"/>
      <w:divBdr>
        <w:top w:val="none" w:sz="0" w:space="0" w:color="auto"/>
        <w:left w:val="none" w:sz="0" w:space="0" w:color="auto"/>
        <w:bottom w:val="none" w:sz="0" w:space="0" w:color="auto"/>
        <w:right w:val="none" w:sz="0" w:space="0" w:color="auto"/>
      </w:divBdr>
    </w:div>
    <w:div w:id="1914660011">
      <w:marLeft w:val="0"/>
      <w:marRight w:val="0"/>
      <w:marTop w:val="0"/>
      <w:marBottom w:val="180"/>
      <w:divBdr>
        <w:top w:val="none" w:sz="0" w:space="0" w:color="auto"/>
        <w:left w:val="none" w:sz="0" w:space="0" w:color="auto"/>
        <w:bottom w:val="none" w:sz="0" w:space="0" w:color="auto"/>
        <w:right w:val="none" w:sz="0" w:space="0" w:color="auto"/>
      </w:divBdr>
    </w:div>
    <w:div w:id="1918856314">
      <w:marLeft w:val="0"/>
      <w:marRight w:val="0"/>
      <w:marTop w:val="0"/>
      <w:marBottom w:val="180"/>
      <w:divBdr>
        <w:top w:val="none" w:sz="0" w:space="0" w:color="auto"/>
        <w:left w:val="none" w:sz="0" w:space="0" w:color="auto"/>
        <w:bottom w:val="none" w:sz="0" w:space="0" w:color="auto"/>
        <w:right w:val="none" w:sz="0" w:space="0" w:color="auto"/>
      </w:divBdr>
    </w:div>
    <w:div w:id="1921404655">
      <w:marLeft w:val="0"/>
      <w:marRight w:val="0"/>
      <w:marTop w:val="0"/>
      <w:marBottom w:val="180"/>
      <w:divBdr>
        <w:top w:val="none" w:sz="0" w:space="0" w:color="auto"/>
        <w:left w:val="none" w:sz="0" w:space="0" w:color="auto"/>
        <w:bottom w:val="none" w:sz="0" w:space="0" w:color="auto"/>
        <w:right w:val="none" w:sz="0" w:space="0" w:color="auto"/>
      </w:divBdr>
    </w:div>
    <w:div w:id="1923490591">
      <w:marLeft w:val="0"/>
      <w:marRight w:val="0"/>
      <w:marTop w:val="0"/>
      <w:marBottom w:val="240"/>
      <w:divBdr>
        <w:top w:val="none" w:sz="0" w:space="0" w:color="auto"/>
        <w:left w:val="none" w:sz="0" w:space="0" w:color="auto"/>
        <w:bottom w:val="none" w:sz="0" w:space="0" w:color="auto"/>
        <w:right w:val="none" w:sz="0" w:space="0" w:color="auto"/>
      </w:divBdr>
    </w:div>
    <w:div w:id="1928685286">
      <w:marLeft w:val="0"/>
      <w:marRight w:val="0"/>
      <w:marTop w:val="0"/>
      <w:marBottom w:val="240"/>
      <w:divBdr>
        <w:top w:val="none" w:sz="0" w:space="0" w:color="auto"/>
        <w:left w:val="none" w:sz="0" w:space="0" w:color="auto"/>
        <w:bottom w:val="none" w:sz="0" w:space="0" w:color="auto"/>
        <w:right w:val="none" w:sz="0" w:space="0" w:color="auto"/>
      </w:divBdr>
    </w:div>
    <w:div w:id="1929118192">
      <w:marLeft w:val="0"/>
      <w:marRight w:val="0"/>
      <w:marTop w:val="0"/>
      <w:marBottom w:val="0"/>
      <w:divBdr>
        <w:top w:val="none" w:sz="0" w:space="0" w:color="auto"/>
        <w:left w:val="none" w:sz="0" w:space="0" w:color="auto"/>
        <w:bottom w:val="none" w:sz="0" w:space="0" w:color="auto"/>
        <w:right w:val="none" w:sz="0" w:space="0" w:color="auto"/>
      </w:divBdr>
    </w:div>
    <w:div w:id="1929388746">
      <w:marLeft w:val="0"/>
      <w:marRight w:val="0"/>
      <w:marTop w:val="0"/>
      <w:marBottom w:val="240"/>
      <w:divBdr>
        <w:top w:val="none" w:sz="0" w:space="0" w:color="auto"/>
        <w:left w:val="none" w:sz="0" w:space="0" w:color="auto"/>
        <w:bottom w:val="none" w:sz="0" w:space="0" w:color="auto"/>
        <w:right w:val="none" w:sz="0" w:space="0" w:color="auto"/>
      </w:divBdr>
    </w:div>
    <w:div w:id="1929576715">
      <w:marLeft w:val="0"/>
      <w:marRight w:val="0"/>
      <w:marTop w:val="0"/>
      <w:marBottom w:val="0"/>
      <w:divBdr>
        <w:top w:val="none" w:sz="0" w:space="0" w:color="auto"/>
        <w:left w:val="none" w:sz="0" w:space="0" w:color="auto"/>
        <w:bottom w:val="none" w:sz="0" w:space="0" w:color="auto"/>
        <w:right w:val="none" w:sz="0" w:space="0" w:color="auto"/>
      </w:divBdr>
    </w:div>
    <w:div w:id="1930654044">
      <w:marLeft w:val="0"/>
      <w:marRight w:val="0"/>
      <w:marTop w:val="120"/>
      <w:marBottom w:val="120"/>
      <w:divBdr>
        <w:top w:val="none" w:sz="0" w:space="0" w:color="auto"/>
        <w:left w:val="none" w:sz="0" w:space="0" w:color="auto"/>
        <w:bottom w:val="none" w:sz="0" w:space="0" w:color="auto"/>
        <w:right w:val="none" w:sz="0" w:space="0" w:color="auto"/>
      </w:divBdr>
    </w:div>
    <w:div w:id="1932203074">
      <w:marLeft w:val="0"/>
      <w:marRight w:val="0"/>
      <w:marTop w:val="0"/>
      <w:marBottom w:val="0"/>
      <w:divBdr>
        <w:top w:val="none" w:sz="0" w:space="0" w:color="auto"/>
        <w:left w:val="none" w:sz="0" w:space="0" w:color="auto"/>
        <w:bottom w:val="none" w:sz="0" w:space="0" w:color="auto"/>
        <w:right w:val="none" w:sz="0" w:space="0" w:color="auto"/>
      </w:divBdr>
      <w:divsChild>
        <w:div w:id="1104301181">
          <w:marLeft w:val="0"/>
          <w:marRight w:val="0"/>
          <w:marTop w:val="0"/>
          <w:marBottom w:val="0"/>
          <w:divBdr>
            <w:top w:val="none" w:sz="0" w:space="0" w:color="auto"/>
            <w:left w:val="none" w:sz="0" w:space="0" w:color="auto"/>
            <w:bottom w:val="none" w:sz="0" w:space="0" w:color="auto"/>
            <w:right w:val="none" w:sz="0" w:space="0" w:color="auto"/>
          </w:divBdr>
        </w:div>
      </w:divsChild>
    </w:div>
    <w:div w:id="1932277083">
      <w:marLeft w:val="0"/>
      <w:marRight w:val="0"/>
      <w:marTop w:val="0"/>
      <w:marBottom w:val="0"/>
      <w:divBdr>
        <w:top w:val="none" w:sz="0" w:space="0" w:color="auto"/>
        <w:left w:val="none" w:sz="0" w:space="0" w:color="auto"/>
        <w:bottom w:val="none" w:sz="0" w:space="0" w:color="auto"/>
        <w:right w:val="none" w:sz="0" w:space="0" w:color="auto"/>
      </w:divBdr>
    </w:div>
    <w:div w:id="1932885467">
      <w:marLeft w:val="0"/>
      <w:marRight w:val="0"/>
      <w:marTop w:val="0"/>
      <w:marBottom w:val="180"/>
      <w:divBdr>
        <w:top w:val="none" w:sz="0" w:space="0" w:color="auto"/>
        <w:left w:val="none" w:sz="0" w:space="0" w:color="auto"/>
        <w:bottom w:val="none" w:sz="0" w:space="0" w:color="auto"/>
        <w:right w:val="none" w:sz="0" w:space="0" w:color="auto"/>
      </w:divBdr>
    </w:div>
    <w:div w:id="1933051328">
      <w:marLeft w:val="0"/>
      <w:marRight w:val="0"/>
      <w:marTop w:val="0"/>
      <w:marBottom w:val="0"/>
      <w:divBdr>
        <w:top w:val="none" w:sz="0" w:space="0" w:color="auto"/>
        <w:left w:val="none" w:sz="0" w:space="0" w:color="auto"/>
        <w:bottom w:val="none" w:sz="0" w:space="0" w:color="auto"/>
        <w:right w:val="none" w:sz="0" w:space="0" w:color="auto"/>
      </w:divBdr>
    </w:div>
    <w:div w:id="1936667110">
      <w:marLeft w:val="0"/>
      <w:marRight w:val="0"/>
      <w:marTop w:val="0"/>
      <w:marBottom w:val="0"/>
      <w:divBdr>
        <w:top w:val="none" w:sz="0" w:space="0" w:color="auto"/>
        <w:left w:val="none" w:sz="0" w:space="0" w:color="auto"/>
        <w:bottom w:val="none" w:sz="0" w:space="0" w:color="auto"/>
        <w:right w:val="none" w:sz="0" w:space="0" w:color="auto"/>
      </w:divBdr>
      <w:divsChild>
        <w:div w:id="419837642">
          <w:marLeft w:val="0"/>
          <w:marRight w:val="0"/>
          <w:marTop w:val="0"/>
          <w:marBottom w:val="0"/>
          <w:divBdr>
            <w:top w:val="none" w:sz="0" w:space="0" w:color="auto"/>
            <w:left w:val="none" w:sz="0" w:space="0" w:color="auto"/>
            <w:bottom w:val="none" w:sz="0" w:space="0" w:color="auto"/>
            <w:right w:val="none" w:sz="0" w:space="0" w:color="auto"/>
          </w:divBdr>
        </w:div>
      </w:divsChild>
    </w:div>
    <w:div w:id="1938831899">
      <w:marLeft w:val="0"/>
      <w:marRight w:val="0"/>
      <w:marTop w:val="0"/>
      <w:marBottom w:val="0"/>
      <w:divBdr>
        <w:top w:val="none" w:sz="0" w:space="0" w:color="auto"/>
        <w:left w:val="none" w:sz="0" w:space="0" w:color="auto"/>
        <w:bottom w:val="none" w:sz="0" w:space="0" w:color="auto"/>
        <w:right w:val="none" w:sz="0" w:space="0" w:color="auto"/>
      </w:divBdr>
      <w:divsChild>
        <w:div w:id="768696169">
          <w:marLeft w:val="0"/>
          <w:marRight w:val="0"/>
          <w:marTop w:val="0"/>
          <w:marBottom w:val="0"/>
          <w:divBdr>
            <w:top w:val="none" w:sz="0" w:space="0" w:color="auto"/>
            <w:left w:val="none" w:sz="0" w:space="0" w:color="auto"/>
            <w:bottom w:val="none" w:sz="0" w:space="0" w:color="auto"/>
            <w:right w:val="none" w:sz="0" w:space="0" w:color="auto"/>
          </w:divBdr>
        </w:div>
      </w:divsChild>
    </w:div>
    <w:div w:id="1939364116">
      <w:marLeft w:val="0"/>
      <w:marRight w:val="0"/>
      <w:marTop w:val="0"/>
      <w:marBottom w:val="180"/>
      <w:divBdr>
        <w:top w:val="none" w:sz="0" w:space="0" w:color="auto"/>
        <w:left w:val="none" w:sz="0" w:space="0" w:color="auto"/>
        <w:bottom w:val="none" w:sz="0" w:space="0" w:color="auto"/>
        <w:right w:val="none" w:sz="0" w:space="0" w:color="auto"/>
      </w:divBdr>
    </w:div>
    <w:div w:id="1940287787">
      <w:marLeft w:val="0"/>
      <w:marRight w:val="0"/>
      <w:marTop w:val="0"/>
      <w:marBottom w:val="180"/>
      <w:divBdr>
        <w:top w:val="none" w:sz="0" w:space="0" w:color="auto"/>
        <w:left w:val="none" w:sz="0" w:space="0" w:color="auto"/>
        <w:bottom w:val="none" w:sz="0" w:space="0" w:color="auto"/>
        <w:right w:val="none" w:sz="0" w:space="0" w:color="auto"/>
      </w:divBdr>
    </w:div>
    <w:div w:id="1941444837">
      <w:marLeft w:val="0"/>
      <w:marRight w:val="0"/>
      <w:marTop w:val="0"/>
      <w:marBottom w:val="0"/>
      <w:divBdr>
        <w:top w:val="none" w:sz="0" w:space="0" w:color="auto"/>
        <w:left w:val="none" w:sz="0" w:space="0" w:color="auto"/>
        <w:bottom w:val="none" w:sz="0" w:space="0" w:color="auto"/>
        <w:right w:val="none" w:sz="0" w:space="0" w:color="auto"/>
      </w:divBdr>
      <w:divsChild>
        <w:div w:id="1764690848">
          <w:marLeft w:val="0"/>
          <w:marRight w:val="0"/>
          <w:marTop w:val="0"/>
          <w:marBottom w:val="0"/>
          <w:divBdr>
            <w:top w:val="none" w:sz="0" w:space="0" w:color="auto"/>
            <w:left w:val="none" w:sz="0" w:space="0" w:color="auto"/>
            <w:bottom w:val="none" w:sz="0" w:space="0" w:color="auto"/>
            <w:right w:val="none" w:sz="0" w:space="0" w:color="auto"/>
          </w:divBdr>
        </w:div>
      </w:divsChild>
    </w:div>
    <w:div w:id="1943413541">
      <w:marLeft w:val="0"/>
      <w:marRight w:val="0"/>
      <w:marTop w:val="0"/>
      <w:marBottom w:val="0"/>
      <w:divBdr>
        <w:top w:val="none" w:sz="0" w:space="0" w:color="auto"/>
        <w:left w:val="none" w:sz="0" w:space="0" w:color="auto"/>
        <w:bottom w:val="none" w:sz="0" w:space="0" w:color="auto"/>
        <w:right w:val="none" w:sz="0" w:space="0" w:color="auto"/>
      </w:divBdr>
    </w:div>
    <w:div w:id="1944607134">
      <w:marLeft w:val="0"/>
      <w:marRight w:val="0"/>
      <w:marTop w:val="120"/>
      <w:marBottom w:val="240"/>
      <w:divBdr>
        <w:top w:val="none" w:sz="0" w:space="0" w:color="auto"/>
        <w:left w:val="none" w:sz="0" w:space="0" w:color="auto"/>
        <w:bottom w:val="none" w:sz="0" w:space="0" w:color="auto"/>
        <w:right w:val="none" w:sz="0" w:space="0" w:color="auto"/>
      </w:divBdr>
    </w:div>
    <w:div w:id="1945839647">
      <w:marLeft w:val="0"/>
      <w:marRight w:val="0"/>
      <w:marTop w:val="180"/>
      <w:marBottom w:val="180"/>
      <w:divBdr>
        <w:top w:val="none" w:sz="0" w:space="0" w:color="auto"/>
        <w:left w:val="none" w:sz="0" w:space="0" w:color="auto"/>
        <w:bottom w:val="none" w:sz="0" w:space="0" w:color="auto"/>
        <w:right w:val="none" w:sz="0" w:space="0" w:color="auto"/>
      </w:divBdr>
    </w:div>
    <w:div w:id="1950310884">
      <w:marLeft w:val="0"/>
      <w:marRight w:val="0"/>
      <w:marTop w:val="180"/>
      <w:marBottom w:val="180"/>
      <w:divBdr>
        <w:top w:val="none" w:sz="0" w:space="0" w:color="auto"/>
        <w:left w:val="none" w:sz="0" w:space="0" w:color="auto"/>
        <w:bottom w:val="none" w:sz="0" w:space="0" w:color="auto"/>
        <w:right w:val="none" w:sz="0" w:space="0" w:color="auto"/>
      </w:divBdr>
    </w:div>
    <w:div w:id="1950812087">
      <w:marLeft w:val="0"/>
      <w:marRight w:val="0"/>
      <w:marTop w:val="0"/>
      <w:marBottom w:val="240"/>
      <w:divBdr>
        <w:top w:val="none" w:sz="0" w:space="0" w:color="auto"/>
        <w:left w:val="none" w:sz="0" w:space="0" w:color="auto"/>
        <w:bottom w:val="none" w:sz="0" w:space="0" w:color="auto"/>
        <w:right w:val="none" w:sz="0" w:space="0" w:color="auto"/>
      </w:divBdr>
    </w:div>
    <w:div w:id="1950971657">
      <w:marLeft w:val="0"/>
      <w:marRight w:val="0"/>
      <w:marTop w:val="0"/>
      <w:marBottom w:val="0"/>
      <w:divBdr>
        <w:top w:val="none" w:sz="0" w:space="0" w:color="auto"/>
        <w:left w:val="none" w:sz="0" w:space="0" w:color="auto"/>
        <w:bottom w:val="none" w:sz="0" w:space="0" w:color="auto"/>
        <w:right w:val="none" w:sz="0" w:space="0" w:color="auto"/>
      </w:divBdr>
      <w:divsChild>
        <w:div w:id="136656036">
          <w:marLeft w:val="0"/>
          <w:marRight w:val="0"/>
          <w:marTop w:val="0"/>
          <w:marBottom w:val="0"/>
          <w:divBdr>
            <w:top w:val="none" w:sz="0" w:space="0" w:color="auto"/>
            <w:left w:val="none" w:sz="0" w:space="0" w:color="auto"/>
            <w:bottom w:val="none" w:sz="0" w:space="0" w:color="auto"/>
            <w:right w:val="none" w:sz="0" w:space="0" w:color="auto"/>
          </w:divBdr>
        </w:div>
        <w:div w:id="244649421">
          <w:marLeft w:val="0"/>
          <w:marRight w:val="0"/>
          <w:marTop w:val="0"/>
          <w:marBottom w:val="0"/>
          <w:divBdr>
            <w:top w:val="none" w:sz="0" w:space="0" w:color="auto"/>
            <w:left w:val="none" w:sz="0" w:space="0" w:color="auto"/>
            <w:bottom w:val="none" w:sz="0" w:space="0" w:color="auto"/>
            <w:right w:val="none" w:sz="0" w:space="0" w:color="auto"/>
          </w:divBdr>
        </w:div>
        <w:div w:id="2023627131">
          <w:marLeft w:val="0"/>
          <w:marRight w:val="0"/>
          <w:marTop w:val="0"/>
          <w:marBottom w:val="0"/>
          <w:divBdr>
            <w:top w:val="none" w:sz="0" w:space="0" w:color="auto"/>
            <w:left w:val="none" w:sz="0" w:space="0" w:color="auto"/>
            <w:bottom w:val="none" w:sz="0" w:space="0" w:color="auto"/>
            <w:right w:val="none" w:sz="0" w:space="0" w:color="auto"/>
          </w:divBdr>
        </w:div>
      </w:divsChild>
    </w:div>
    <w:div w:id="1951281973">
      <w:marLeft w:val="0"/>
      <w:marRight w:val="0"/>
      <w:marTop w:val="120"/>
      <w:marBottom w:val="120"/>
      <w:divBdr>
        <w:top w:val="none" w:sz="0" w:space="0" w:color="auto"/>
        <w:left w:val="none" w:sz="0" w:space="0" w:color="auto"/>
        <w:bottom w:val="none" w:sz="0" w:space="0" w:color="auto"/>
        <w:right w:val="none" w:sz="0" w:space="0" w:color="auto"/>
      </w:divBdr>
    </w:div>
    <w:div w:id="1951357483">
      <w:marLeft w:val="0"/>
      <w:marRight w:val="0"/>
      <w:marTop w:val="0"/>
      <w:marBottom w:val="180"/>
      <w:divBdr>
        <w:top w:val="none" w:sz="0" w:space="0" w:color="auto"/>
        <w:left w:val="none" w:sz="0" w:space="0" w:color="auto"/>
        <w:bottom w:val="none" w:sz="0" w:space="0" w:color="auto"/>
        <w:right w:val="none" w:sz="0" w:space="0" w:color="auto"/>
      </w:divBdr>
    </w:div>
    <w:div w:id="1952541676">
      <w:marLeft w:val="0"/>
      <w:marRight w:val="0"/>
      <w:marTop w:val="120"/>
      <w:marBottom w:val="120"/>
      <w:divBdr>
        <w:top w:val="none" w:sz="0" w:space="0" w:color="auto"/>
        <w:left w:val="none" w:sz="0" w:space="0" w:color="auto"/>
        <w:bottom w:val="none" w:sz="0" w:space="0" w:color="auto"/>
        <w:right w:val="none" w:sz="0" w:space="0" w:color="auto"/>
      </w:divBdr>
    </w:div>
    <w:div w:id="1953584850">
      <w:marLeft w:val="0"/>
      <w:marRight w:val="0"/>
      <w:marTop w:val="120"/>
      <w:marBottom w:val="120"/>
      <w:divBdr>
        <w:top w:val="none" w:sz="0" w:space="0" w:color="auto"/>
        <w:left w:val="none" w:sz="0" w:space="0" w:color="auto"/>
        <w:bottom w:val="none" w:sz="0" w:space="0" w:color="auto"/>
        <w:right w:val="none" w:sz="0" w:space="0" w:color="auto"/>
      </w:divBdr>
    </w:div>
    <w:div w:id="1954165923">
      <w:marLeft w:val="0"/>
      <w:marRight w:val="0"/>
      <w:marTop w:val="100"/>
      <w:marBottom w:val="0"/>
      <w:divBdr>
        <w:top w:val="none" w:sz="0" w:space="0" w:color="auto"/>
        <w:left w:val="none" w:sz="0" w:space="0" w:color="auto"/>
        <w:bottom w:val="none" w:sz="0" w:space="0" w:color="auto"/>
        <w:right w:val="none" w:sz="0" w:space="0" w:color="auto"/>
      </w:divBdr>
      <w:divsChild>
        <w:div w:id="6449338">
          <w:marLeft w:val="0"/>
          <w:marRight w:val="0"/>
          <w:marTop w:val="0"/>
          <w:marBottom w:val="0"/>
          <w:divBdr>
            <w:top w:val="none" w:sz="0" w:space="0" w:color="auto"/>
            <w:left w:val="none" w:sz="0" w:space="0" w:color="auto"/>
            <w:bottom w:val="none" w:sz="0" w:space="0" w:color="auto"/>
            <w:right w:val="none" w:sz="0" w:space="0" w:color="auto"/>
          </w:divBdr>
        </w:div>
      </w:divsChild>
    </w:div>
    <w:div w:id="1957372611">
      <w:marLeft w:val="0"/>
      <w:marRight w:val="0"/>
      <w:marTop w:val="180"/>
      <w:marBottom w:val="180"/>
      <w:divBdr>
        <w:top w:val="none" w:sz="0" w:space="0" w:color="auto"/>
        <w:left w:val="none" w:sz="0" w:space="0" w:color="auto"/>
        <w:bottom w:val="none" w:sz="0" w:space="0" w:color="auto"/>
        <w:right w:val="none" w:sz="0" w:space="0" w:color="auto"/>
      </w:divBdr>
    </w:div>
    <w:div w:id="1959528661">
      <w:marLeft w:val="0"/>
      <w:marRight w:val="0"/>
      <w:marTop w:val="100"/>
      <w:marBottom w:val="0"/>
      <w:divBdr>
        <w:top w:val="none" w:sz="0" w:space="0" w:color="auto"/>
        <w:left w:val="none" w:sz="0" w:space="0" w:color="auto"/>
        <w:bottom w:val="none" w:sz="0" w:space="0" w:color="auto"/>
        <w:right w:val="none" w:sz="0" w:space="0" w:color="auto"/>
      </w:divBdr>
      <w:divsChild>
        <w:div w:id="1559364252">
          <w:marLeft w:val="0"/>
          <w:marRight w:val="0"/>
          <w:marTop w:val="0"/>
          <w:marBottom w:val="180"/>
          <w:divBdr>
            <w:top w:val="none" w:sz="0" w:space="0" w:color="auto"/>
            <w:left w:val="none" w:sz="0" w:space="0" w:color="auto"/>
            <w:bottom w:val="none" w:sz="0" w:space="0" w:color="auto"/>
            <w:right w:val="none" w:sz="0" w:space="0" w:color="auto"/>
          </w:divBdr>
        </w:div>
      </w:divsChild>
    </w:div>
    <w:div w:id="1961647945">
      <w:marLeft w:val="0"/>
      <w:marRight w:val="0"/>
      <w:marTop w:val="100"/>
      <w:marBottom w:val="100"/>
      <w:divBdr>
        <w:top w:val="none" w:sz="0" w:space="0" w:color="auto"/>
        <w:left w:val="none" w:sz="0" w:space="0" w:color="auto"/>
        <w:bottom w:val="none" w:sz="0" w:space="0" w:color="auto"/>
        <w:right w:val="none" w:sz="0" w:space="0" w:color="auto"/>
      </w:divBdr>
    </w:div>
    <w:div w:id="1962345529">
      <w:marLeft w:val="0"/>
      <w:marRight w:val="0"/>
      <w:marTop w:val="120"/>
      <w:marBottom w:val="120"/>
      <w:divBdr>
        <w:top w:val="none" w:sz="0" w:space="0" w:color="auto"/>
        <w:left w:val="none" w:sz="0" w:space="0" w:color="auto"/>
        <w:bottom w:val="none" w:sz="0" w:space="0" w:color="auto"/>
        <w:right w:val="none" w:sz="0" w:space="0" w:color="auto"/>
      </w:divBdr>
    </w:div>
    <w:div w:id="1963294702">
      <w:marLeft w:val="0"/>
      <w:marRight w:val="0"/>
      <w:marTop w:val="0"/>
      <w:marBottom w:val="240"/>
      <w:divBdr>
        <w:top w:val="none" w:sz="0" w:space="0" w:color="auto"/>
        <w:left w:val="none" w:sz="0" w:space="0" w:color="auto"/>
        <w:bottom w:val="none" w:sz="0" w:space="0" w:color="auto"/>
        <w:right w:val="none" w:sz="0" w:space="0" w:color="auto"/>
      </w:divBdr>
    </w:div>
    <w:div w:id="1963807104">
      <w:marLeft w:val="0"/>
      <w:marRight w:val="0"/>
      <w:marTop w:val="0"/>
      <w:marBottom w:val="180"/>
      <w:divBdr>
        <w:top w:val="none" w:sz="0" w:space="0" w:color="auto"/>
        <w:left w:val="none" w:sz="0" w:space="0" w:color="auto"/>
        <w:bottom w:val="none" w:sz="0" w:space="0" w:color="auto"/>
        <w:right w:val="none" w:sz="0" w:space="0" w:color="auto"/>
      </w:divBdr>
    </w:div>
    <w:div w:id="1965185174">
      <w:marLeft w:val="0"/>
      <w:marRight w:val="0"/>
      <w:marTop w:val="0"/>
      <w:marBottom w:val="0"/>
      <w:divBdr>
        <w:top w:val="none" w:sz="0" w:space="0" w:color="auto"/>
        <w:left w:val="none" w:sz="0" w:space="0" w:color="auto"/>
        <w:bottom w:val="none" w:sz="0" w:space="0" w:color="auto"/>
        <w:right w:val="none" w:sz="0" w:space="0" w:color="auto"/>
      </w:divBdr>
      <w:divsChild>
        <w:div w:id="716048875">
          <w:marLeft w:val="0"/>
          <w:marRight w:val="0"/>
          <w:marTop w:val="0"/>
          <w:marBottom w:val="0"/>
          <w:divBdr>
            <w:top w:val="none" w:sz="0" w:space="0" w:color="auto"/>
            <w:left w:val="none" w:sz="0" w:space="0" w:color="auto"/>
            <w:bottom w:val="none" w:sz="0" w:space="0" w:color="auto"/>
            <w:right w:val="none" w:sz="0" w:space="0" w:color="auto"/>
          </w:divBdr>
        </w:div>
      </w:divsChild>
    </w:div>
    <w:div w:id="1965765472">
      <w:marLeft w:val="0"/>
      <w:marRight w:val="0"/>
      <w:marTop w:val="0"/>
      <w:marBottom w:val="240"/>
      <w:divBdr>
        <w:top w:val="none" w:sz="0" w:space="0" w:color="auto"/>
        <w:left w:val="none" w:sz="0" w:space="0" w:color="auto"/>
        <w:bottom w:val="none" w:sz="0" w:space="0" w:color="auto"/>
        <w:right w:val="none" w:sz="0" w:space="0" w:color="auto"/>
      </w:divBdr>
    </w:div>
    <w:div w:id="1966545707">
      <w:marLeft w:val="0"/>
      <w:marRight w:val="0"/>
      <w:marTop w:val="0"/>
      <w:marBottom w:val="180"/>
      <w:divBdr>
        <w:top w:val="none" w:sz="0" w:space="0" w:color="auto"/>
        <w:left w:val="none" w:sz="0" w:space="0" w:color="auto"/>
        <w:bottom w:val="none" w:sz="0" w:space="0" w:color="auto"/>
        <w:right w:val="none" w:sz="0" w:space="0" w:color="auto"/>
      </w:divBdr>
    </w:div>
    <w:div w:id="1968930196">
      <w:marLeft w:val="0"/>
      <w:marRight w:val="0"/>
      <w:marTop w:val="0"/>
      <w:marBottom w:val="240"/>
      <w:divBdr>
        <w:top w:val="none" w:sz="0" w:space="0" w:color="auto"/>
        <w:left w:val="none" w:sz="0" w:space="0" w:color="auto"/>
        <w:bottom w:val="none" w:sz="0" w:space="0" w:color="auto"/>
        <w:right w:val="none" w:sz="0" w:space="0" w:color="auto"/>
      </w:divBdr>
    </w:div>
    <w:div w:id="1969387743">
      <w:marLeft w:val="0"/>
      <w:marRight w:val="0"/>
      <w:marTop w:val="0"/>
      <w:marBottom w:val="0"/>
      <w:divBdr>
        <w:top w:val="none" w:sz="0" w:space="0" w:color="auto"/>
        <w:left w:val="none" w:sz="0" w:space="0" w:color="auto"/>
        <w:bottom w:val="none" w:sz="0" w:space="0" w:color="auto"/>
        <w:right w:val="none" w:sz="0" w:space="0" w:color="auto"/>
      </w:divBdr>
    </w:div>
    <w:div w:id="1970167752">
      <w:marLeft w:val="0"/>
      <w:marRight w:val="0"/>
      <w:marTop w:val="0"/>
      <w:marBottom w:val="0"/>
      <w:divBdr>
        <w:top w:val="none" w:sz="0" w:space="0" w:color="auto"/>
        <w:left w:val="none" w:sz="0" w:space="0" w:color="auto"/>
        <w:bottom w:val="none" w:sz="0" w:space="0" w:color="auto"/>
        <w:right w:val="none" w:sz="0" w:space="0" w:color="auto"/>
      </w:divBdr>
      <w:divsChild>
        <w:div w:id="933435814">
          <w:marLeft w:val="0"/>
          <w:marRight w:val="0"/>
          <w:marTop w:val="0"/>
          <w:marBottom w:val="0"/>
          <w:divBdr>
            <w:top w:val="none" w:sz="0" w:space="0" w:color="auto"/>
            <w:left w:val="none" w:sz="0" w:space="0" w:color="auto"/>
            <w:bottom w:val="none" w:sz="0" w:space="0" w:color="auto"/>
            <w:right w:val="none" w:sz="0" w:space="0" w:color="auto"/>
          </w:divBdr>
        </w:div>
      </w:divsChild>
    </w:div>
    <w:div w:id="1971351967">
      <w:marLeft w:val="0"/>
      <w:marRight w:val="0"/>
      <w:marTop w:val="0"/>
      <w:marBottom w:val="0"/>
      <w:divBdr>
        <w:top w:val="none" w:sz="0" w:space="0" w:color="auto"/>
        <w:left w:val="none" w:sz="0" w:space="0" w:color="auto"/>
        <w:bottom w:val="none" w:sz="0" w:space="0" w:color="auto"/>
        <w:right w:val="none" w:sz="0" w:space="0" w:color="auto"/>
      </w:divBdr>
      <w:divsChild>
        <w:div w:id="1181550145">
          <w:marLeft w:val="0"/>
          <w:marRight w:val="0"/>
          <w:marTop w:val="0"/>
          <w:marBottom w:val="0"/>
          <w:divBdr>
            <w:top w:val="none" w:sz="0" w:space="0" w:color="auto"/>
            <w:left w:val="none" w:sz="0" w:space="0" w:color="auto"/>
            <w:bottom w:val="none" w:sz="0" w:space="0" w:color="auto"/>
            <w:right w:val="none" w:sz="0" w:space="0" w:color="auto"/>
          </w:divBdr>
        </w:div>
      </w:divsChild>
    </w:div>
    <w:div w:id="1972977346">
      <w:marLeft w:val="0"/>
      <w:marRight w:val="0"/>
      <w:marTop w:val="0"/>
      <w:marBottom w:val="240"/>
      <w:divBdr>
        <w:top w:val="none" w:sz="0" w:space="0" w:color="auto"/>
        <w:left w:val="none" w:sz="0" w:space="0" w:color="auto"/>
        <w:bottom w:val="none" w:sz="0" w:space="0" w:color="auto"/>
        <w:right w:val="none" w:sz="0" w:space="0" w:color="auto"/>
      </w:divBdr>
    </w:div>
    <w:div w:id="1975914228">
      <w:marLeft w:val="0"/>
      <w:marRight w:val="0"/>
      <w:marTop w:val="0"/>
      <w:marBottom w:val="0"/>
      <w:divBdr>
        <w:top w:val="none" w:sz="0" w:space="0" w:color="auto"/>
        <w:left w:val="none" w:sz="0" w:space="0" w:color="auto"/>
        <w:bottom w:val="none" w:sz="0" w:space="0" w:color="auto"/>
        <w:right w:val="none" w:sz="0" w:space="0" w:color="auto"/>
      </w:divBdr>
      <w:divsChild>
        <w:div w:id="853763436">
          <w:marLeft w:val="0"/>
          <w:marRight w:val="0"/>
          <w:marTop w:val="0"/>
          <w:marBottom w:val="0"/>
          <w:divBdr>
            <w:top w:val="none" w:sz="0" w:space="0" w:color="auto"/>
            <w:left w:val="none" w:sz="0" w:space="0" w:color="auto"/>
            <w:bottom w:val="none" w:sz="0" w:space="0" w:color="auto"/>
            <w:right w:val="none" w:sz="0" w:space="0" w:color="auto"/>
          </w:divBdr>
        </w:div>
      </w:divsChild>
    </w:div>
    <w:div w:id="1976832672">
      <w:marLeft w:val="0"/>
      <w:marRight w:val="0"/>
      <w:marTop w:val="0"/>
      <w:marBottom w:val="180"/>
      <w:divBdr>
        <w:top w:val="none" w:sz="0" w:space="0" w:color="auto"/>
        <w:left w:val="none" w:sz="0" w:space="0" w:color="auto"/>
        <w:bottom w:val="none" w:sz="0" w:space="0" w:color="auto"/>
        <w:right w:val="none" w:sz="0" w:space="0" w:color="auto"/>
      </w:divBdr>
    </w:div>
    <w:div w:id="1980377664">
      <w:marLeft w:val="0"/>
      <w:marRight w:val="0"/>
      <w:marTop w:val="0"/>
      <w:marBottom w:val="0"/>
      <w:divBdr>
        <w:top w:val="none" w:sz="0" w:space="0" w:color="auto"/>
        <w:left w:val="none" w:sz="0" w:space="0" w:color="auto"/>
        <w:bottom w:val="none" w:sz="0" w:space="0" w:color="auto"/>
        <w:right w:val="none" w:sz="0" w:space="0" w:color="auto"/>
      </w:divBdr>
      <w:divsChild>
        <w:div w:id="1461072649">
          <w:marLeft w:val="0"/>
          <w:marRight w:val="0"/>
          <w:marTop w:val="0"/>
          <w:marBottom w:val="0"/>
          <w:divBdr>
            <w:top w:val="none" w:sz="0" w:space="0" w:color="auto"/>
            <w:left w:val="none" w:sz="0" w:space="0" w:color="auto"/>
            <w:bottom w:val="none" w:sz="0" w:space="0" w:color="auto"/>
            <w:right w:val="none" w:sz="0" w:space="0" w:color="auto"/>
          </w:divBdr>
        </w:div>
      </w:divsChild>
    </w:div>
    <w:div w:id="1981106705">
      <w:marLeft w:val="0"/>
      <w:marRight w:val="0"/>
      <w:marTop w:val="0"/>
      <w:marBottom w:val="0"/>
      <w:divBdr>
        <w:top w:val="none" w:sz="0" w:space="0" w:color="auto"/>
        <w:left w:val="none" w:sz="0" w:space="0" w:color="auto"/>
        <w:bottom w:val="none" w:sz="0" w:space="0" w:color="auto"/>
        <w:right w:val="none" w:sz="0" w:space="0" w:color="auto"/>
      </w:divBdr>
    </w:div>
    <w:div w:id="1981613191">
      <w:marLeft w:val="0"/>
      <w:marRight w:val="0"/>
      <w:marTop w:val="0"/>
      <w:marBottom w:val="0"/>
      <w:divBdr>
        <w:top w:val="none" w:sz="0" w:space="0" w:color="auto"/>
        <w:left w:val="none" w:sz="0" w:space="0" w:color="auto"/>
        <w:bottom w:val="none" w:sz="0" w:space="0" w:color="auto"/>
        <w:right w:val="none" w:sz="0" w:space="0" w:color="auto"/>
      </w:divBdr>
      <w:divsChild>
        <w:div w:id="1658459150">
          <w:marLeft w:val="0"/>
          <w:marRight w:val="0"/>
          <w:marTop w:val="0"/>
          <w:marBottom w:val="0"/>
          <w:divBdr>
            <w:top w:val="none" w:sz="0" w:space="0" w:color="auto"/>
            <w:left w:val="none" w:sz="0" w:space="0" w:color="auto"/>
            <w:bottom w:val="none" w:sz="0" w:space="0" w:color="auto"/>
            <w:right w:val="none" w:sz="0" w:space="0" w:color="auto"/>
          </w:divBdr>
        </w:div>
      </w:divsChild>
    </w:div>
    <w:div w:id="1983463058">
      <w:marLeft w:val="0"/>
      <w:marRight w:val="0"/>
      <w:marTop w:val="0"/>
      <w:marBottom w:val="0"/>
      <w:divBdr>
        <w:top w:val="none" w:sz="0" w:space="0" w:color="auto"/>
        <w:left w:val="none" w:sz="0" w:space="0" w:color="auto"/>
        <w:bottom w:val="none" w:sz="0" w:space="0" w:color="auto"/>
        <w:right w:val="none" w:sz="0" w:space="0" w:color="auto"/>
      </w:divBdr>
    </w:div>
    <w:div w:id="1984197333">
      <w:marLeft w:val="0"/>
      <w:marRight w:val="0"/>
      <w:marTop w:val="0"/>
      <w:marBottom w:val="0"/>
      <w:divBdr>
        <w:top w:val="none" w:sz="0" w:space="0" w:color="auto"/>
        <w:left w:val="none" w:sz="0" w:space="0" w:color="auto"/>
        <w:bottom w:val="none" w:sz="0" w:space="0" w:color="auto"/>
        <w:right w:val="none" w:sz="0" w:space="0" w:color="auto"/>
      </w:divBdr>
    </w:div>
    <w:div w:id="1985893553">
      <w:marLeft w:val="0"/>
      <w:marRight w:val="0"/>
      <w:marTop w:val="0"/>
      <w:marBottom w:val="240"/>
      <w:divBdr>
        <w:top w:val="none" w:sz="0" w:space="0" w:color="auto"/>
        <w:left w:val="none" w:sz="0" w:space="0" w:color="auto"/>
        <w:bottom w:val="none" w:sz="0" w:space="0" w:color="auto"/>
        <w:right w:val="none" w:sz="0" w:space="0" w:color="auto"/>
      </w:divBdr>
    </w:div>
    <w:div w:id="1986859818">
      <w:marLeft w:val="0"/>
      <w:marRight w:val="0"/>
      <w:marTop w:val="0"/>
      <w:marBottom w:val="0"/>
      <w:divBdr>
        <w:top w:val="none" w:sz="0" w:space="0" w:color="auto"/>
        <w:left w:val="none" w:sz="0" w:space="0" w:color="auto"/>
        <w:bottom w:val="none" w:sz="0" w:space="0" w:color="auto"/>
        <w:right w:val="none" w:sz="0" w:space="0" w:color="auto"/>
      </w:divBdr>
    </w:div>
    <w:div w:id="1989748288">
      <w:marLeft w:val="0"/>
      <w:marRight w:val="0"/>
      <w:marTop w:val="0"/>
      <w:marBottom w:val="240"/>
      <w:divBdr>
        <w:top w:val="none" w:sz="0" w:space="0" w:color="auto"/>
        <w:left w:val="none" w:sz="0" w:space="0" w:color="auto"/>
        <w:bottom w:val="none" w:sz="0" w:space="0" w:color="auto"/>
        <w:right w:val="none" w:sz="0" w:space="0" w:color="auto"/>
      </w:divBdr>
    </w:div>
    <w:div w:id="1990789043">
      <w:marLeft w:val="0"/>
      <w:marRight w:val="0"/>
      <w:marTop w:val="0"/>
      <w:marBottom w:val="0"/>
      <w:divBdr>
        <w:top w:val="none" w:sz="0" w:space="0" w:color="auto"/>
        <w:left w:val="none" w:sz="0" w:space="0" w:color="auto"/>
        <w:bottom w:val="none" w:sz="0" w:space="0" w:color="auto"/>
        <w:right w:val="none" w:sz="0" w:space="0" w:color="auto"/>
      </w:divBdr>
    </w:div>
    <w:div w:id="1990941849">
      <w:marLeft w:val="0"/>
      <w:marRight w:val="0"/>
      <w:marTop w:val="0"/>
      <w:marBottom w:val="240"/>
      <w:divBdr>
        <w:top w:val="none" w:sz="0" w:space="0" w:color="auto"/>
        <w:left w:val="none" w:sz="0" w:space="0" w:color="auto"/>
        <w:bottom w:val="none" w:sz="0" w:space="0" w:color="auto"/>
        <w:right w:val="none" w:sz="0" w:space="0" w:color="auto"/>
      </w:divBdr>
    </w:div>
    <w:div w:id="1991861675">
      <w:marLeft w:val="0"/>
      <w:marRight w:val="0"/>
      <w:marTop w:val="0"/>
      <w:marBottom w:val="60"/>
      <w:divBdr>
        <w:top w:val="none" w:sz="0" w:space="0" w:color="auto"/>
        <w:left w:val="none" w:sz="0" w:space="0" w:color="auto"/>
        <w:bottom w:val="none" w:sz="0" w:space="0" w:color="auto"/>
        <w:right w:val="none" w:sz="0" w:space="0" w:color="auto"/>
      </w:divBdr>
    </w:div>
    <w:div w:id="1991984859">
      <w:marLeft w:val="0"/>
      <w:marRight w:val="0"/>
      <w:marTop w:val="0"/>
      <w:marBottom w:val="240"/>
      <w:divBdr>
        <w:top w:val="none" w:sz="0" w:space="0" w:color="auto"/>
        <w:left w:val="none" w:sz="0" w:space="0" w:color="auto"/>
        <w:bottom w:val="none" w:sz="0" w:space="0" w:color="auto"/>
        <w:right w:val="none" w:sz="0" w:space="0" w:color="auto"/>
      </w:divBdr>
    </w:div>
    <w:div w:id="1992443586">
      <w:marLeft w:val="0"/>
      <w:marRight w:val="0"/>
      <w:marTop w:val="180"/>
      <w:marBottom w:val="180"/>
      <w:divBdr>
        <w:top w:val="none" w:sz="0" w:space="0" w:color="auto"/>
        <w:left w:val="none" w:sz="0" w:space="0" w:color="auto"/>
        <w:bottom w:val="none" w:sz="0" w:space="0" w:color="auto"/>
        <w:right w:val="none" w:sz="0" w:space="0" w:color="auto"/>
      </w:divBdr>
    </w:div>
    <w:div w:id="1992516344">
      <w:marLeft w:val="0"/>
      <w:marRight w:val="0"/>
      <w:marTop w:val="0"/>
      <w:marBottom w:val="0"/>
      <w:divBdr>
        <w:top w:val="none" w:sz="0" w:space="0" w:color="auto"/>
        <w:left w:val="none" w:sz="0" w:space="0" w:color="auto"/>
        <w:bottom w:val="none" w:sz="0" w:space="0" w:color="auto"/>
        <w:right w:val="none" w:sz="0" w:space="0" w:color="auto"/>
      </w:divBdr>
      <w:divsChild>
        <w:div w:id="153379299">
          <w:marLeft w:val="0"/>
          <w:marRight w:val="0"/>
          <w:marTop w:val="0"/>
          <w:marBottom w:val="0"/>
          <w:divBdr>
            <w:top w:val="none" w:sz="0" w:space="0" w:color="auto"/>
            <w:left w:val="none" w:sz="0" w:space="0" w:color="auto"/>
            <w:bottom w:val="none" w:sz="0" w:space="0" w:color="auto"/>
            <w:right w:val="none" w:sz="0" w:space="0" w:color="auto"/>
          </w:divBdr>
        </w:div>
      </w:divsChild>
    </w:div>
    <w:div w:id="1992781701">
      <w:marLeft w:val="0"/>
      <w:marRight w:val="0"/>
      <w:marTop w:val="180"/>
      <w:marBottom w:val="180"/>
      <w:divBdr>
        <w:top w:val="none" w:sz="0" w:space="0" w:color="auto"/>
        <w:left w:val="none" w:sz="0" w:space="0" w:color="auto"/>
        <w:bottom w:val="none" w:sz="0" w:space="0" w:color="auto"/>
        <w:right w:val="none" w:sz="0" w:space="0" w:color="auto"/>
      </w:divBdr>
    </w:div>
    <w:div w:id="2001617875">
      <w:marLeft w:val="0"/>
      <w:marRight w:val="0"/>
      <w:marTop w:val="0"/>
      <w:marBottom w:val="0"/>
      <w:divBdr>
        <w:top w:val="none" w:sz="0" w:space="0" w:color="auto"/>
        <w:left w:val="none" w:sz="0" w:space="0" w:color="auto"/>
        <w:bottom w:val="none" w:sz="0" w:space="0" w:color="auto"/>
        <w:right w:val="none" w:sz="0" w:space="0" w:color="auto"/>
      </w:divBdr>
      <w:divsChild>
        <w:div w:id="190728730">
          <w:marLeft w:val="0"/>
          <w:marRight w:val="0"/>
          <w:marTop w:val="0"/>
          <w:marBottom w:val="0"/>
          <w:divBdr>
            <w:top w:val="none" w:sz="0" w:space="0" w:color="auto"/>
            <w:left w:val="none" w:sz="0" w:space="0" w:color="auto"/>
            <w:bottom w:val="none" w:sz="0" w:space="0" w:color="auto"/>
            <w:right w:val="none" w:sz="0" w:space="0" w:color="auto"/>
          </w:divBdr>
        </w:div>
      </w:divsChild>
    </w:div>
    <w:div w:id="2001736314">
      <w:marLeft w:val="0"/>
      <w:marRight w:val="0"/>
      <w:marTop w:val="0"/>
      <w:marBottom w:val="0"/>
      <w:divBdr>
        <w:top w:val="none" w:sz="0" w:space="0" w:color="auto"/>
        <w:left w:val="none" w:sz="0" w:space="0" w:color="auto"/>
        <w:bottom w:val="none" w:sz="0" w:space="0" w:color="auto"/>
        <w:right w:val="none" w:sz="0" w:space="0" w:color="auto"/>
      </w:divBdr>
      <w:divsChild>
        <w:div w:id="672923721">
          <w:marLeft w:val="0"/>
          <w:marRight w:val="0"/>
          <w:marTop w:val="0"/>
          <w:marBottom w:val="0"/>
          <w:divBdr>
            <w:top w:val="none" w:sz="0" w:space="0" w:color="auto"/>
            <w:left w:val="none" w:sz="0" w:space="0" w:color="auto"/>
            <w:bottom w:val="none" w:sz="0" w:space="0" w:color="auto"/>
            <w:right w:val="none" w:sz="0" w:space="0" w:color="auto"/>
          </w:divBdr>
          <w:divsChild>
            <w:div w:id="10141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7275">
      <w:marLeft w:val="0"/>
      <w:marRight w:val="0"/>
      <w:marTop w:val="0"/>
      <w:marBottom w:val="0"/>
      <w:divBdr>
        <w:top w:val="none" w:sz="0" w:space="0" w:color="auto"/>
        <w:left w:val="none" w:sz="0" w:space="0" w:color="auto"/>
        <w:bottom w:val="none" w:sz="0" w:space="0" w:color="auto"/>
        <w:right w:val="none" w:sz="0" w:space="0" w:color="auto"/>
      </w:divBdr>
    </w:div>
    <w:div w:id="2003196945">
      <w:marLeft w:val="0"/>
      <w:marRight w:val="0"/>
      <w:marTop w:val="0"/>
      <w:marBottom w:val="0"/>
      <w:divBdr>
        <w:top w:val="none" w:sz="0" w:space="0" w:color="auto"/>
        <w:left w:val="none" w:sz="0" w:space="0" w:color="auto"/>
        <w:bottom w:val="none" w:sz="0" w:space="0" w:color="auto"/>
        <w:right w:val="none" w:sz="0" w:space="0" w:color="auto"/>
      </w:divBdr>
      <w:divsChild>
        <w:div w:id="146168578">
          <w:marLeft w:val="0"/>
          <w:marRight w:val="0"/>
          <w:marTop w:val="0"/>
          <w:marBottom w:val="0"/>
          <w:divBdr>
            <w:top w:val="none" w:sz="0" w:space="0" w:color="auto"/>
            <w:left w:val="none" w:sz="0" w:space="0" w:color="auto"/>
            <w:bottom w:val="none" w:sz="0" w:space="0" w:color="auto"/>
            <w:right w:val="none" w:sz="0" w:space="0" w:color="auto"/>
          </w:divBdr>
        </w:div>
      </w:divsChild>
    </w:div>
    <w:div w:id="2003315313">
      <w:marLeft w:val="0"/>
      <w:marRight w:val="0"/>
      <w:marTop w:val="0"/>
      <w:marBottom w:val="0"/>
      <w:divBdr>
        <w:top w:val="none" w:sz="0" w:space="0" w:color="auto"/>
        <w:left w:val="none" w:sz="0" w:space="0" w:color="auto"/>
        <w:bottom w:val="none" w:sz="0" w:space="0" w:color="auto"/>
        <w:right w:val="none" w:sz="0" w:space="0" w:color="auto"/>
      </w:divBdr>
      <w:divsChild>
        <w:div w:id="1819299605">
          <w:marLeft w:val="0"/>
          <w:marRight w:val="0"/>
          <w:marTop w:val="0"/>
          <w:marBottom w:val="0"/>
          <w:divBdr>
            <w:top w:val="none" w:sz="0" w:space="0" w:color="auto"/>
            <w:left w:val="none" w:sz="0" w:space="0" w:color="auto"/>
            <w:bottom w:val="none" w:sz="0" w:space="0" w:color="auto"/>
            <w:right w:val="none" w:sz="0" w:space="0" w:color="auto"/>
          </w:divBdr>
        </w:div>
      </w:divsChild>
    </w:div>
    <w:div w:id="2004308673">
      <w:marLeft w:val="0"/>
      <w:marRight w:val="0"/>
      <w:marTop w:val="0"/>
      <w:marBottom w:val="0"/>
      <w:divBdr>
        <w:top w:val="none" w:sz="0" w:space="0" w:color="auto"/>
        <w:left w:val="none" w:sz="0" w:space="0" w:color="auto"/>
        <w:bottom w:val="none" w:sz="0" w:space="0" w:color="auto"/>
        <w:right w:val="none" w:sz="0" w:space="0" w:color="auto"/>
      </w:divBdr>
    </w:div>
    <w:div w:id="2006394124">
      <w:marLeft w:val="0"/>
      <w:marRight w:val="0"/>
      <w:marTop w:val="120"/>
      <w:marBottom w:val="120"/>
      <w:divBdr>
        <w:top w:val="none" w:sz="0" w:space="0" w:color="auto"/>
        <w:left w:val="none" w:sz="0" w:space="0" w:color="auto"/>
        <w:bottom w:val="none" w:sz="0" w:space="0" w:color="auto"/>
        <w:right w:val="none" w:sz="0" w:space="0" w:color="auto"/>
      </w:divBdr>
    </w:div>
    <w:div w:id="2008513005">
      <w:marLeft w:val="0"/>
      <w:marRight w:val="0"/>
      <w:marTop w:val="0"/>
      <w:marBottom w:val="0"/>
      <w:divBdr>
        <w:top w:val="none" w:sz="0" w:space="0" w:color="auto"/>
        <w:left w:val="none" w:sz="0" w:space="0" w:color="auto"/>
        <w:bottom w:val="none" w:sz="0" w:space="0" w:color="auto"/>
        <w:right w:val="none" w:sz="0" w:space="0" w:color="auto"/>
      </w:divBdr>
    </w:div>
    <w:div w:id="2008629428">
      <w:marLeft w:val="0"/>
      <w:marRight w:val="0"/>
      <w:marTop w:val="180"/>
      <w:marBottom w:val="180"/>
      <w:divBdr>
        <w:top w:val="none" w:sz="0" w:space="0" w:color="auto"/>
        <w:left w:val="none" w:sz="0" w:space="0" w:color="auto"/>
        <w:bottom w:val="none" w:sz="0" w:space="0" w:color="auto"/>
        <w:right w:val="none" w:sz="0" w:space="0" w:color="auto"/>
      </w:divBdr>
    </w:div>
    <w:div w:id="2012826278">
      <w:marLeft w:val="0"/>
      <w:marRight w:val="0"/>
      <w:marTop w:val="0"/>
      <w:marBottom w:val="240"/>
      <w:divBdr>
        <w:top w:val="none" w:sz="0" w:space="0" w:color="auto"/>
        <w:left w:val="none" w:sz="0" w:space="0" w:color="auto"/>
        <w:bottom w:val="none" w:sz="0" w:space="0" w:color="auto"/>
        <w:right w:val="none" w:sz="0" w:space="0" w:color="auto"/>
      </w:divBdr>
    </w:div>
    <w:div w:id="2013220666">
      <w:marLeft w:val="0"/>
      <w:marRight w:val="0"/>
      <w:marTop w:val="0"/>
      <w:marBottom w:val="180"/>
      <w:divBdr>
        <w:top w:val="none" w:sz="0" w:space="0" w:color="auto"/>
        <w:left w:val="none" w:sz="0" w:space="0" w:color="auto"/>
        <w:bottom w:val="none" w:sz="0" w:space="0" w:color="auto"/>
        <w:right w:val="none" w:sz="0" w:space="0" w:color="auto"/>
      </w:divBdr>
    </w:div>
    <w:div w:id="2013296147">
      <w:marLeft w:val="0"/>
      <w:marRight w:val="0"/>
      <w:marTop w:val="240"/>
      <w:marBottom w:val="0"/>
      <w:divBdr>
        <w:top w:val="none" w:sz="0" w:space="0" w:color="auto"/>
        <w:left w:val="none" w:sz="0" w:space="0" w:color="auto"/>
        <w:bottom w:val="none" w:sz="0" w:space="0" w:color="auto"/>
        <w:right w:val="none" w:sz="0" w:space="0" w:color="auto"/>
      </w:divBdr>
    </w:div>
    <w:div w:id="2013988662">
      <w:marLeft w:val="0"/>
      <w:marRight w:val="0"/>
      <w:marTop w:val="120"/>
      <w:marBottom w:val="120"/>
      <w:divBdr>
        <w:top w:val="none" w:sz="0" w:space="0" w:color="auto"/>
        <w:left w:val="none" w:sz="0" w:space="0" w:color="auto"/>
        <w:bottom w:val="none" w:sz="0" w:space="0" w:color="auto"/>
        <w:right w:val="none" w:sz="0" w:space="0" w:color="auto"/>
      </w:divBdr>
    </w:div>
    <w:div w:id="2014994225">
      <w:marLeft w:val="0"/>
      <w:marRight w:val="0"/>
      <w:marTop w:val="0"/>
      <w:marBottom w:val="0"/>
      <w:divBdr>
        <w:top w:val="none" w:sz="0" w:space="0" w:color="auto"/>
        <w:left w:val="none" w:sz="0" w:space="0" w:color="auto"/>
        <w:bottom w:val="none" w:sz="0" w:space="0" w:color="auto"/>
        <w:right w:val="none" w:sz="0" w:space="0" w:color="auto"/>
      </w:divBdr>
    </w:div>
    <w:div w:id="2015721403">
      <w:marLeft w:val="0"/>
      <w:marRight w:val="0"/>
      <w:marTop w:val="180"/>
      <w:marBottom w:val="180"/>
      <w:divBdr>
        <w:top w:val="none" w:sz="0" w:space="0" w:color="auto"/>
        <w:left w:val="none" w:sz="0" w:space="0" w:color="auto"/>
        <w:bottom w:val="none" w:sz="0" w:space="0" w:color="auto"/>
        <w:right w:val="none" w:sz="0" w:space="0" w:color="auto"/>
      </w:divBdr>
    </w:div>
    <w:div w:id="2017609205">
      <w:marLeft w:val="0"/>
      <w:marRight w:val="0"/>
      <w:marTop w:val="120"/>
      <w:marBottom w:val="120"/>
      <w:divBdr>
        <w:top w:val="none" w:sz="0" w:space="0" w:color="auto"/>
        <w:left w:val="none" w:sz="0" w:space="0" w:color="auto"/>
        <w:bottom w:val="none" w:sz="0" w:space="0" w:color="auto"/>
        <w:right w:val="none" w:sz="0" w:space="0" w:color="auto"/>
      </w:divBdr>
    </w:div>
    <w:div w:id="2017919858">
      <w:marLeft w:val="0"/>
      <w:marRight w:val="0"/>
      <w:marTop w:val="0"/>
      <w:marBottom w:val="240"/>
      <w:divBdr>
        <w:top w:val="none" w:sz="0" w:space="0" w:color="auto"/>
        <w:left w:val="none" w:sz="0" w:space="0" w:color="auto"/>
        <w:bottom w:val="none" w:sz="0" w:space="0" w:color="auto"/>
        <w:right w:val="none" w:sz="0" w:space="0" w:color="auto"/>
      </w:divBdr>
    </w:div>
    <w:div w:id="2019892724">
      <w:marLeft w:val="0"/>
      <w:marRight w:val="0"/>
      <w:marTop w:val="0"/>
      <w:marBottom w:val="0"/>
      <w:divBdr>
        <w:top w:val="none" w:sz="0" w:space="0" w:color="auto"/>
        <w:left w:val="none" w:sz="0" w:space="0" w:color="auto"/>
        <w:bottom w:val="none" w:sz="0" w:space="0" w:color="auto"/>
        <w:right w:val="none" w:sz="0" w:space="0" w:color="auto"/>
      </w:divBdr>
    </w:div>
    <w:div w:id="2024361816">
      <w:marLeft w:val="0"/>
      <w:marRight w:val="0"/>
      <w:marTop w:val="120"/>
      <w:marBottom w:val="120"/>
      <w:divBdr>
        <w:top w:val="none" w:sz="0" w:space="0" w:color="auto"/>
        <w:left w:val="none" w:sz="0" w:space="0" w:color="auto"/>
        <w:bottom w:val="none" w:sz="0" w:space="0" w:color="auto"/>
        <w:right w:val="none" w:sz="0" w:space="0" w:color="auto"/>
      </w:divBdr>
    </w:div>
    <w:div w:id="2025356675">
      <w:marLeft w:val="0"/>
      <w:marRight w:val="0"/>
      <w:marTop w:val="0"/>
      <w:marBottom w:val="180"/>
      <w:divBdr>
        <w:top w:val="none" w:sz="0" w:space="0" w:color="auto"/>
        <w:left w:val="none" w:sz="0" w:space="0" w:color="auto"/>
        <w:bottom w:val="none" w:sz="0" w:space="0" w:color="auto"/>
        <w:right w:val="none" w:sz="0" w:space="0" w:color="auto"/>
      </w:divBdr>
    </w:div>
    <w:div w:id="2025595434">
      <w:marLeft w:val="0"/>
      <w:marRight w:val="0"/>
      <w:marTop w:val="0"/>
      <w:marBottom w:val="240"/>
      <w:divBdr>
        <w:top w:val="none" w:sz="0" w:space="0" w:color="auto"/>
        <w:left w:val="none" w:sz="0" w:space="0" w:color="auto"/>
        <w:bottom w:val="none" w:sz="0" w:space="0" w:color="auto"/>
        <w:right w:val="none" w:sz="0" w:space="0" w:color="auto"/>
      </w:divBdr>
    </w:div>
    <w:div w:id="2025935181">
      <w:marLeft w:val="0"/>
      <w:marRight w:val="0"/>
      <w:marTop w:val="100"/>
      <w:marBottom w:val="0"/>
      <w:divBdr>
        <w:top w:val="none" w:sz="0" w:space="0" w:color="auto"/>
        <w:left w:val="none" w:sz="0" w:space="0" w:color="auto"/>
        <w:bottom w:val="none" w:sz="0" w:space="0" w:color="auto"/>
        <w:right w:val="none" w:sz="0" w:space="0" w:color="auto"/>
      </w:divBdr>
      <w:divsChild>
        <w:div w:id="955796835">
          <w:marLeft w:val="0"/>
          <w:marRight w:val="0"/>
          <w:marTop w:val="0"/>
          <w:marBottom w:val="0"/>
          <w:divBdr>
            <w:top w:val="none" w:sz="0" w:space="0" w:color="auto"/>
            <w:left w:val="none" w:sz="0" w:space="0" w:color="auto"/>
            <w:bottom w:val="none" w:sz="0" w:space="0" w:color="auto"/>
            <w:right w:val="none" w:sz="0" w:space="0" w:color="auto"/>
          </w:divBdr>
        </w:div>
      </w:divsChild>
    </w:div>
    <w:div w:id="2026325835">
      <w:marLeft w:val="0"/>
      <w:marRight w:val="0"/>
      <w:marTop w:val="0"/>
      <w:marBottom w:val="240"/>
      <w:divBdr>
        <w:top w:val="none" w:sz="0" w:space="0" w:color="auto"/>
        <w:left w:val="none" w:sz="0" w:space="0" w:color="auto"/>
        <w:bottom w:val="none" w:sz="0" w:space="0" w:color="auto"/>
        <w:right w:val="none" w:sz="0" w:space="0" w:color="auto"/>
      </w:divBdr>
    </w:div>
    <w:div w:id="2030596417">
      <w:marLeft w:val="0"/>
      <w:marRight w:val="0"/>
      <w:marTop w:val="0"/>
      <w:marBottom w:val="0"/>
      <w:divBdr>
        <w:top w:val="none" w:sz="0" w:space="0" w:color="auto"/>
        <w:left w:val="none" w:sz="0" w:space="0" w:color="auto"/>
        <w:bottom w:val="none" w:sz="0" w:space="0" w:color="auto"/>
        <w:right w:val="none" w:sz="0" w:space="0" w:color="auto"/>
      </w:divBdr>
      <w:divsChild>
        <w:div w:id="1970671447">
          <w:marLeft w:val="0"/>
          <w:marRight w:val="0"/>
          <w:marTop w:val="0"/>
          <w:marBottom w:val="0"/>
          <w:divBdr>
            <w:top w:val="none" w:sz="0" w:space="0" w:color="auto"/>
            <w:left w:val="none" w:sz="0" w:space="0" w:color="auto"/>
            <w:bottom w:val="none" w:sz="0" w:space="0" w:color="auto"/>
            <w:right w:val="none" w:sz="0" w:space="0" w:color="auto"/>
          </w:divBdr>
        </w:div>
      </w:divsChild>
    </w:div>
    <w:div w:id="2032217767">
      <w:marLeft w:val="0"/>
      <w:marRight w:val="0"/>
      <w:marTop w:val="0"/>
      <w:marBottom w:val="0"/>
      <w:divBdr>
        <w:top w:val="none" w:sz="0" w:space="0" w:color="auto"/>
        <w:left w:val="none" w:sz="0" w:space="0" w:color="auto"/>
        <w:bottom w:val="none" w:sz="0" w:space="0" w:color="auto"/>
        <w:right w:val="none" w:sz="0" w:space="0" w:color="auto"/>
      </w:divBdr>
    </w:div>
    <w:div w:id="2032220684">
      <w:marLeft w:val="0"/>
      <w:marRight w:val="0"/>
      <w:marTop w:val="180"/>
      <w:marBottom w:val="180"/>
      <w:divBdr>
        <w:top w:val="none" w:sz="0" w:space="0" w:color="auto"/>
        <w:left w:val="none" w:sz="0" w:space="0" w:color="auto"/>
        <w:bottom w:val="none" w:sz="0" w:space="0" w:color="auto"/>
        <w:right w:val="none" w:sz="0" w:space="0" w:color="auto"/>
      </w:divBdr>
    </w:div>
    <w:div w:id="2033337810">
      <w:marLeft w:val="0"/>
      <w:marRight w:val="0"/>
      <w:marTop w:val="0"/>
      <w:marBottom w:val="0"/>
      <w:divBdr>
        <w:top w:val="none" w:sz="0" w:space="0" w:color="auto"/>
        <w:left w:val="none" w:sz="0" w:space="0" w:color="auto"/>
        <w:bottom w:val="none" w:sz="0" w:space="0" w:color="auto"/>
        <w:right w:val="none" w:sz="0" w:space="0" w:color="auto"/>
      </w:divBdr>
      <w:divsChild>
        <w:div w:id="833107671">
          <w:marLeft w:val="0"/>
          <w:marRight w:val="0"/>
          <w:marTop w:val="0"/>
          <w:marBottom w:val="0"/>
          <w:divBdr>
            <w:top w:val="none" w:sz="0" w:space="0" w:color="auto"/>
            <w:left w:val="none" w:sz="0" w:space="0" w:color="auto"/>
            <w:bottom w:val="none" w:sz="0" w:space="0" w:color="auto"/>
            <w:right w:val="none" w:sz="0" w:space="0" w:color="auto"/>
          </w:divBdr>
        </w:div>
      </w:divsChild>
    </w:div>
    <w:div w:id="2033338628">
      <w:marLeft w:val="0"/>
      <w:marRight w:val="0"/>
      <w:marTop w:val="120"/>
      <w:marBottom w:val="120"/>
      <w:divBdr>
        <w:top w:val="none" w:sz="0" w:space="0" w:color="auto"/>
        <w:left w:val="none" w:sz="0" w:space="0" w:color="auto"/>
        <w:bottom w:val="none" w:sz="0" w:space="0" w:color="auto"/>
        <w:right w:val="none" w:sz="0" w:space="0" w:color="auto"/>
      </w:divBdr>
    </w:div>
    <w:div w:id="2033606775">
      <w:marLeft w:val="0"/>
      <w:marRight w:val="0"/>
      <w:marTop w:val="0"/>
      <w:marBottom w:val="0"/>
      <w:divBdr>
        <w:top w:val="none" w:sz="0" w:space="0" w:color="auto"/>
        <w:left w:val="none" w:sz="0" w:space="0" w:color="auto"/>
        <w:bottom w:val="none" w:sz="0" w:space="0" w:color="auto"/>
        <w:right w:val="none" w:sz="0" w:space="0" w:color="auto"/>
      </w:divBdr>
      <w:divsChild>
        <w:div w:id="1812675982">
          <w:marLeft w:val="0"/>
          <w:marRight w:val="0"/>
          <w:marTop w:val="0"/>
          <w:marBottom w:val="0"/>
          <w:divBdr>
            <w:top w:val="none" w:sz="0" w:space="0" w:color="auto"/>
            <w:left w:val="none" w:sz="0" w:space="0" w:color="auto"/>
            <w:bottom w:val="none" w:sz="0" w:space="0" w:color="auto"/>
            <w:right w:val="none" w:sz="0" w:space="0" w:color="auto"/>
          </w:divBdr>
        </w:div>
      </w:divsChild>
    </w:div>
    <w:div w:id="2034842260">
      <w:marLeft w:val="0"/>
      <w:marRight w:val="0"/>
      <w:marTop w:val="0"/>
      <w:marBottom w:val="0"/>
      <w:divBdr>
        <w:top w:val="none" w:sz="0" w:space="0" w:color="auto"/>
        <w:left w:val="none" w:sz="0" w:space="0" w:color="auto"/>
        <w:bottom w:val="none" w:sz="0" w:space="0" w:color="auto"/>
        <w:right w:val="none" w:sz="0" w:space="0" w:color="auto"/>
      </w:divBdr>
      <w:divsChild>
        <w:div w:id="1372802191">
          <w:marLeft w:val="0"/>
          <w:marRight w:val="0"/>
          <w:marTop w:val="0"/>
          <w:marBottom w:val="0"/>
          <w:divBdr>
            <w:top w:val="none" w:sz="0" w:space="0" w:color="auto"/>
            <w:left w:val="none" w:sz="0" w:space="0" w:color="auto"/>
            <w:bottom w:val="none" w:sz="0" w:space="0" w:color="auto"/>
            <w:right w:val="none" w:sz="0" w:space="0" w:color="auto"/>
          </w:divBdr>
          <w:divsChild>
            <w:div w:id="416370803">
              <w:marLeft w:val="0"/>
              <w:marRight w:val="0"/>
              <w:marTop w:val="120"/>
              <w:marBottom w:val="120"/>
              <w:divBdr>
                <w:top w:val="none" w:sz="0" w:space="0" w:color="auto"/>
                <w:left w:val="none" w:sz="0" w:space="0" w:color="auto"/>
                <w:bottom w:val="none" w:sz="0" w:space="0" w:color="auto"/>
                <w:right w:val="none" w:sz="0" w:space="0" w:color="auto"/>
              </w:divBdr>
            </w:div>
            <w:div w:id="1915431794">
              <w:marLeft w:val="0"/>
              <w:marRight w:val="0"/>
              <w:marTop w:val="0"/>
              <w:marBottom w:val="60"/>
              <w:divBdr>
                <w:top w:val="none" w:sz="0" w:space="0" w:color="auto"/>
                <w:left w:val="none" w:sz="0" w:space="0" w:color="auto"/>
                <w:bottom w:val="none" w:sz="0" w:space="0" w:color="auto"/>
                <w:right w:val="none" w:sz="0" w:space="0" w:color="auto"/>
              </w:divBdr>
            </w:div>
            <w:div w:id="1123495924">
              <w:marLeft w:val="0"/>
              <w:marRight w:val="0"/>
              <w:marTop w:val="0"/>
              <w:marBottom w:val="60"/>
              <w:divBdr>
                <w:top w:val="none" w:sz="0" w:space="0" w:color="auto"/>
                <w:left w:val="none" w:sz="0" w:space="0" w:color="auto"/>
                <w:bottom w:val="none" w:sz="0" w:space="0" w:color="auto"/>
                <w:right w:val="none" w:sz="0" w:space="0" w:color="auto"/>
              </w:divBdr>
            </w:div>
            <w:div w:id="1216115374">
              <w:marLeft w:val="0"/>
              <w:marRight w:val="0"/>
              <w:marTop w:val="0"/>
              <w:marBottom w:val="60"/>
              <w:divBdr>
                <w:top w:val="none" w:sz="0" w:space="0" w:color="auto"/>
                <w:left w:val="none" w:sz="0" w:space="0" w:color="auto"/>
                <w:bottom w:val="none" w:sz="0" w:space="0" w:color="auto"/>
                <w:right w:val="none" w:sz="0" w:space="0" w:color="auto"/>
              </w:divBdr>
            </w:div>
            <w:div w:id="790979113">
              <w:marLeft w:val="0"/>
              <w:marRight w:val="0"/>
              <w:marTop w:val="0"/>
              <w:marBottom w:val="60"/>
              <w:divBdr>
                <w:top w:val="none" w:sz="0" w:space="0" w:color="auto"/>
                <w:left w:val="none" w:sz="0" w:space="0" w:color="auto"/>
                <w:bottom w:val="none" w:sz="0" w:space="0" w:color="auto"/>
                <w:right w:val="none" w:sz="0" w:space="0" w:color="auto"/>
              </w:divBdr>
            </w:div>
            <w:div w:id="1446535571">
              <w:marLeft w:val="0"/>
              <w:marRight w:val="0"/>
              <w:marTop w:val="0"/>
              <w:marBottom w:val="60"/>
              <w:divBdr>
                <w:top w:val="none" w:sz="0" w:space="0" w:color="auto"/>
                <w:left w:val="none" w:sz="0" w:space="0" w:color="auto"/>
                <w:bottom w:val="none" w:sz="0" w:space="0" w:color="auto"/>
                <w:right w:val="none" w:sz="0" w:space="0" w:color="auto"/>
              </w:divBdr>
            </w:div>
            <w:div w:id="2058044813">
              <w:marLeft w:val="0"/>
              <w:marRight w:val="0"/>
              <w:marTop w:val="0"/>
              <w:marBottom w:val="60"/>
              <w:divBdr>
                <w:top w:val="none" w:sz="0" w:space="0" w:color="auto"/>
                <w:left w:val="none" w:sz="0" w:space="0" w:color="auto"/>
                <w:bottom w:val="none" w:sz="0" w:space="0" w:color="auto"/>
                <w:right w:val="none" w:sz="0" w:space="0" w:color="auto"/>
              </w:divBdr>
            </w:div>
            <w:div w:id="1259026082">
              <w:marLeft w:val="0"/>
              <w:marRight w:val="0"/>
              <w:marTop w:val="0"/>
              <w:marBottom w:val="60"/>
              <w:divBdr>
                <w:top w:val="none" w:sz="0" w:space="0" w:color="auto"/>
                <w:left w:val="none" w:sz="0" w:space="0" w:color="auto"/>
                <w:bottom w:val="none" w:sz="0" w:space="0" w:color="auto"/>
                <w:right w:val="none" w:sz="0" w:space="0" w:color="auto"/>
              </w:divBdr>
            </w:div>
            <w:div w:id="127282519">
              <w:marLeft w:val="0"/>
              <w:marRight w:val="0"/>
              <w:marTop w:val="0"/>
              <w:marBottom w:val="60"/>
              <w:divBdr>
                <w:top w:val="none" w:sz="0" w:space="0" w:color="auto"/>
                <w:left w:val="none" w:sz="0" w:space="0" w:color="auto"/>
                <w:bottom w:val="none" w:sz="0" w:space="0" w:color="auto"/>
                <w:right w:val="none" w:sz="0" w:space="0" w:color="auto"/>
              </w:divBdr>
            </w:div>
            <w:div w:id="124353689">
              <w:marLeft w:val="0"/>
              <w:marRight w:val="0"/>
              <w:marTop w:val="0"/>
              <w:marBottom w:val="60"/>
              <w:divBdr>
                <w:top w:val="none" w:sz="0" w:space="0" w:color="auto"/>
                <w:left w:val="none" w:sz="0" w:space="0" w:color="auto"/>
                <w:bottom w:val="none" w:sz="0" w:space="0" w:color="auto"/>
                <w:right w:val="none" w:sz="0" w:space="0" w:color="auto"/>
              </w:divBdr>
            </w:div>
            <w:div w:id="741684575">
              <w:marLeft w:val="0"/>
              <w:marRight w:val="0"/>
              <w:marTop w:val="0"/>
              <w:marBottom w:val="60"/>
              <w:divBdr>
                <w:top w:val="none" w:sz="0" w:space="0" w:color="auto"/>
                <w:left w:val="none" w:sz="0" w:space="0" w:color="auto"/>
                <w:bottom w:val="none" w:sz="0" w:space="0" w:color="auto"/>
                <w:right w:val="none" w:sz="0" w:space="0" w:color="auto"/>
              </w:divBdr>
            </w:div>
            <w:div w:id="382339574">
              <w:marLeft w:val="0"/>
              <w:marRight w:val="0"/>
              <w:marTop w:val="0"/>
              <w:marBottom w:val="60"/>
              <w:divBdr>
                <w:top w:val="none" w:sz="0" w:space="0" w:color="auto"/>
                <w:left w:val="none" w:sz="0" w:space="0" w:color="auto"/>
                <w:bottom w:val="none" w:sz="0" w:space="0" w:color="auto"/>
                <w:right w:val="none" w:sz="0" w:space="0" w:color="auto"/>
              </w:divBdr>
            </w:div>
            <w:div w:id="471480773">
              <w:marLeft w:val="0"/>
              <w:marRight w:val="0"/>
              <w:marTop w:val="0"/>
              <w:marBottom w:val="60"/>
              <w:divBdr>
                <w:top w:val="none" w:sz="0" w:space="0" w:color="auto"/>
                <w:left w:val="none" w:sz="0" w:space="0" w:color="auto"/>
                <w:bottom w:val="none" w:sz="0" w:space="0" w:color="auto"/>
                <w:right w:val="none" w:sz="0" w:space="0" w:color="auto"/>
              </w:divBdr>
            </w:div>
            <w:div w:id="1214195442">
              <w:marLeft w:val="0"/>
              <w:marRight w:val="0"/>
              <w:marTop w:val="0"/>
              <w:marBottom w:val="60"/>
              <w:divBdr>
                <w:top w:val="none" w:sz="0" w:space="0" w:color="auto"/>
                <w:left w:val="none" w:sz="0" w:space="0" w:color="auto"/>
                <w:bottom w:val="none" w:sz="0" w:space="0" w:color="auto"/>
                <w:right w:val="none" w:sz="0" w:space="0" w:color="auto"/>
              </w:divBdr>
            </w:div>
            <w:div w:id="796946500">
              <w:marLeft w:val="0"/>
              <w:marRight w:val="0"/>
              <w:marTop w:val="0"/>
              <w:marBottom w:val="180"/>
              <w:divBdr>
                <w:top w:val="none" w:sz="0" w:space="0" w:color="auto"/>
                <w:left w:val="none" w:sz="0" w:space="0" w:color="auto"/>
                <w:bottom w:val="none" w:sz="0" w:space="0" w:color="auto"/>
                <w:right w:val="none" w:sz="0" w:space="0" w:color="auto"/>
              </w:divBdr>
            </w:div>
            <w:div w:id="366296604">
              <w:marLeft w:val="0"/>
              <w:marRight w:val="0"/>
              <w:marTop w:val="0"/>
              <w:marBottom w:val="60"/>
              <w:divBdr>
                <w:top w:val="none" w:sz="0" w:space="0" w:color="auto"/>
                <w:left w:val="none" w:sz="0" w:space="0" w:color="auto"/>
                <w:bottom w:val="none" w:sz="0" w:space="0" w:color="auto"/>
                <w:right w:val="none" w:sz="0" w:space="0" w:color="auto"/>
              </w:divBdr>
            </w:div>
            <w:div w:id="1217815159">
              <w:marLeft w:val="0"/>
              <w:marRight w:val="0"/>
              <w:marTop w:val="0"/>
              <w:marBottom w:val="60"/>
              <w:divBdr>
                <w:top w:val="none" w:sz="0" w:space="0" w:color="auto"/>
                <w:left w:val="none" w:sz="0" w:space="0" w:color="auto"/>
                <w:bottom w:val="none" w:sz="0" w:space="0" w:color="auto"/>
                <w:right w:val="none" w:sz="0" w:space="0" w:color="auto"/>
              </w:divBdr>
            </w:div>
            <w:div w:id="469784734">
              <w:marLeft w:val="0"/>
              <w:marRight w:val="0"/>
              <w:marTop w:val="0"/>
              <w:marBottom w:val="60"/>
              <w:divBdr>
                <w:top w:val="none" w:sz="0" w:space="0" w:color="auto"/>
                <w:left w:val="none" w:sz="0" w:space="0" w:color="auto"/>
                <w:bottom w:val="none" w:sz="0" w:space="0" w:color="auto"/>
                <w:right w:val="none" w:sz="0" w:space="0" w:color="auto"/>
              </w:divBdr>
            </w:div>
            <w:div w:id="1134523049">
              <w:marLeft w:val="0"/>
              <w:marRight w:val="0"/>
              <w:marTop w:val="0"/>
              <w:marBottom w:val="60"/>
              <w:divBdr>
                <w:top w:val="none" w:sz="0" w:space="0" w:color="auto"/>
                <w:left w:val="none" w:sz="0" w:space="0" w:color="auto"/>
                <w:bottom w:val="none" w:sz="0" w:space="0" w:color="auto"/>
                <w:right w:val="none" w:sz="0" w:space="0" w:color="auto"/>
              </w:divBdr>
            </w:div>
            <w:div w:id="1620185007">
              <w:marLeft w:val="0"/>
              <w:marRight w:val="0"/>
              <w:marTop w:val="0"/>
              <w:marBottom w:val="60"/>
              <w:divBdr>
                <w:top w:val="none" w:sz="0" w:space="0" w:color="auto"/>
                <w:left w:val="none" w:sz="0" w:space="0" w:color="auto"/>
                <w:bottom w:val="none" w:sz="0" w:space="0" w:color="auto"/>
                <w:right w:val="none" w:sz="0" w:space="0" w:color="auto"/>
              </w:divBdr>
            </w:div>
            <w:div w:id="1263613706">
              <w:marLeft w:val="0"/>
              <w:marRight w:val="0"/>
              <w:marTop w:val="0"/>
              <w:marBottom w:val="60"/>
              <w:divBdr>
                <w:top w:val="none" w:sz="0" w:space="0" w:color="auto"/>
                <w:left w:val="none" w:sz="0" w:space="0" w:color="auto"/>
                <w:bottom w:val="none" w:sz="0" w:space="0" w:color="auto"/>
                <w:right w:val="none" w:sz="0" w:space="0" w:color="auto"/>
              </w:divBdr>
            </w:div>
            <w:div w:id="95103869">
              <w:marLeft w:val="0"/>
              <w:marRight w:val="0"/>
              <w:marTop w:val="0"/>
              <w:marBottom w:val="60"/>
              <w:divBdr>
                <w:top w:val="none" w:sz="0" w:space="0" w:color="auto"/>
                <w:left w:val="none" w:sz="0" w:space="0" w:color="auto"/>
                <w:bottom w:val="none" w:sz="0" w:space="0" w:color="auto"/>
                <w:right w:val="none" w:sz="0" w:space="0" w:color="auto"/>
              </w:divBdr>
            </w:div>
            <w:div w:id="2073385211">
              <w:marLeft w:val="0"/>
              <w:marRight w:val="0"/>
              <w:marTop w:val="0"/>
              <w:marBottom w:val="60"/>
              <w:divBdr>
                <w:top w:val="none" w:sz="0" w:space="0" w:color="auto"/>
                <w:left w:val="none" w:sz="0" w:space="0" w:color="auto"/>
                <w:bottom w:val="none" w:sz="0" w:space="0" w:color="auto"/>
                <w:right w:val="none" w:sz="0" w:space="0" w:color="auto"/>
              </w:divBdr>
            </w:div>
            <w:div w:id="1103763194">
              <w:marLeft w:val="0"/>
              <w:marRight w:val="0"/>
              <w:marTop w:val="0"/>
              <w:marBottom w:val="60"/>
              <w:divBdr>
                <w:top w:val="none" w:sz="0" w:space="0" w:color="auto"/>
                <w:left w:val="none" w:sz="0" w:space="0" w:color="auto"/>
                <w:bottom w:val="none" w:sz="0" w:space="0" w:color="auto"/>
                <w:right w:val="none" w:sz="0" w:space="0" w:color="auto"/>
              </w:divBdr>
            </w:div>
            <w:div w:id="2900683">
              <w:marLeft w:val="0"/>
              <w:marRight w:val="0"/>
              <w:marTop w:val="0"/>
              <w:marBottom w:val="60"/>
              <w:divBdr>
                <w:top w:val="none" w:sz="0" w:space="0" w:color="auto"/>
                <w:left w:val="none" w:sz="0" w:space="0" w:color="auto"/>
                <w:bottom w:val="none" w:sz="0" w:space="0" w:color="auto"/>
                <w:right w:val="none" w:sz="0" w:space="0" w:color="auto"/>
              </w:divBdr>
            </w:div>
            <w:div w:id="128597275">
              <w:marLeft w:val="0"/>
              <w:marRight w:val="0"/>
              <w:marTop w:val="0"/>
              <w:marBottom w:val="60"/>
              <w:divBdr>
                <w:top w:val="none" w:sz="0" w:space="0" w:color="auto"/>
                <w:left w:val="none" w:sz="0" w:space="0" w:color="auto"/>
                <w:bottom w:val="none" w:sz="0" w:space="0" w:color="auto"/>
                <w:right w:val="none" w:sz="0" w:space="0" w:color="auto"/>
              </w:divBdr>
            </w:div>
            <w:div w:id="1533611183">
              <w:marLeft w:val="0"/>
              <w:marRight w:val="0"/>
              <w:marTop w:val="0"/>
              <w:marBottom w:val="60"/>
              <w:divBdr>
                <w:top w:val="none" w:sz="0" w:space="0" w:color="auto"/>
                <w:left w:val="none" w:sz="0" w:space="0" w:color="auto"/>
                <w:bottom w:val="none" w:sz="0" w:space="0" w:color="auto"/>
                <w:right w:val="none" w:sz="0" w:space="0" w:color="auto"/>
              </w:divBdr>
            </w:div>
            <w:div w:id="245071857">
              <w:marLeft w:val="0"/>
              <w:marRight w:val="0"/>
              <w:marTop w:val="0"/>
              <w:marBottom w:val="60"/>
              <w:divBdr>
                <w:top w:val="none" w:sz="0" w:space="0" w:color="auto"/>
                <w:left w:val="none" w:sz="0" w:space="0" w:color="auto"/>
                <w:bottom w:val="none" w:sz="0" w:space="0" w:color="auto"/>
                <w:right w:val="none" w:sz="0" w:space="0" w:color="auto"/>
              </w:divBdr>
            </w:div>
            <w:div w:id="1620455132">
              <w:marLeft w:val="0"/>
              <w:marRight w:val="0"/>
              <w:marTop w:val="0"/>
              <w:marBottom w:val="60"/>
              <w:divBdr>
                <w:top w:val="none" w:sz="0" w:space="0" w:color="auto"/>
                <w:left w:val="none" w:sz="0" w:space="0" w:color="auto"/>
                <w:bottom w:val="none" w:sz="0" w:space="0" w:color="auto"/>
                <w:right w:val="none" w:sz="0" w:space="0" w:color="auto"/>
              </w:divBdr>
            </w:div>
            <w:div w:id="1330057351">
              <w:marLeft w:val="0"/>
              <w:marRight w:val="0"/>
              <w:marTop w:val="0"/>
              <w:marBottom w:val="60"/>
              <w:divBdr>
                <w:top w:val="none" w:sz="0" w:space="0" w:color="auto"/>
                <w:left w:val="none" w:sz="0" w:space="0" w:color="auto"/>
                <w:bottom w:val="none" w:sz="0" w:space="0" w:color="auto"/>
                <w:right w:val="none" w:sz="0" w:space="0" w:color="auto"/>
              </w:divBdr>
            </w:div>
            <w:div w:id="704059082">
              <w:marLeft w:val="0"/>
              <w:marRight w:val="0"/>
              <w:marTop w:val="0"/>
              <w:marBottom w:val="0"/>
              <w:divBdr>
                <w:top w:val="none" w:sz="0" w:space="0" w:color="auto"/>
                <w:left w:val="none" w:sz="0" w:space="0" w:color="auto"/>
                <w:bottom w:val="none" w:sz="0" w:space="0" w:color="auto"/>
                <w:right w:val="none" w:sz="0" w:space="0" w:color="auto"/>
              </w:divBdr>
            </w:div>
          </w:divsChild>
        </w:div>
        <w:div w:id="2146046156">
          <w:marLeft w:val="0"/>
          <w:marRight w:val="0"/>
          <w:marTop w:val="0"/>
          <w:marBottom w:val="0"/>
          <w:divBdr>
            <w:top w:val="none" w:sz="0" w:space="0" w:color="auto"/>
            <w:left w:val="none" w:sz="0" w:space="0" w:color="auto"/>
            <w:bottom w:val="none" w:sz="0" w:space="0" w:color="auto"/>
            <w:right w:val="none" w:sz="0" w:space="0" w:color="auto"/>
          </w:divBdr>
          <w:divsChild>
            <w:div w:id="973102801">
              <w:marLeft w:val="0"/>
              <w:marRight w:val="0"/>
              <w:marTop w:val="0"/>
              <w:marBottom w:val="60"/>
              <w:divBdr>
                <w:top w:val="none" w:sz="0" w:space="0" w:color="auto"/>
                <w:left w:val="none" w:sz="0" w:space="0" w:color="auto"/>
                <w:bottom w:val="none" w:sz="0" w:space="0" w:color="auto"/>
                <w:right w:val="none" w:sz="0" w:space="0" w:color="auto"/>
              </w:divBdr>
            </w:div>
            <w:div w:id="510147086">
              <w:marLeft w:val="0"/>
              <w:marRight w:val="0"/>
              <w:marTop w:val="0"/>
              <w:marBottom w:val="60"/>
              <w:divBdr>
                <w:top w:val="none" w:sz="0" w:space="0" w:color="auto"/>
                <w:left w:val="none" w:sz="0" w:space="0" w:color="auto"/>
                <w:bottom w:val="none" w:sz="0" w:space="0" w:color="auto"/>
                <w:right w:val="none" w:sz="0" w:space="0" w:color="auto"/>
              </w:divBdr>
            </w:div>
            <w:div w:id="1428192497">
              <w:marLeft w:val="0"/>
              <w:marRight w:val="0"/>
              <w:marTop w:val="0"/>
              <w:marBottom w:val="60"/>
              <w:divBdr>
                <w:top w:val="none" w:sz="0" w:space="0" w:color="auto"/>
                <w:left w:val="none" w:sz="0" w:space="0" w:color="auto"/>
                <w:bottom w:val="none" w:sz="0" w:space="0" w:color="auto"/>
                <w:right w:val="none" w:sz="0" w:space="0" w:color="auto"/>
              </w:divBdr>
            </w:div>
            <w:div w:id="1760524583">
              <w:marLeft w:val="0"/>
              <w:marRight w:val="0"/>
              <w:marTop w:val="0"/>
              <w:marBottom w:val="60"/>
              <w:divBdr>
                <w:top w:val="none" w:sz="0" w:space="0" w:color="auto"/>
                <w:left w:val="none" w:sz="0" w:space="0" w:color="auto"/>
                <w:bottom w:val="none" w:sz="0" w:space="0" w:color="auto"/>
                <w:right w:val="none" w:sz="0" w:space="0" w:color="auto"/>
              </w:divBdr>
            </w:div>
            <w:div w:id="1837964309">
              <w:marLeft w:val="0"/>
              <w:marRight w:val="0"/>
              <w:marTop w:val="0"/>
              <w:marBottom w:val="60"/>
              <w:divBdr>
                <w:top w:val="none" w:sz="0" w:space="0" w:color="auto"/>
                <w:left w:val="none" w:sz="0" w:space="0" w:color="auto"/>
                <w:bottom w:val="none" w:sz="0" w:space="0" w:color="auto"/>
                <w:right w:val="none" w:sz="0" w:space="0" w:color="auto"/>
              </w:divBdr>
            </w:div>
            <w:div w:id="1867785780">
              <w:marLeft w:val="0"/>
              <w:marRight w:val="0"/>
              <w:marTop w:val="0"/>
              <w:marBottom w:val="60"/>
              <w:divBdr>
                <w:top w:val="none" w:sz="0" w:space="0" w:color="auto"/>
                <w:left w:val="none" w:sz="0" w:space="0" w:color="auto"/>
                <w:bottom w:val="none" w:sz="0" w:space="0" w:color="auto"/>
                <w:right w:val="none" w:sz="0" w:space="0" w:color="auto"/>
              </w:divBdr>
            </w:div>
            <w:div w:id="790784326">
              <w:marLeft w:val="0"/>
              <w:marRight w:val="0"/>
              <w:marTop w:val="0"/>
              <w:marBottom w:val="60"/>
              <w:divBdr>
                <w:top w:val="none" w:sz="0" w:space="0" w:color="auto"/>
                <w:left w:val="none" w:sz="0" w:space="0" w:color="auto"/>
                <w:bottom w:val="none" w:sz="0" w:space="0" w:color="auto"/>
                <w:right w:val="none" w:sz="0" w:space="0" w:color="auto"/>
              </w:divBdr>
            </w:div>
            <w:div w:id="1188567949">
              <w:marLeft w:val="0"/>
              <w:marRight w:val="0"/>
              <w:marTop w:val="0"/>
              <w:marBottom w:val="60"/>
              <w:divBdr>
                <w:top w:val="none" w:sz="0" w:space="0" w:color="auto"/>
                <w:left w:val="none" w:sz="0" w:space="0" w:color="auto"/>
                <w:bottom w:val="none" w:sz="0" w:space="0" w:color="auto"/>
                <w:right w:val="none" w:sz="0" w:space="0" w:color="auto"/>
              </w:divBdr>
            </w:div>
            <w:div w:id="1893271122">
              <w:marLeft w:val="0"/>
              <w:marRight w:val="0"/>
              <w:marTop w:val="0"/>
              <w:marBottom w:val="60"/>
              <w:divBdr>
                <w:top w:val="none" w:sz="0" w:space="0" w:color="auto"/>
                <w:left w:val="none" w:sz="0" w:space="0" w:color="auto"/>
                <w:bottom w:val="none" w:sz="0" w:space="0" w:color="auto"/>
                <w:right w:val="none" w:sz="0" w:space="0" w:color="auto"/>
              </w:divBdr>
            </w:div>
            <w:div w:id="8455846">
              <w:marLeft w:val="0"/>
              <w:marRight w:val="0"/>
              <w:marTop w:val="0"/>
              <w:marBottom w:val="60"/>
              <w:divBdr>
                <w:top w:val="none" w:sz="0" w:space="0" w:color="auto"/>
                <w:left w:val="none" w:sz="0" w:space="0" w:color="auto"/>
                <w:bottom w:val="none" w:sz="0" w:space="0" w:color="auto"/>
                <w:right w:val="none" w:sz="0" w:space="0" w:color="auto"/>
              </w:divBdr>
            </w:div>
            <w:div w:id="637222946">
              <w:marLeft w:val="0"/>
              <w:marRight w:val="0"/>
              <w:marTop w:val="0"/>
              <w:marBottom w:val="60"/>
              <w:divBdr>
                <w:top w:val="none" w:sz="0" w:space="0" w:color="auto"/>
                <w:left w:val="none" w:sz="0" w:space="0" w:color="auto"/>
                <w:bottom w:val="none" w:sz="0" w:space="0" w:color="auto"/>
                <w:right w:val="none" w:sz="0" w:space="0" w:color="auto"/>
              </w:divBdr>
            </w:div>
            <w:div w:id="2024552158">
              <w:marLeft w:val="0"/>
              <w:marRight w:val="0"/>
              <w:marTop w:val="0"/>
              <w:marBottom w:val="60"/>
              <w:divBdr>
                <w:top w:val="none" w:sz="0" w:space="0" w:color="auto"/>
                <w:left w:val="none" w:sz="0" w:space="0" w:color="auto"/>
                <w:bottom w:val="none" w:sz="0" w:space="0" w:color="auto"/>
                <w:right w:val="none" w:sz="0" w:space="0" w:color="auto"/>
              </w:divBdr>
            </w:div>
            <w:div w:id="153423080">
              <w:marLeft w:val="0"/>
              <w:marRight w:val="0"/>
              <w:marTop w:val="0"/>
              <w:marBottom w:val="60"/>
              <w:divBdr>
                <w:top w:val="none" w:sz="0" w:space="0" w:color="auto"/>
                <w:left w:val="none" w:sz="0" w:space="0" w:color="auto"/>
                <w:bottom w:val="none" w:sz="0" w:space="0" w:color="auto"/>
                <w:right w:val="none" w:sz="0" w:space="0" w:color="auto"/>
              </w:divBdr>
            </w:div>
            <w:div w:id="637146978">
              <w:marLeft w:val="0"/>
              <w:marRight w:val="0"/>
              <w:marTop w:val="0"/>
              <w:marBottom w:val="60"/>
              <w:divBdr>
                <w:top w:val="none" w:sz="0" w:space="0" w:color="auto"/>
                <w:left w:val="none" w:sz="0" w:space="0" w:color="auto"/>
                <w:bottom w:val="none" w:sz="0" w:space="0" w:color="auto"/>
                <w:right w:val="none" w:sz="0" w:space="0" w:color="auto"/>
              </w:divBdr>
            </w:div>
            <w:div w:id="603684123">
              <w:marLeft w:val="0"/>
              <w:marRight w:val="0"/>
              <w:marTop w:val="0"/>
              <w:marBottom w:val="60"/>
              <w:divBdr>
                <w:top w:val="none" w:sz="0" w:space="0" w:color="auto"/>
                <w:left w:val="none" w:sz="0" w:space="0" w:color="auto"/>
                <w:bottom w:val="none" w:sz="0" w:space="0" w:color="auto"/>
                <w:right w:val="none" w:sz="0" w:space="0" w:color="auto"/>
              </w:divBdr>
            </w:div>
            <w:div w:id="726031782">
              <w:marLeft w:val="0"/>
              <w:marRight w:val="0"/>
              <w:marTop w:val="0"/>
              <w:marBottom w:val="60"/>
              <w:divBdr>
                <w:top w:val="none" w:sz="0" w:space="0" w:color="auto"/>
                <w:left w:val="none" w:sz="0" w:space="0" w:color="auto"/>
                <w:bottom w:val="none" w:sz="0" w:space="0" w:color="auto"/>
                <w:right w:val="none" w:sz="0" w:space="0" w:color="auto"/>
              </w:divBdr>
            </w:div>
            <w:div w:id="1539853628">
              <w:marLeft w:val="0"/>
              <w:marRight w:val="0"/>
              <w:marTop w:val="0"/>
              <w:marBottom w:val="60"/>
              <w:divBdr>
                <w:top w:val="none" w:sz="0" w:space="0" w:color="auto"/>
                <w:left w:val="none" w:sz="0" w:space="0" w:color="auto"/>
                <w:bottom w:val="none" w:sz="0" w:space="0" w:color="auto"/>
                <w:right w:val="none" w:sz="0" w:space="0" w:color="auto"/>
              </w:divBdr>
            </w:div>
            <w:div w:id="158270838">
              <w:marLeft w:val="0"/>
              <w:marRight w:val="0"/>
              <w:marTop w:val="0"/>
              <w:marBottom w:val="60"/>
              <w:divBdr>
                <w:top w:val="none" w:sz="0" w:space="0" w:color="auto"/>
                <w:left w:val="none" w:sz="0" w:space="0" w:color="auto"/>
                <w:bottom w:val="none" w:sz="0" w:space="0" w:color="auto"/>
                <w:right w:val="none" w:sz="0" w:space="0" w:color="auto"/>
              </w:divBdr>
            </w:div>
            <w:div w:id="382682380">
              <w:marLeft w:val="0"/>
              <w:marRight w:val="0"/>
              <w:marTop w:val="0"/>
              <w:marBottom w:val="60"/>
              <w:divBdr>
                <w:top w:val="none" w:sz="0" w:space="0" w:color="auto"/>
                <w:left w:val="none" w:sz="0" w:space="0" w:color="auto"/>
                <w:bottom w:val="none" w:sz="0" w:space="0" w:color="auto"/>
                <w:right w:val="none" w:sz="0" w:space="0" w:color="auto"/>
              </w:divBdr>
            </w:div>
            <w:div w:id="2013294168">
              <w:marLeft w:val="0"/>
              <w:marRight w:val="0"/>
              <w:marTop w:val="0"/>
              <w:marBottom w:val="60"/>
              <w:divBdr>
                <w:top w:val="none" w:sz="0" w:space="0" w:color="auto"/>
                <w:left w:val="none" w:sz="0" w:space="0" w:color="auto"/>
                <w:bottom w:val="none" w:sz="0" w:space="0" w:color="auto"/>
                <w:right w:val="none" w:sz="0" w:space="0" w:color="auto"/>
              </w:divBdr>
            </w:div>
            <w:div w:id="1283657924">
              <w:marLeft w:val="0"/>
              <w:marRight w:val="0"/>
              <w:marTop w:val="0"/>
              <w:marBottom w:val="60"/>
              <w:divBdr>
                <w:top w:val="none" w:sz="0" w:space="0" w:color="auto"/>
                <w:left w:val="none" w:sz="0" w:space="0" w:color="auto"/>
                <w:bottom w:val="none" w:sz="0" w:space="0" w:color="auto"/>
                <w:right w:val="none" w:sz="0" w:space="0" w:color="auto"/>
              </w:divBdr>
            </w:div>
            <w:div w:id="1219897617">
              <w:marLeft w:val="0"/>
              <w:marRight w:val="0"/>
              <w:marTop w:val="0"/>
              <w:marBottom w:val="60"/>
              <w:divBdr>
                <w:top w:val="none" w:sz="0" w:space="0" w:color="auto"/>
                <w:left w:val="none" w:sz="0" w:space="0" w:color="auto"/>
                <w:bottom w:val="none" w:sz="0" w:space="0" w:color="auto"/>
                <w:right w:val="none" w:sz="0" w:space="0" w:color="auto"/>
              </w:divBdr>
            </w:div>
            <w:div w:id="898580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36151666">
      <w:marLeft w:val="0"/>
      <w:marRight w:val="0"/>
      <w:marTop w:val="0"/>
      <w:marBottom w:val="180"/>
      <w:divBdr>
        <w:top w:val="none" w:sz="0" w:space="0" w:color="auto"/>
        <w:left w:val="none" w:sz="0" w:space="0" w:color="auto"/>
        <w:bottom w:val="none" w:sz="0" w:space="0" w:color="auto"/>
        <w:right w:val="none" w:sz="0" w:space="0" w:color="auto"/>
      </w:divBdr>
    </w:div>
    <w:div w:id="2036878879">
      <w:marLeft w:val="0"/>
      <w:marRight w:val="0"/>
      <w:marTop w:val="0"/>
      <w:marBottom w:val="0"/>
      <w:divBdr>
        <w:top w:val="none" w:sz="0" w:space="0" w:color="auto"/>
        <w:left w:val="none" w:sz="0" w:space="0" w:color="auto"/>
        <w:bottom w:val="none" w:sz="0" w:space="0" w:color="auto"/>
        <w:right w:val="none" w:sz="0" w:space="0" w:color="auto"/>
      </w:divBdr>
      <w:divsChild>
        <w:div w:id="1462844493">
          <w:marLeft w:val="0"/>
          <w:marRight w:val="0"/>
          <w:marTop w:val="0"/>
          <w:marBottom w:val="0"/>
          <w:divBdr>
            <w:top w:val="none" w:sz="0" w:space="0" w:color="auto"/>
            <w:left w:val="none" w:sz="0" w:space="0" w:color="auto"/>
            <w:bottom w:val="none" w:sz="0" w:space="0" w:color="auto"/>
            <w:right w:val="none" w:sz="0" w:space="0" w:color="auto"/>
          </w:divBdr>
        </w:div>
      </w:divsChild>
    </w:div>
    <w:div w:id="2037540250">
      <w:marLeft w:val="0"/>
      <w:marRight w:val="0"/>
      <w:marTop w:val="0"/>
      <w:marBottom w:val="20"/>
      <w:divBdr>
        <w:top w:val="none" w:sz="0" w:space="0" w:color="auto"/>
        <w:left w:val="none" w:sz="0" w:space="0" w:color="auto"/>
        <w:bottom w:val="none" w:sz="0" w:space="0" w:color="auto"/>
        <w:right w:val="none" w:sz="0" w:space="0" w:color="auto"/>
      </w:divBdr>
    </w:div>
    <w:div w:id="2038193127">
      <w:marLeft w:val="0"/>
      <w:marRight w:val="0"/>
      <w:marTop w:val="0"/>
      <w:marBottom w:val="0"/>
      <w:divBdr>
        <w:top w:val="none" w:sz="0" w:space="0" w:color="auto"/>
        <w:left w:val="none" w:sz="0" w:space="0" w:color="auto"/>
        <w:bottom w:val="none" w:sz="0" w:space="0" w:color="auto"/>
        <w:right w:val="none" w:sz="0" w:space="0" w:color="auto"/>
      </w:divBdr>
    </w:div>
    <w:div w:id="2040275633">
      <w:marLeft w:val="0"/>
      <w:marRight w:val="0"/>
      <w:marTop w:val="0"/>
      <w:marBottom w:val="0"/>
      <w:divBdr>
        <w:top w:val="none" w:sz="0" w:space="0" w:color="auto"/>
        <w:left w:val="none" w:sz="0" w:space="0" w:color="auto"/>
        <w:bottom w:val="none" w:sz="0" w:space="0" w:color="auto"/>
        <w:right w:val="none" w:sz="0" w:space="0" w:color="auto"/>
      </w:divBdr>
      <w:divsChild>
        <w:div w:id="2126150938">
          <w:marLeft w:val="0"/>
          <w:marRight w:val="0"/>
          <w:marTop w:val="0"/>
          <w:marBottom w:val="0"/>
          <w:divBdr>
            <w:top w:val="none" w:sz="0" w:space="0" w:color="auto"/>
            <w:left w:val="none" w:sz="0" w:space="0" w:color="auto"/>
            <w:bottom w:val="none" w:sz="0" w:space="0" w:color="auto"/>
            <w:right w:val="none" w:sz="0" w:space="0" w:color="auto"/>
          </w:divBdr>
        </w:div>
      </w:divsChild>
    </w:div>
    <w:div w:id="2043550433">
      <w:marLeft w:val="0"/>
      <w:marRight w:val="0"/>
      <w:marTop w:val="0"/>
      <w:marBottom w:val="240"/>
      <w:divBdr>
        <w:top w:val="none" w:sz="0" w:space="0" w:color="auto"/>
        <w:left w:val="none" w:sz="0" w:space="0" w:color="auto"/>
        <w:bottom w:val="none" w:sz="0" w:space="0" w:color="auto"/>
        <w:right w:val="none" w:sz="0" w:space="0" w:color="auto"/>
      </w:divBdr>
    </w:div>
    <w:div w:id="2049916649">
      <w:marLeft w:val="0"/>
      <w:marRight w:val="0"/>
      <w:marTop w:val="0"/>
      <w:marBottom w:val="0"/>
      <w:divBdr>
        <w:top w:val="none" w:sz="0" w:space="0" w:color="auto"/>
        <w:left w:val="none" w:sz="0" w:space="0" w:color="auto"/>
        <w:bottom w:val="none" w:sz="0" w:space="0" w:color="auto"/>
        <w:right w:val="none" w:sz="0" w:space="0" w:color="auto"/>
      </w:divBdr>
    </w:div>
    <w:div w:id="2050759185">
      <w:marLeft w:val="0"/>
      <w:marRight w:val="0"/>
      <w:marTop w:val="0"/>
      <w:marBottom w:val="0"/>
      <w:divBdr>
        <w:top w:val="none" w:sz="0" w:space="0" w:color="auto"/>
        <w:left w:val="none" w:sz="0" w:space="0" w:color="auto"/>
        <w:bottom w:val="none" w:sz="0" w:space="0" w:color="auto"/>
        <w:right w:val="none" w:sz="0" w:space="0" w:color="auto"/>
      </w:divBdr>
    </w:div>
    <w:div w:id="2051880318">
      <w:marLeft w:val="0"/>
      <w:marRight w:val="0"/>
      <w:marTop w:val="100"/>
      <w:marBottom w:val="180"/>
      <w:divBdr>
        <w:top w:val="none" w:sz="0" w:space="0" w:color="auto"/>
        <w:left w:val="none" w:sz="0" w:space="0" w:color="auto"/>
        <w:bottom w:val="none" w:sz="0" w:space="0" w:color="auto"/>
        <w:right w:val="none" w:sz="0" w:space="0" w:color="auto"/>
      </w:divBdr>
    </w:div>
    <w:div w:id="2055497020">
      <w:marLeft w:val="0"/>
      <w:marRight w:val="0"/>
      <w:marTop w:val="0"/>
      <w:marBottom w:val="0"/>
      <w:divBdr>
        <w:top w:val="none" w:sz="0" w:space="0" w:color="auto"/>
        <w:left w:val="none" w:sz="0" w:space="0" w:color="auto"/>
        <w:bottom w:val="none" w:sz="0" w:space="0" w:color="auto"/>
        <w:right w:val="none" w:sz="0" w:space="0" w:color="auto"/>
      </w:divBdr>
      <w:divsChild>
        <w:div w:id="1346978240">
          <w:marLeft w:val="0"/>
          <w:marRight w:val="0"/>
          <w:marTop w:val="0"/>
          <w:marBottom w:val="0"/>
          <w:divBdr>
            <w:top w:val="none" w:sz="0" w:space="0" w:color="auto"/>
            <w:left w:val="none" w:sz="0" w:space="0" w:color="auto"/>
            <w:bottom w:val="none" w:sz="0" w:space="0" w:color="auto"/>
            <w:right w:val="none" w:sz="0" w:space="0" w:color="auto"/>
          </w:divBdr>
        </w:div>
      </w:divsChild>
    </w:div>
    <w:div w:id="2056151938">
      <w:marLeft w:val="0"/>
      <w:marRight w:val="0"/>
      <w:marTop w:val="0"/>
      <w:marBottom w:val="0"/>
      <w:divBdr>
        <w:top w:val="none" w:sz="0" w:space="0" w:color="auto"/>
        <w:left w:val="none" w:sz="0" w:space="0" w:color="auto"/>
        <w:bottom w:val="none" w:sz="0" w:space="0" w:color="auto"/>
        <w:right w:val="none" w:sz="0" w:space="0" w:color="auto"/>
      </w:divBdr>
    </w:div>
    <w:div w:id="2056539526">
      <w:marLeft w:val="0"/>
      <w:marRight w:val="0"/>
      <w:marTop w:val="180"/>
      <w:marBottom w:val="180"/>
      <w:divBdr>
        <w:top w:val="none" w:sz="0" w:space="0" w:color="auto"/>
        <w:left w:val="none" w:sz="0" w:space="0" w:color="auto"/>
        <w:bottom w:val="none" w:sz="0" w:space="0" w:color="auto"/>
        <w:right w:val="none" w:sz="0" w:space="0" w:color="auto"/>
      </w:divBdr>
    </w:div>
    <w:div w:id="2056733085">
      <w:marLeft w:val="0"/>
      <w:marRight w:val="0"/>
      <w:marTop w:val="0"/>
      <w:marBottom w:val="0"/>
      <w:divBdr>
        <w:top w:val="none" w:sz="0" w:space="0" w:color="auto"/>
        <w:left w:val="none" w:sz="0" w:space="0" w:color="auto"/>
        <w:bottom w:val="none" w:sz="0" w:space="0" w:color="auto"/>
        <w:right w:val="none" w:sz="0" w:space="0" w:color="auto"/>
      </w:divBdr>
    </w:div>
    <w:div w:id="2058966946">
      <w:marLeft w:val="0"/>
      <w:marRight w:val="0"/>
      <w:marTop w:val="0"/>
      <w:marBottom w:val="0"/>
      <w:divBdr>
        <w:top w:val="none" w:sz="0" w:space="0" w:color="auto"/>
        <w:left w:val="none" w:sz="0" w:space="0" w:color="auto"/>
        <w:bottom w:val="none" w:sz="0" w:space="0" w:color="auto"/>
        <w:right w:val="none" w:sz="0" w:space="0" w:color="auto"/>
      </w:divBdr>
      <w:divsChild>
        <w:div w:id="1803187908">
          <w:marLeft w:val="0"/>
          <w:marRight w:val="0"/>
          <w:marTop w:val="0"/>
          <w:marBottom w:val="0"/>
          <w:divBdr>
            <w:top w:val="none" w:sz="0" w:space="0" w:color="auto"/>
            <w:left w:val="none" w:sz="0" w:space="0" w:color="auto"/>
            <w:bottom w:val="none" w:sz="0" w:space="0" w:color="auto"/>
            <w:right w:val="none" w:sz="0" w:space="0" w:color="auto"/>
          </w:divBdr>
        </w:div>
      </w:divsChild>
    </w:div>
    <w:div w:id="2059475058">
      <w:marLeft w:val="0"/>
      <w:marRight w:val="0"/>
      <w:marTop w:val="0"/>
      <w:marBottom w:val="180"/>
      <w:divBdr>
        <w:top w:val="none" w:sz="0" w:space="0" w:color="auto"/>
        <w:left w:val="none" w:sz="0" w:space="0" w:color="auto"/>
        <w:bottom w:val="none" w:sz="0" w:space="0" w:color="auto"/>
        <w:right w:val="none" w:sz="0" w:space="0" w:color="auto"/>
      </w:divBdr>
    </w:div>
    <w:div w:id="2060204374">
      <w:marLeft w:val="0"/>
      <w:marRight w:val="0"/>
      <w:marTop w:val="0"/>
      <w:marBottom w:val="0"/>
      <w:divBdr>
        <w:top w:val="none" w:sz="0" w:space="0" w:color="auto"/>
        <w:left w:val="none" w:sz="0" w:space="0" w:color="auto"/>
        <w:bottom w:val="none" w:sz="0" w:space="0" w:color="auto"/>
        <w:right w:val="none" w:sz="0" w:space="0" w:color="auto"/>
      </w:divBdr>
      <w:divsChild>
        <w:div w:id="1101409927">
          <w:marLeft w:val="0"/>
          <w:marRight w:val="0"/>
          <w:marTop w:val="0"/>
          <w:marBottom w:val="0"/>
          <w:divBdr>
            <w:top w:val="none" w:sz="0" w:space="0" w:color="auto"/>
            <w:left w:val="none" w:sz="0" w:space="0" w:color="auto"/>
            <w:bottom w:val="none" w:sz="0" w:space="0" w:color="auto"/>
            <w:right w:val="none" w:sz="0" w:space="0" w:color="auto"/>
          </w:divBdr>
        </w:div>
      </w:divsChild>
    </w:div>
    <w:div w:id="2061705373">
      <w:marLeft w:val="0"/>
      <w:marRight w:val="0"/>
      <w:marTop w:val="0"/>
      <w:marBottom w:val="0"/>
      <w:divBdr>
        <w:top w:val="none" w:sz="0" w:space="0" w:color="auto"/>
        <w:left w:val="none" w:sz="0" w:space="0" w:color="auto"/>
        <w:bottom w:val="none" w:sz="0" w:space="0" w:color="auto"/>
        <w:right w:val="none" w:sz="0" w:space="0" w:color="auto"/>
      </w:divBdr>
    </w:div>
    <w:div w:id="2066833443">
      <w:marLeft w:val="0"/>
      <w:marRight w:val="0"/>
      <w:marTop w:val="120"/>
      <w:marBottom w:val="12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sChild>
        <w:div w:id="842279645">
          <w:marLeft w:val="0"/>
          <w:marRight w:val="0"/>
          <w:marTop w:val="0"/>
          <w:marBottom w:val="0"/>
          <w:divBdr>
            <w:top w:val="none" w:sz="0" w:space="0" w:color="auto"/>
            <w:left w:val="none" w:sz="0" w:space="0" w:color="auto"/>
            <w:bottom w:val="none" w:sz="0" w:space="0" w:color="auto"/>
            <w:right w:val="none" w:sz="0" w:space="0" w:color="auto"/>
          </w:divBdr>
        </w:div>
      </w:divsChild>
    </w:div>
    <w:div w:id="2067727281">
      <w:marLeft w:val="0"/>
      <w:marRight w:val="0"/>
      <w:marTop w:val="0"/>
      <w:marBottom w:val="180"/>
      <w:divBdr>
        <w:top w:val="none" w:sz="0" w:space="0" w:color="auto"/>
        <w:left w:val="none" w:sz="0" w:space="0" w:color="auto"/>
        <w:bottom w:val="none" w:sz="0" w:space="0" w:color="auto"/>
        <w:right w:val="none" w:sz="0" w:space="0" w:color="auto"/>
      </w:divBdr>
    </w:div>
    <w:div w:id="2068140905">
      <w:marLeft w:val="0"/>
      <w:marRight w:val="0"/>
      <w:marTop w:val="0"/>
      <w:marBottom w:val="180"/>
      <w:divBdr>
        <w:top w:val="none" w:sz="0" w:space="0" w:color="auto"/>
        <w:left w:val="none" w:sz="0" w:space="0" w:color="auto"/>
        <w:bottom w:val="none" w:sz="0" w:space="0" w:color="auto"/>
        <w:right w:val="none" w:sz="0" w:space="0" w:color="auto"/>
      </w:divBdr>
    </w:div>
    <w:div w:id="2068793840">
      <w:marLeft w:val="0"/>
      <w:marRight w:val="0"/>
      <w:marTop w:val="120"/>
      <w:marBottom w:val="120"/>
      <w:divBdr>
        <w:top w:val="none" w:sz="0" w:space="0" w:color="auto"/>
        <w:left w:val="none" w:sz="0" w:space="0" w:color="auto"/>
        <w:bottom w:val="none" w:sz="0" w:space="0" w:color="auto"/>
        <w:right w:val="none" w:sz="0" w:space="0" w:color="auto"/>
      </w:divBdr>
    </w:div>
    <w:div w:id="2068797581">
      <w:marLeft w:val="0"/>
      <w:marRight w:val="0"/>
      <w:marTop w:val="120"/>
      <w:marBottom w:val="240"/>
      <w:divBdr>
        <w:top w:val="none" w:sz="0" w:space="0" w:color="auto"/>
        <w:left w:val="none" w:sz="0" w:space="0" w:color="auto"/>
        <w:bottom w:val="none" w:sz="0" w:space="0" w:color="auto"/>
        <w:right w:val="none" w:sz="0" w:space="0" w:color="auto"/>
      </w:divBdr>
    </w:div>
    <w:div w:id="2069759548">
      <w:marLeft w:val="0"/>
      <w:marRight w:val="0"/>
      <w:marTop w:val="0"/>
      <w:marBottom w:val="180"/>
      <w:divBdr>
        <w:top w:val="none" w:sz="0" w:space="0" w:color="auto"/>
        <w:left w:val="none" w:sz="0" w:space="0" w:color="auto"/>
        <w:bottom w:val="none" w:sz="0" w:space="0" w:color="auto"/>
        <w:right w:val="none" w:sz="0" w:space="0" w:color="auto"/>
      </w:divBdr>
    </w:div>
    <w:div w:id="2070759754">
      <w:marLeft w:val="0"/>
      <w:marRight w:val="0"/>
      <w:marTop w:val="0"/>
      <w:marBottom w:val="180"/>
      <w:divBdr>
        <w:top w:val="none" w:sz="0" w:space="0" w:color="auto"/>
        <w:left w:val="none" w:sz="0" w:space="0" w:color="auto"/>
        <w:bottom w:val="none" w:sz="0" w:space="0" w:color="auto"/>
        <w:right w:val="none" w:sz="0" w:space="0" w:color="auto"/>
      </w:divBdr>
    </w:div>
    <w:div w:id="2071536134">
      <w:marLeft w:val="0"/>
      <w:marRight w:val="0"/>
      <w:marTop w:val="0"/>
      <w:marBottom w:val="180"/>
      <w:divBdr>
        <w:top w:val="none" w:sz="0" w:space="0" w:color="auto"/>
        <w:left w:val="none" w:sz="0" w:space="0" w:color="auto"/>
        <w:bottom w:val="none" w:sz="0" w:space="0" w:color="auto"/>
        <w:right w:val="none" w:sz="0" w:space="0" w:color="auto"/>
      </w:divBdr>
    </w:div>
    <w:div w:id="2071541381">
      <w:marLeft w:val="0"/>
      <w:marRight w:val="0"/>
      <w:marTop w:val="0"/>
      <w:marBottom w:val="180"/>
      <w:divBdr>
        <w:top w:val="none" w:sz="0" w:space="0" w:color="auto"/>
        <w:left w:val="none" w:sz="0" w:space="0" w:color="auto"/>
        <w:bottom w:val="none" w:sz="0" w:space="0" w:color="auto"/>
        <w:right w:val="none" w:sz="0" w:space="0" w:color="auto"/>
      </w:divBdr>
    </w:div>
    <w:div w:id="2073233063">
      <w:marLeft w:val="0"/>
      <w:marRight w:val="0"/>
      <w:marTop w:val="180"/>
      <w:marBottom w:val="180"/>
      <w:divBdr>
        <w:top w:val="none" w:sz="0" w:space="0" w:color="auto"/>
        <w:left w:val="none" w:sz="0" w:space="0" w:color="auto"/>
        <w:bottom w:val="none" w:sz="0" w:space="0" w:color="auto"/>
        <w:right w:val="none" w:sz="0" w:space="0" w:color="auto"/>
      </w:divBdr>
    </w:div>
    <w:div w:id="2074086499">
      <w:marLeft w:val="0"/>
      <w:marRight w:val="0"/>
      <w:marTop w:val="0"/>
      <w:marBottom w:val="180"/>
      <w:divBdr>
        <w:top w:val="none" w:sz="0" w:space="0" w:color="auto"/>
        <w:left w:val="none" w:sz="0" w:space="0" w:color="auto"/>
        <w:bottom w:val="none" w:sz="0" w:space="0" w:color="auto"/>
        <w:right w:val="none" w:sz="0" w:space="0" w:color="auto"/>
      </w:divBdr>
    </w:div>
    <w:div w:id="2077970827">
      <w:marLeft w:val="0"/>
      <w:marRight w:val="0"/>
      <w:marTop w:val="0"/>
      <w:marBottom w:val="0"/>
      <w:divBdr>
        <w:top w:val="none" w:sz="0" w:space="0" w:color="auto"/>
        <w:left w:val="none" w:sz="0" w:space="0" w:color="auto"/>
        <w:bottom w:val="none" w:sz="0" w:space="0" w:color="auto"/>
        <w:right w:val="none" w:sz="0" w:space="0" w:color="auto"/>
      </w:divBdr>
    </w:div>
    <w:div w:id="2078673444">
      <w:marLeft w:val="0"/>
      <w:marRight w:val="0"/>
      <w:marTop w:val="120"/>
      <w:marBottom w:val="120"/>
      <w:divBdr>
        <w:top w:val="none" w:sz="0" w:space="0" w:color="auto"/>
        <w:left w:val="none" w:sz="0" w:space="0" w:color="auto"/>
        <w:bottom w:val="none" w:sz="0" w:space="0" w:color="auto"/>
        <w:right w:val="none" w:sz="0" w:space="0" w:color="auto"/>
      </w:divBdr>
    </w:div>
    <w:div w:id="2079086329">
      <w:marLeft w:val="0"/>
      <w:marRight w:val="0"/>
      <w:marTop w:val="0"/>
      <w:marBottom w:val="0"/>
      <w:divBdr>
        <w:top w:val="none" w:sz="0" w:space="0" w:color="auto"/>
        <w:left w:val="none" w:sz="0" w:space="0" w:color="auto"/>
        <w:bottom w:val="none" w:sz="0" w:space="0" w:color="auto"/>
        <w:right w:val="none" w:sz="0" w:space="0" w:color="auto"/>
      </w:divBdr>
      <w:divsChild>
        <w:div w:id="2055687523">
          <w:marLeft w:val="0"/>
          <w:marRight w:val="0"/>
          <w:marTop w:val="0"/>
          <w:marBottom w:val="0"/>
          <w:divBdr>
            <w:top w:val="none" w:sz="0" w:space="0" w:color="auto"/>
            <w:left w:val="none" w:sz="0" w:space="0" w:color="auto"/>
            <w:bottom w:val="none" w:sz="0" w:space="0" w:color="auto"/>
            <w:right w:val="none" w:sz="0" w:space="0" w:color="auto"/>
          </w:divBdr>
        </w:div>
      </w:divsChild>
    </w:div>
    <w:div w:id="2079940651">
      <w:marLeft w:val="0"/>
      <w:marRight w:val="0"/>
      <w:marTop w:val="0"/>
      <w:marBottom w:val="240"/>
      <w:divBdr>
        <w:top w:val="none" w:sz="0" w:space="0" w:color="auto"/>
        <w:left w:val="none" w:sz="0" w:space="0" w:color="auto"/>
        <w:bottom w:val="none" w:sz="0" w:space="0" w:color="auto"/>
        <w:right w:val="none" w:sz="0" w:space="0" w:color="auto"/>
      </w:divBdr>
    </w:div>
    <w:div w:id="2080323689">
      <w:marLeft w:val="0"/>
      <w:marRight w:val="0"/>
      <w:marTop w:val="0"/>
      <w:marBottom w:val="0"/>
      <w:divBdr>
        <w:top w:val="none" w:sz="0" w:space="0" w:color="auto"/>
        <w:left w:val="none" w:sz="0" w:space="0" w:color="auto"/>
        <w:bottom w:val="none" w:sz="0" w:space="0" w:color="auto"/>
        <w:right w:val="none" w:sz="0" w:space="0" w:color="auto"/>
      </w:divBdr>
      <w:divsChild>
        <w:div w:id="990016890">
          <w:marLeft w:val="0"/>
          <w:marRight w:val="0"/>
          <w:marTop w:val="0"/>
          <w:marBottom w:val="0"/>
          <w:divBdr>
            <w:top w:val="none" w:sz="0" w:space="0" w:color="auto"/>
            <w:left w:val="none" w:sz="0" w:space="0" w:color="auto"/>
            <w:bottom w:val="none" w:sz="0" w:space="0" w:color="auto"/>
            <w:right w:val="none" w:sz="0" w:space="0" w:color="auto"/>
          </w:divBdr>
        </w:div>
      </w:divsChild>
    </w:div>
    <w:div w:id="2080902796">
      <w:marLeft w:val="0"/>
      <w:marRight w:val="0"/>
      <w:marTop w:val="0"/>
      <w:marBottom w:val="0"/>
      <w:divBdr>
        <w:top w:val="none" w:sz="0" w:space="0" w:color="auto"/>
        <w:left w:val="none" w:sz="0" w:space="0" w:color="auto"/>
        <w:bottom w:val="none" w:sz="0" w:space="0" w:color="auto"/>
        <w:right w:val="none" w:sz="0" w:space="0" w:color="auto"/>
      </w:divBdr>
      <w:divsChild>
        <w:div w:id="60059125">
          <w:marLeft w:val="0"/>
          <w:marRight w:val="0"/>
          <w:marTop w:val="0"/>
          <w:marBottom w:val="0"/>
          <w:divBdr>
            <w:top w:val="none" w:sz="0" w:space="0" w:color="auto"/>
            <w:left w:val="none" w:sz="0" w:space="0" w:color="auto"/>
            <w:bottom w:val="none" w:sz="0" w:space="0" w:color="auto"/>
            <w:right w:val="none" w:sz="0" w:space="0" w:color="auto"/>
          </w:divBdr>
        </w:div>
      </w:divsChild>
    </w:div>
    <w:div w:id="2080931773">
      <w:marLeft w:val="0"/>
      <w:marRight w:val="0"/>
      <w:marTop w:val="0"/>
      <w:marBottom w:val="0"/>
      <w:divBdr>
        <w:top w:val="none" w:sz="0" w:space="0" w:color="auto"/>
        <w:left w:val="none" w:sz="0" w:space="0" w:color="auto"/>
        <w:bottom w:val="none" w:sz="0" w:space="0" w:color="auto"/>
        <w:right w:val="none" w:sz="0" w:space="0" w:color="auto"/>
      </w:divBdr>
    </w:div>
    <w:div w:id="2080975120">
      <w:marLeft w:val="0"/>
      <w:marRight w:val="0"/>
      <w:marTop w:val="0"/>
      <w:marBottom w:val="240"/>
      <w:divBdr>
        <w:top w:val="none" w:sz="0" w:space="0" w:color="auto"/>
        <w:left w:val="none" w:sz="0" w:space="0" w:color="auto"/>
        <w:bottom w:val="none" w:sz="0" w:space="0" w:color="auto"/>
        <w:right w:val="none" w:sz="0" w:space="0" w:color="auto"/>
      </w:divBdr>
    </w:div>
    <w:div w:id="2083062232">
      <w:marLeft w:val="0"/>
      <w:marRight w:val="0"/>
      <w:marTop w:val="0"/>
      <w:marBottom w:val="0"/>
      <w:divBdr>
        <w:top w:val="none" w:sz="0" w:space="0" w:color="auto"/>
        <w:left w:val="none" w:sz="0" w:space="0" w:color="auto"/>
        <w:bottom w:val="none" w:sz="0" w:space="0" w:color="auto"/>
        <w:right w:val="none" w:sz="0" w:space="0" w:color="auto"/>
      </w:divBdr>
      <w:divsChild>
        <w:div w:id="1521578429">
          <w:marLeft w:val="0"/>
          <w:marRight w:val="0"/>
          <w:marTop w:val="0"/>
          <w:marBottom w:val="0"/>
          <w:divBdr>
            <w:top w:val="none" w:sz="0" w:space="0" w:color="auto"/>
            <w:left w:val="none" w:sz="0" w:space="0" w:color="auto"/>
            <w:bottom w:val="none" w:sz="0" w:space="0" w:color="auto"/>
            <w:right w:val="none" w:sz="0" w:space="0" w:color="auto"/>
          </w:divBdr>
        </w:div>
      </w:divsChild>
    </w:div>
    <w:div w:id="2083793582">
      <w:marLeft w:val="0"/>
      <w:marRight w:val="0"/>
      <w:marTop w:val="0"/>
      <w:marBottom w:val="0"/>
      <w:divBdr>
        <w:top w:val="none" w:sz="0" w:space="0" w:color="auto"/>
        <w:left w:val="none" w:sz="0" w:space="0" w:color="auto"/>
        <w:bottom w:val="none" w:sz="0" w:space="0" w:color="auto"/>
        <w:right w:val="none" w:sz="0" w:space="0" w:color="auto"/>
      </w:divBdr>
    </w:div>
    <w:div w:id="2084522920">
      <w:marLeft w:val="0"/>
      <w:marRight w:val="0"/>
      <w:marTop w:val="120"/>
      <w:marBottom w:val="240"/>
      <w:divBdr>
        <w:top w:val="none" w:sz="0" w:space="0" w:color="auto"/>
        <w:left w:val="none" w:sz="0" w:space="0" w:color="auto"/>
        <w:bottom w:val="none" w:sz="0" w:space="0" w:color="auto"/>
        <w:right w:val="none" w:sz="0" w:space="0" w:color="auto"/>
      </w:divBdr>
    </w:div>
    <w:div w:id="2085445651">
      <w:marLeft w:val="0"/>
      <w:marRight w:val="0"/>
      <w:marTop w:val="0"/>
      <w:marBottom w:val="180"/>
      <w:divBdr>
        <w:top w:val="none" w:sz="0" w:space="0" w:color="auto"/>
        <w:left w:val="none" w:sz="0" w:space="0" w:color="auto"/>
        <w:bottom w:val="none" w:sz="0" w:space="0" w:color="auto"/>
        <w:right w:val="none" w:sz="0" w:space="0" w:color="auto"/>
      </w:divBdr>
    </w:div>
    <w:div w:id="2087605780">
      <w:marLeft w:val="0"/>
      <w:marRight w:val="0"/>
      <w:marTop w:val="120"/>
      <w:marBottom w:val="120"/>
      <w:divBdr>
        <w:top w:val="none" w:sz="0" w:space="0" w:color="auto"/>
        <w:left w:val="none" w:sz="0" w:space="0" w:color="auto"/>
        <w:bottom w:val="none" w:sz="0" w:space="0" w:color="auto"/>
        <w:right w:val="none" w:sz="0" w:space="0" w:color="auto"/>
      </w:divBdr>
    </w:div>
    <w:div w:id="2087723875">
      <w:marLeft w:val="0"/>
      <w:marRight w:val="0"/>
      <w:marTop w:val="0"/>
      <w:marBottom w:val="0"/>
      <w:divBdr>
        <w:top w:val="none" w:sz="0" w:space="0" w:color="auto"/>
        <w:left w:val="none" w:sz="0" w:space="0" w:color="auto"/>
        <w:bottom w:val="none" w:sz="0" w:space="0" w:color="auto"/>
        <w:right w:val="none" w:sz="0" w:space="0" w:color="auto"/>
      </w:divBdr>
      <w:divsChild>
        <w:div w:id="230435496">
          <w:marLeft w:val="0"/>
          <w:marRight w:val="0"/>
          <w:marTop w:val="0"/>
          <w:marBottom w:val="0"/>
          <w:divBdr>
            <w:top w:val="none" w:sz="0" w:space="0" w:color="auto"/>
            <w:left w:val="none" w:sz="0" w:space="0" w:color="auto"/>
            <w:bottom w:val="none" w:sz="0" w:space="0" w:color="auto"/>
            <w:right w:val="none" w:sz="0" w:space="0" w:color="auto"/>
          </w:divBdr>
        </w:div>
      </w:divsChild>
    </w:div>
    <w:div w:id="2090930089">
      <w:marLeft w:val="0"/>
      <w:marRight w:val="0"/>
      <w:marTop w:val="0"/>
      <w:marBottom w:val="0"/>
      <w:divBdr>
        <w:top w:val="none" w:sz="0" w:space="0" w:color="auto"/>
        <w:left w:val="none" w:sz="0" w:space="0" w:color="auto"/>
        <w:bottom w:val="none" w:sz="0" w:space="0" w:color="auto"/>
        <w:right w:val="none" w:sz="0" w:space="0" w:color="auto"/>
      </w:divBdr>
      <w:divsChild>
        <w:div w:id="1157920526">
          <w:marLeft w:val="0"/>
          <w:marRight w:val="0"/>
          <w:marTop w:val="0"/>
          <w:marBottom w:val="0"/>
          <w:divBdr>
            <w:top w:val="none" w:sz="0" w:space="0" w:color="auto"/>
            <w:left w:val="none" w:sz="0" w:space="0" w:color="auto"/>
            <w:bottom w:val="none" w:sz="0" w:space="0" w:color="auto"/>
            <w:right w:val="none" w:sz="0" w:space="0" w:color="auto"/>
          </w:divBdr>
        </w:div>
      </w:divsChild>
    </w:div>
    <w:div w:id="2093507853">
      <w:marLeft w:val="0"/>
      <w:marRight w:val="0"/>
      <w:marTop w:val="0"/>
      <w:marBottom w:val="0"/>
      <w:divBdr>
        <w:top w:val="none" w:sz="0" w:space="0" w:color="auto"/>
        <w:left w:val="none" w:sz="0" w:space="0" w:color="auto"/>
        <w:bottom w:val="none" w:sz="0" w:space="0" w:color="auto"/>
        <w:right w:val="none" w:sz="0" w:space="0" w:color="auto"/>
      </w:divBdr>
      <w:divsChild>
        <w:div w:id="1561556887">
          <w:marLeft w:val="0"/>
          <w:marRight w:val="0"/>
          <w:marTop w:val="0"/>
          <w:marBottom w:val="0"/>
          <w:divBdr>
            <w:top w:val="none" w:sz="0" w:space="0" w:color="auto"/>
            <w:left w:val="none" w:sz="0" w:space="0" w:color="auto"/>
            <w:bottom w:val="none" w:sz="0" w:space="0" w:color="auto"/>
            <w:right w:val="none" w:sz="0" w:space="0" w:color="auto"/>
          </w:divBdr>
        </w:div>
      </w:divsChild>
    </w:div>
    <w:div w:id="2093618128">
      <w:marLeft w:val="0"/>
      <w:marRight w:val="0"/>
      <w:marTop w:val="0"/>
      <w:marBottom w:val="0"/>
      <w:divBdr>
        <w:top w:val="none" w:sz="0" w:space="0" w:color="auto"/>
        <w:left w:val="none" w:sz="0" w:space="0" w:color="auto"/>
        <w:bottom w:val="none" w:sz="0" w:space="0" w:color="auto"/>
        <w:right w:val="none" w:sz="0" w:space="0" w:color="auto"/>
      </w:divBdr>
    </w:div>
    <w:div w:id="2094430551">
      <w:marLeft w:val="0"/>
      <w:marRight w:val="0"/>
      <w:marTop w:val="120"/>
      <w:marBottom w:val="120"/>
      <w:divBdr>
        <w:top w:val="none" w:sz="0" w:space="0" w:color="auto"/>
        <w:left w:val="none" w:sz="0" w:space="0" w:color="auto"/>
        <w:bottom w:val="none" w:sz="0" w:space="0" w:color="auto"/>
        <w:right w:val="none" w:sz="0" w:space="0" w:color="auto"/>
      </w:divBdr>
    </w:div>
    <w:div w:id="2096393778">
      <w:marLeft w:val="0"/>
      <w:marRight w:val="0"/>
      <w:marTop w:val="0"/>
      <w:marBottom w:val="0"/>
      <w:divBdr>
        <w:top w:val="none" w:sz="0" w:space="0" w:color="auto"/>
        <w:left w:val="none" w:sz="0" w:space="0" w:color="auto"/>
        <w:bottom w:val="none" w:sz="0" w:space="0" w:color="auto"/>
        <w:right w:val="none" w:sz="0" w:space="0" w:color="auto"/>
      </w:divBdr>
      <w:divsChild>
        <w:div w:id="919946858">
          <w:marLeft w:val="0"/>
          <w:marRight w:val="0"/>
          <w:marTop w:val="0"/>
          <w:marBottom w:val="0"/>
          <w:divBdr>
            <w:top w:val="none" w:sz="0" w:space="0" w:color="auto"/>
            <w:left w:val="none" w:sz="0" w:space="0" w:color="auto"/>
            <w:bottom w:val="none" w:sz="0" w:space="0" w:color="auto"/>
            <w:right w:val="none" w:sz="0" w:space="0" w:color="auto"/>
          </w:divBdr>
        </w:div>
      </w:divsChild>
    </w:div>
    <w:div w:id="2098554100">
      <w:marLeft w:val="0"/>
      <w:marRight w:val="0"/>
      <w:marTop w:val="100"/>
      <w:marBottom w:val="0"/>
      <w:divBdr>
        <w:top w:val="none" w:sz="0" w:space="0" w:color="auto"/>
        <w:left w:val="none" w:sz="0" w:space="0" w:color="auto"/>
        <w:bottom w:val="none" w:sz="0" w:space="0" w:color="auto"/>
        <w:right w:val="none" w:sz="0" w:space="0" w:color="auto"/>
      </w:divBdr>
    </w:div>
    <w:div w:id="2099209791">
      <w:marLeft w:val="0"/>
      <w:marRight w:val="0"/>
      <w:marTop w:val="180"/>
      <w:marBottom w:val="180"/>
      <w:divBdr>
        <w:top w:val="none" w:sz="0" w:space="0" w:color="auto"/>
        <w:left w:val="none" w:sz="0" w:space="0" w:color="auto"/>
        <w:bottom w:val="none" w:sz="0" w:space="0" w:color="auto"/>
        <w:right w:val="none" w:sz="0" w:space="0" w:color="auto"/>
      </w:divBdr>
    </w:div>
    <w:div w:id="2099591370">
      <w:marLeft w:val="0"/>
      <w:marRight w:val="0"/>
      <w:marTop w:val="0"/>
      <w:marBottom w:val="180"/>
      <w:divBdr>
        <w:top w:val="none" w:sz="0" w:space="0" w:color="auto"/>
        <w:left w:val="none" w:sz="0" w:space="0" w:color="auto"/>
        <w:bottom w:val="none" w:sz="0" w:space="0" w:color="auto"/>
        <w:right w:val="none" w:sz="0" w:space="0" w:color="auto"/>
      </w:divBdr>
    </w:div>
    <w:div w:id="2099863185">
      <w:marLeft w:val="0"/>
      <w:marRight w:val="0"/>
      <w:marTop w:val="0"/>
      <w:marBottom w:val="180"/>
      <w:divBdr>
        <w:top w:val="none" w:sz="0" w:space="0" w:color="auto"/>
        <w:left w:val="none" w:sz="0" w:space="0" w:color="auto"/>
        <w:bottom w:val="none" w:sz="0" w:space="0" w:color="auto"/>
        <w:right w:val="none" w:sz="0" w:space="0" w:color="auto"/>
      </w:divBdr>
    </w:div>
    <w:div w:id="2102990719">
      <w:marLeft w:val="0"/>
      <w:marRight w:val="0"/>
      <w:marTop w:val="0"/>
      <w:marBottom w:val="240"/>
      <w:divBdr>
        <w:top w:val="none" w:sz="0" w:space="0" w:color="auto"/>
        <w:left w:val="none" w:sz="0" w:space="0" w:color="auto"/>
        <w:bottom w:val="none" w:sz="0" w:space="0" w:color="auto"/>
        <w:right w:val="none" w:sz="0" w:space="0" w:color="auto"/>
      </w:divBdr>
    </w:div>
    <w:div w:id="2103795414">
      <w:marLeft w:val="0"/>
      <w:marRight w:val="0"/>
      <w:marTop w:val="0"/>
      <w:marBottom w:val="180"/>
      <w:divBdr>
        <w:top w:val="none" w:sz="0" w:space="0" w:color="auto"/>
        <w:left w:val="none" w:sz="0" w:space="0" w:color="auto"/>
        <w:bottom w:val="none" w:sz="0" w:space="0" w:color="auto"/>
        <w:right w:val="none" w:sz="0" w:space="0" w:color="auto"/>
      </w:divBdr>
    </w:div>
    <w:div w:id="2104912690">
      <w:marLeft w:val="0"/>
      <w:marRight w:val="0"/>
      <w:marTop w:val="0"/>
      <w:marBottom w:val="0"/>
      <w:divBdr>
        <w:top w:val="none" w:sz="0" w:space="0" w:color="auto"/>
        <w:left w:val="none" w:sz="0" w:space="0" w:color="auto"/>
        <w:bottom w:val="none" w:sz="0" w:space="0" w:color="auto"/>
        <w:right w:val="none" w:sz="0" w:space="0" w:color="auto"/>
      </w:divBdr>
    </w:div>
    <w:div w:id="2105764339">
      <w:marLeft w:val="0"/>
      <w:marRight w:val="0"/>
      <w:marTop w:val="120"/>
      <w:marBottom w:val="120"/>
      <w:divBdr>
        <w:top w:val="none" w:sz="0" w:space="0" w:color="auto"/>
        <w:left w:val="none" w:sz="0" w:space="0" w:color="auto"/>
        <w:bottom w:val="none" w:sz="0" w:space="0" w:color="auto"/>
        <w:right w:val="none" w:sz="0" w:space="0" w:color="auto"/>
      </w:divBdr>
    </w:div>
    <w:div w:id="2107572876">
      <w:marLeft w:val="0"/>
      <w:marRight w:val="0"/>
      <w:marTop w:val="0"/>
      <w:marBottom w:val="240"/>
      <w:divBdr>
        <w:top w:val="none" w:sz="0" w:space="0" w:color="auto"/>
        <w:left w:val="none" w:sz="0" w:space="0" w:color="auto"/>
        <w:bottom w:val="none" w:sz="0" w:space="0" w:color="auto"/>
        <w:right w:val="none" w:sz="0" w:space="0" w:color="auto"/>
      </w:divBdr>
    </w:div>
    <w:div w:id="2107992413">
      <w:marLeft w:val="0"/>
      <w:marRight w:val="0"/>
      <w:marTop w:val="0"/>
      <w:marBottom w:val="60"/>
      <w:divBdr>
        <w:top w:val="none" w:sz="0" w:space="0" w:color="auto"/>
        <w:left w:val="none" w:sz="0" w:space="0" w:color="auto"/>
        <w:bottom w:val="none" w:sz="0" w:space="0" w:color="auto"/>
        <w:right w:val="none" w:sz="0" w:space="0" w:color="auto"/>
      </w:divBdr>
    </w:div>
    <w:div w:id="2108455517">
      <w:marLeft w:val="0"/>
      <w:marRight w:val="0"/>
      <w:marTop w:val="0"/>
      <w:marBottom w:val="180"/>
      <w:divBdr>
        <w:top w:val="none" w:sz="0" w:space="0" w:color="auto"/>
        <w:left w:val="none" w:sz="0" w:space="0" w:color="auto"/>
        <w:bottom w:val="none" w:sz="0" w:space="0" w:color="auto"/>
        <w:right w:val="none" w:sz="0" w:space="0" w:color="auto"/>
      </w:divBdr>
    </w:div>
    <w:div w:id="2110805589">
      <w:marLeft w:val="0"/>
      <w:marRight w:val="0"/>
      <w:marTop w:val="0"/>
      <w:marBottom w:val="0"/>
      <w:divBdr>
        <w:top w:val="none" w:sz="0" w:space="0" w:color="auto"/>
        <w:left w:val="none" w:sz="0" w:space="0" w:color="auto"/>
        <w:bottom w:val="none" w:sz="0" w:space="0" w:color="auto"/>
        <w:right w:val="none" w:sz="0" w:space="0" w:color="auto"/>
      </w:divBdr>
      <w:divsChild>
        <w:div w:id="832993338">
          <w:marLeft w:val="0"/>
          <w:marRight w:val="0"/>
          <w:marTop w:val="0"/>
          <w:marBottom w:val="0"/>
          <w:divBdr>
            <w:top w:val="none" w:sz="0" w:space="0" w:color="auto"/>
            <w:left w:val="none" w:sz="0" w:space="0" w:color="auto"/>
            <w:bottom w:val="none" w:sz="0" w:space="0" w:color="auto"/>
            <w:right w:val="none" w:sz="0" w:space="0" w:color="auto"/>
          </w:divBdr>
        </w:div>
      </w:divsChild>
    </w:div>
    <w:div w:id="2111654267">
      <w:marLeft w:val="0"/>
      <w:marRight w:val="0"/>
      <w:marTop w:val="0"/>
      <w:marBottom w:val="180"/>
      <w:divBdr>
        <w:top w:val="none" w:sz="0" w:space="0" w:color="auto"/>
        <w:left w:val="none" w:sz="0" w:space="0" w:color="auto"/>
        <w:bottom w:val="none" w:sz="0" w:space="0" w:color="auto"/>
        <w:right w:val="none" w:sz="0" w:space="0" w:color="auto"/>
      </w:divBdr>
    </w:div>
    <w:div w:id="2112705202">
      <w:marLeft w:val="0"/>
      <w:marRight w:val="0"/>
      <w:marTop w:val="100"/>
      <w:marBottom w:val="100"/>
      <w:divBdr>
        <w:top w:val="none" w:sz="0" w:space="0" w:color="auto"/>
        <w:left w:val="none" w:sz="0" w:space="0" w:color="auto"/>
        <w:bottom w:val="none" w:sz="0" w:space="0" w:color="auto"/>
        <w:right w:val="none" w:sz="0" w:space="0" w:color="auto"/>
      </w:divBdr>
      <w:divsChild>
        <w:div w:id="1804735741">
          <w:marLeft w:val="0"/>
          <w:marRight w:val="0"/>
          <w:marTop w:val="0"/>
          <w:marBottom w:val="0"/>
          <w:divBdr>
            <w:top w:val="none" w:sz="0" w:space="0" w:color="auto"/>
            <w:left w:val="none" w:sz="0" w:space="0" w:color="auto"/>
            <w:bottom w:val="none" w:sz="0" w:space="0" w:color="auto"/>
            <w:right w:val="none" w:sz="0" w:space="0" w:color="auto"/>
          </w:divBdr>
        </w:div>
        <w:div w:id="837890941">
          <w:marLeft w:val="0"/>
          <w:marRight w:val="0"/>
          <w:marTop w:val="0"/>
          <w:marBottom w:val="0"/>
          <w:divBdr>
            <w:top w:val="none" w:sz="0" w:space="0" w:color="auto"/>
            <w:left w:val="none" w:sz="0" w:space="0" w:color="auto"/>
            <w:bottom w:val="none" w:sz="0" w:space="0" w:color="auto"/>
            <w:right w:val="none" w:sz="0" w:space="0" w:color="auto"/>
          </w:divBdr>
        </w:div>
        <w:div w:id="1303315585">
          <w:marLeft w:val="0"/>
          <w:marRight w:val="0"/>
          <w:marTop w:val="0"/>
          <w:marBottom w:val="0"/>
          <w:divBdr>
            <w:top w:val="none" w:sz="0" w:space="0" w:color="auto"/>
            <w:left w:val="none" w:sz="0" w:space="0" w:color="auto"/>
            <w:bottom w:val="none" w:sz="0" w:space="0" w:color="auto"/>
            <w:right w:val="none" w:sz="0" w:space="0" w:color="auto"/>
          </w:divBdr>
        </w:div>
        <w:div w:id="1636910578">
          <w:marLeft w:val="0"/>
          <w:marRight w:val="0"/>
          <w:marTop w:val="0"/>
          <w:marBottom w:val="0"/>
          <w:divBdr>
            <w:top w:val="none" w:sz="0" w:space="0" w:color="auto"/>
            <w:left w:val="none" w:sz="0" w:space="0" w:color="auto"/>
            <w:bottom w:val="none" w:sz="0" w:space="0" w:color="auto"/>
            <w:right w:val="none" w:sz="0" w:space="0" w:color="auto"/>
          </w:divBdr>
        </w:div>
        <w:div w:id="1802264725">
          <w:marLeft w:val="0"/>
          <w:marRight w:val="0"/>
          <w:marTop w:val="0"/>
          <w:marBottom w:val="0"/>
          <w:divBdr>
            <w:top w:val="none" w:sz="0" w:space="0" w:color="auto"/>
            <w:left w:val="none" w:sz="0" w:space="0" w:color="auto"/>
            <w:bottom w:val="none" w:sz="0" w:space="0" w:color="auto"/>
            <w:right w:val="none" w:sz="0" w:space="0" w:color="auto"/>
          </w:divBdr>
        </w:div>
      </w:divsChild>
    </w:div>
    <w:div w:id="2115318335">
      <w:marLeft w:val="0"/>
      <w:marRight w:val="0"/>
      <w:marTop w:val="0"/>
      <w:marBottom w:val="180"/>
      <w:divBdr>
        <w:top w:val="none" w:sz="0" w:space="0" w:color="auto"/>
        <w:left w:val="none" w:sz="0" w:space="0" w:color="auto"/>
        <w:bottom w:val="none" w:sz="0" w:space="0" w:color="auto"/>
        <w:right w:val="none" w:sz="0" w:space="0" w:color="auto"/>
      </w:divBdr>
    </w:div>
    <w:div w:id="2117171508">
      <w:marLeft w:val="0"/>
      <w:marRight w:val="0"/>
      <w:marTop w:val="0"/>
      <w:marBottom w:val="0"/>
      <w:divBdr>
        <w:top w:val="none" w:sz="0" w:space="0" w:color="auto"/>
        <w:left w:val="none" w:sz="0" w:space="0" w:color="auto"/>
        <w:bottom w:val="none" w:sz="0" w:space="0" w:color="auto"/>
        <w:right w:val="none" w:sz="0" w:space="0" w:color="auto"/>
      </w:divBdr>
    </w:div>
    <w:div w:id="2118912946">
      <w:marLeft w:val="0"/>
      <w:marRight w:val="0"/>
      <w:marTop w:val="100"/>
      <w:marBottom w:val="0"/>
      <w:divBdr>
        <w:top w:val="none" w:sz="0" w:space="0" w:color="auto"/>
        <w:left w:val="none" w:sz="0" w:space="0" w:color="auto"/>
        <w:bottom w:val="none" w:sz="0" w:space="0" w:color="auto"/>
        <w:right w:val="none" w:sz="0" w:space="0" w:color="auto"/>
      </w:divBdr>
    </w:div>
    <w:div w:id="2123764019">
      <w:marLeft w:val="0"/>
      <w:marRight w:val="0"/>
      <w:marTop w:val="0"/>
      <w:marBottom w:val="0"/>
      <w:divBdr>
        <w:top w:val="none" w:sz="0" w:space="0" w:color="auto"/>
        <w:left w:val="none" w:sz="0" w:space="0" w:color="auto"/>
        <w:bottom w:val="none" w:sz="0" w:space="0" w:color="auto"/>
        <w:right w:val="none" w:sz="0" w:space="0" w:color="auto"/>
      </w:divBdr>
    </w:div>
    <w:div w:id="2124641572">
      <w:marLeft w:val="0"/>
      <w:marRight w:val="0"/>
      <w:marTop w:val="0"/>
      <w:marBottom w:val="240"/>
      <w:divBdr>
        <w:top w:val="none" w:sz="0" w:space="0" w:color="auto"/>
        <w:left w:val="none" w:sz="0" w:space="0" w:color="auto"/>
        <w:bottom w:val="none" w:sz="0" w:space="0" w:color="auto"/>
        <w:right w:val="none" w:sz="0" w:space="0" w:color="auto"/>
      </w:divBdr>
    </w:div>
    <w:div w:id="2125036681">
      <w:marLeft w:val="0"/>
      <w:marRight w:val="0"/>
      <w:marTop w:val="0"/>
      <w:marBottom w:val="180"/>
      <w:divBdr>
        <w:top w:val="none" w:sz="0" w:space="0" w:color="auto"/>
        <w:left w:val="none" w:sz="0" w:space="0" w:color="auto"/>
        <w:bottom w:val="none" w:sz="0" w:space="0" w:color="auto"/>
        <w:right w:val="none" w:sz="0" w:space="0" w:color="auto"/>
      </w:divBdr>
    </w:div>
    <w:div w:id="2128428250">
      <w:marLeft w:val="0"/>
      <w:marRight w:val="0"/>
      <w:marTop w:val="0"/>
      <w:marBottom w:val="180"/>
      <w:divBdr>
        <w:top w:val="none" w:sz="0" w:space="0" w:color="auto"/>
        <w:left w:val="none" w:sz="0" w:space="0" w:color="auto"/>
        <w:bottom w:val="none" w:sz="0" w:space="0" w:color="auto"/>
        <w:right w:val="none" w:sz="0" w:space="0" w:color="auto"/>
      </w:divBdr>
    </w:div>
    <w:div w:id="2128498173">
      <w:marLeft w:val="0"/>
      <w:marRight w:val="0"/>
      <w:marTop w:val="0"/>
      <w:marBottom w:val="180"/>
      <w:divBdr>
        <w:top w:val="none" w:sz="0" w:space="0" w:color="auto"/>
        <w:left w:val="none" w:sz="0" w:space="0" w:color="auto"/>
        <w:bottom w:val="none" w:sz="0" w:space="0" w:color="auto"/>
        <w:right w:val="none" w:sz="0" w:space="0" w:color="auto"/>
      </w:divBdr>
    </w:div>
    <w:div w:id="2128544263">
      <w:marLeft w:val="0"/>
      <w:marRight w:val="0"/>
      <w:marTop w:val="0"/>
      <w:marBottom w:val="0"/>
      <w:divBdr>
        <w:top w:val="none" w:sz="0" w:space="0" w:color="auto"/>
        <w:left w:val="none" w:sz="0" w:space="0" w:color="auto"/>
        <w:bottom w:val="none" w:sz="0" w:space="0" w:color="auto"/>
        <w:right w:val="none" w:sz="0" w:space="0" w:color="auto"/>
      </w:divBdr>
      <w:divsChild>
        <w:div w:id="1029339348">
          <w:marLeft w:val="0"/>
          <w:marRight w:val="0"/>
          <w:marTop w:val="0"/>
          <w:marBottom w:val="0"/>
          <w:divBdr>
            <w:top w:val="none" w:sz="0" w:space="0" w:color="auto"/>
            <w:left w:val="none" w:sz="0" w:space="0" w:color="auto"/>
            <w:bottom w:val="none" w:sz="0" w:space="0" w:color="auto"/>
            <w:right w:val="none" w:sz="0" w:space="0" w:color="auto"/>
          </w:divBdr>
        </w:div>
      </w:divsChild>
    </w:div>
    <w:div w:id="2129427566">
      <w:marLeft w:val="0"/>
      <w:marRight w:val="0"/>
      <w:marTop w:val="0"/>
      <w:marBottom w:val="180"/>
      <w:divBdr>
        <w:top w:val="none" w:sz="0" w:space="0" w:color="auto"/>
        <w:left w:val="none" w:sz="0" w:space="0" w:color="auto"/>
        <w:bottom w:val="none" w:sz="0" w:space="0" w:color="auto"/>
        <w:right w:val="none" w:sz="0" w:space="0" w:color="auto"/>
      </w:divBdr>
    </w:div>
    <w:div w:id="2129811100">
      <w:marLeft w:val="0"/>
      <w:marRight w:val="0"/>
      <w:marTop w:val="0"/>
      <w:marBottom w:val="240"/>
      <w:divBdr>
        <w:top w:val="none" w:sz="0" w:space="0" w:color="auto"/>
        <w:left w:val="none" w:sz="0" w:space="0" w:color="auto"/>
        <w:bottom w:val="none" w:sz="0" w:space="0" w:color="auto"/>
        <w:right w:val="none" w:sz="0" w:space="0" w:color="auto"/>
      </w:divBdr>
    </w:div>
    <w:div w:id="2132940455">
      <w:marLeft w:val="0"/>
      <w:marRight w:val="0"/>
      <w:marTop w:val="0"/>
      <w:marBottom w:val="0"/>
      <w:divBdr>
        <w:top w:val="none" w:sz="0" w:space="0" w:color="auto"/>
        <w:left w:val="none" w:sz="0" w:space="0" w:color="auto"/>
        <w:bottom w:val="none" w:sz="0" w:space="0" w:color="auto"/>
        <w:right w:val="none" w:sz="0" w:space="0" w:color="auto"/>
      </w:divBdr>
    </w:div>
    <w:div w:id="2133551717">
      <w:marLeft w:val="0"/>
      <w:marRight w:val="0"/>
      <w:marTop w:val="120"/>
      <w:marBottom w:val="120"/>
      <w:divBdr>
        <w:top w:val="none" w:sz="0" w:space="0" w:color="auto"/>
        <w:left w:val="none" w:sz="0" w:space="0" w:color="auto"/>
        <w:bottom w:val="none" w:sz="0" w:space="0" w:color="auto"/>
        <w:right w:val="none" w:sz="0" w:space="0" w:color="auto"/>
      </w:divBdr>
    </w:div>
    <w:div w:id="2134253031">
      <w:marLeft w:val="0"/>
      <w:marRight w:val="0"/>
      <w:marTop w:val="180"/>
      <w:marBottom w:val="180"/>
      <w:divBdr>
        <w:top w:val="none" w:sz="0" w:space="0" w:color="auto"/>
        <w:left w:val="none" w:sz="0" w:space="0" w:color="auto"/>
        <w:bottom w:val="none" w:sz="0" w:space="0" w:color="auto"/>
        <w:right w:val="none" w:sz="0" w:space="0" w:color="auto"/>
      </w:divBdr>
    </w:div>
    <w:div w:id="2136286694">
      <w:marLeft w:val="0"/>
      <w:marRight w:val="0"/>
      <w:marTop w:val="100"/>
      <w:marBottom w:val="120"/>
      <w:divBdr>
        <w:top w:val="none" w:sz="0" w:space="0" w:color="auto"/>
        <w:left w:val="none" w:sz="0" w:space="0" w:color="auto"/>
        <w:bottom w:val="none" w:sz="0" w:space="0" w:color="auto"/>
        <w:right w:val="none" w:sz="0" w:space="0" w:color="auto"/>
      </w:divBdr>
    </w:div>
    <w:div w:id="2136557579">
      <w:marLeft w:val="0"/>
      <w:marRight w:val="0"/>
      <w:marTop w:val="0"/>
      <w:marBottom w:val="240"/>
      <w:divBdr>
        <w:top w:val="none" w:sz="0" w:space="0" w:color="auto"/>
        <w:left w:val="none" w:sz="0" w:space="0" w:color="auto"/>
        <w:bottom w:val="none" w:sz="0" w:space="0" w:color="auto"/>
        <w:right w:val="none" w:sz="0" w:space="0" w:color="auto"/>
      </w:divBdr>
    </w:div>
    <w:div w:id="2137410735">
      <w:marLeft w:val="0"/>
      <w:marRight w:val="0"/>
      <w:marTop w:val="0"/>
      <w:marBottom w:val="0"/>
      <w:divBdr>
        <w:top w:val="none" w:sz="0" w:space="0" w:color="auto"/>
        <w:left w:val="none" w:sz="0" w:space="0" w:color="auto"/>
        <w:bottom w:val="none" w:sz="0" w:space="0" w:color="auto"/>
        <w:right w:val="none" w:sz="0" w:space="0" w:color="auto"/>
      </w:divBdr>
    </w:div>
    <w:div w:id="2137790537">
      <w:marLeft w:val="0"/>
      <w:marRight w:val="0"/>
      <w:marTop w:val="0"/>
      <w:marBottom w:val="240"/>
      <w:divBdr>
        <w:top w:val="none" w:sz="0" w:space="0" w:color="auto"/>
        <w:left w:val="none" w:sz="0" w:space="0" w:color="auto"/>
        <w:bottom w:val="none" w:sz="0" w:space="0" w:color="auto"/>
        <w:right w:val="none" w:sz="0" w:space="0" w:color="auto"/>
      </w:divBdr>
    </w:div>
    <w:div w:id="2139832670">
      <w:marLeft w:val="0"/>
      <w:marRight w:val="0"/>
      <w:marTop w:val="180"/>
      <w:marBottom w:val="180"/>
      <w:divBdr>
        <w:top w:val="none" w:sz="0" w:space="0" w:color="auto"/>
        <w:left w:val="none" w:sz="0" w:space="0" w:color="auto"/>
        <w:bottom w:val="none" w:sz="0" w:space="0" w:color="auto"/>
        <w:right w:val="none" w:sz="0" w:space="0" w:color="auto"/>
      </w:divBdr>
    </w:div>
    <w:div w:id="2140372935">
      <w:marLeft w:val="0"/>
      <w:marRight w:val="0"/>
      <w:marTop w:val="0"/>
      <w:marBottom w:val="180"/>
      <w:divBdr>
        <w:top w:val="none" w:sz="0" w:space="0" w:color="auto"/>
        <w:left w:val="none" w:sz="0" w:space="0" w:color="auto"/>
        <w:bottom w:val="none" w:sz="0" w:space="0" w:color="auto"/>
        <w:right w:val="none" w:sz="0" w:space="0" w:color="auto"/>
      </w:divBdr>
    </w:div>
    <w:div w:id="2142842336">
      <w:marLeft w:val="0"/>
      <w:marRight w:val="0"/>
      <w:marTop w:val="0"/>
      <w:marBottom w:val="0"/>
      <w:divBdr>
        <w:top w:val="none" w:sz="0" w:space="0" w:color="auto"/>
        <w:left w:val="none" w:sz="0" w:space="0" w:color="auto"/>
        <w:bottom w:val="none" w:sz="0" w:space="0" w:color="auto"/>
        <w:right w:val="none" w:sz="0" w:space="0" w:color="auto"/>
      </w:divBdr>
      <w:divsChild>
        <w:div w:id="1826823663">
          <w:marLeft w:val="0"/>
          <w:marRight w:val="0"/>
          <w:marTop w:val="0"/>
          <w:marBottom w:val="180"/>
          <w:divBdr>
            <w:top w:val="none" w:sz="0" w:space="0" w:color="auto"/>
            <w:left w:val="none" w:sz="0" w:space="0" w:color="auto"/>
            <w:bottom w:val="none" w:sz="0" w:space="0" w:color="auto"/>
            <w:right w:val="none" w:sz="0" w:space="0" w:color="auto"/>
          </w:divBdr>
        </w:div>
        <w:div w:id="1503933234">
          <w:marLeft w:val="0"/>
          <w:marRight w:val="0"/>
          <w:marTop w:val="0"/>
          <w:marBottom w:val="0"/>
          <w:divBdr>
            <w:top w:val="none" w:sz="0" w:space="0" w:color="auto"/>
            <w:left w:val="none" w:sz="0" w:space="0" w:color="auto"/>
            <w:bottom w:val="none" w:sz="0" w:space="0" w:color="auto"/>
            <w:right w:val="none" w:sz="0" w:space="0" w:color="auto"/>
          </w:divBdr>
        </w:div>
        <w:div w:id="612634111">
          <w:marLeft w:val="0"/>
          <w:marRight w:val="0"/>
          <w:marTop w:val="0"/>
          <w:marBottom w:val="0"/>
          <w:divBdr>
            <w:top w:val="none" w:sz="0" w:space="0" w:color="auto"/>
            <w:left w:val="none" w:sz="0" w:space="0" w:color="auto"/>
            <w:bottom w:val="none" w:sz="0" w:space="0" w:color="auto"/>
            <w:right w:val="none" w:sz="0" w:space="0" w:color="auto"/>
          </w:divBdr>
        </w:div>
        <w:div w:id="184176965">
          <w:marLeft w:val="0"/>
          <w:marRight w:val="0"/>
          <w:marTop w:val="0"/>
          <w:marBottom w:val="0"/>
          <w:divBdr>
            <w:top w:val="none" w:sz="0" w:space="0" w:color="auto"/>
            <w:left w:val="none" w:sz="0" w:space="0" w:color="auto"/>
            <w:bottom w:val="none" w:sz="0" w:space="0" w:color="auto"/>
            <w:right w:val="none" w:sz="0" w:space="0" w:color="auto"/>
          </w:divBdr>
        </w:div>
        <w:div w:id="1638602287">
          <w:marLeft w:val="0"/>
          <w:marRight w:val="0"/>
          <w:marTop w:val="0"/>
          <w:marBottom w:val="0"/>
          <w:divBdr>
            <w:top w:val="none" w:sz="0" w:space="0" w:color="auto"/>
            <w:left w:val="none" w:sz="0" w:space="0" w:color="auto"/>
            <w:bottom w:val="none" w:sz="0" w:space="0" w:color="auto"/>
            <w:right w:val="none" w:sz="0" w:space="0" w:color="auto"/>
          </w:divBdr>
        </w:div>
        <w:div w:id="244191500">
          <w:marLeft w:val="0"/>
          <w:marRight w:val="0"/>
          <w:marTop w:val="0"/>
          <w:marBottom w:val="0"/>
          <w:divBdr>
            <w:top w:val="none" w:sz="0" w:space="0" w:color="auto"/>
            <w:left w:val="none" w:sz="0" w:space="0" w:color="auto"/>
            <w:bottom w:val="none" w:sz="0" w:space="0" w:color="auto"/>
            <w:right w:val="none" w:sz="0" w:space="0" w:color="auto"/>
          </w:divBdr>
        </w:div>
      </w:divsChild>
    </w:div>
    <w:div w:id="2142846812">
      <w:marLeft w:val="0"/>
      <w:marRight w:val="0"/>
      <w:marTop w:val="180"/>
      <w:marBottom w:val="180"/>
      <w:divBdr>
        <w:top w:val="none" w:sz="0" w:space="0" w:color="auto"/>
        <w:left w:val="none" w:sz="0" w:space="0" w:color="auto"/>
        <w:bottom w:val="none" w:sz="0" w:space="0" w:color="auto"/>
        <w:right w:val="none" w:sz="0" w:space="0" w:color="auto"/>
      </w:divBdr>
    </w:div>
    <w:div w:id="2143190817">
      <w:marLeft w:val="0"/>
      <w:marRight w:val="0"/>
      <w:marTop w:val="0"/>
      <w:marBottom w:val="0"/>
      <w:divBdr>
        <w:top w:val="none" w:sz="0" w:space="0" w:color="auto"/>
        <w:left w:val="none" w:sz="0" w:space="0" w:color="auto"/>
        <w:bottom w:val="none" w:sz="0" w:space="0" w:color="auto"/>
        <w:right w:val="none" w:sz="0" w:space="0" w:color="auto"/>
      </w:divBdr>
    </w:div>
    <w:div w:id="2144956934">
      <w:marLeft w:val="0"/>
      <w:marRight w:val="0"/>
      <w:marTop w:val="0"/>
      <w:marBottom w:val="180"/>
      <w:divBdr>
        <w:top w:val="none" w:sz="0" w:space="0" w:color="auto"/>
        <w:left w:val="none" w:sz="0" w:space="0" w:color="auto"/>
        <w:bottom w:val="none" w:sz="0" w:space="0" w:color="auto"/>
        <w:right w:val="none" w:sz="0" w:space="0" w:color="auto"/>
      </w:divBdr>
    </w:div>
    <w:div w:id="2145610155">
      <w:marLeft w:val="0"/>
      <w:marRight w:val="0"/>
      <w:marTop w:val="0"/>
      <w:marBottom w:val="0"/>
      <w:divBdr>
        <w:top w:val="none" w:sz="0" w:space="0" w:color="auto"/>
        <w:left w:val="none" w:sz="0" w:space="0" w:color="auto"/>
        <w:bottom w:val="none" w:sz="0" w:space="0" w:color="auto"/>
        <w:right w:val="none" w:sz="0" w:space="0" w:color="auto"/>
      </w:divBdr>
    </w:div>
    <w:div w:id="2146119756">
      <w:marLeft w:val="0"/>
      <w:marRight w:val="0"/>
      <w:marTop w:val="0"/>
      <w:marBottom w:val="0"/>
      <w:divBdr>
        <w:top w:val="none" w:sz="0" w:space="0" w:color="auto"/>
        <w:left w:val="none" w:sz="0" w:space="0" w:color="auto"/>
        <w:bottom w:val="none" w:sz="0" w:space="0" w:color="auto"/>
        <w:right w:val="none" w:sz="0" w:space="0" w:color="auto"/>
      </w:divBdr>
      <w:divsChild>
        <w:div w:id="1478646610">
          <w:marLeft w:val="0"/>
          <w:marRight w:val="0"/>
          <w:marTop w:val="0"/>
          <w:marBottom w:val="0"/>
          <w:divBdr>
            <w:top w:val="none" w:sz="0" w:space="0" w:color="auto"/>
            <w:left w:val="none" w:sz="0" w:space="0" w:color="auto"/>
            <w:bottom w:val="none" w:sz="0" w:space="0" w:color="auto"/>
            <w:right w:val="none" w:sz="0" w:space="0" w:color="auto"/>
          </w:divBdr>
        </w:div>
      </w:divsChild>
    </w:div>
    <w:div w:id="2146391279">
      <w:marLeft w:val="0"/>
      <w:marRight w:val="0"/>
      <w:marTop w:val="0"/>
      <w:marBottom w:val="0"/>
      <w:divBdr>
        <w:top w:val="none" w:sz="0" w:space="0" w:color="auto"/>
        <w:left w:val="none" w:sz="0" w:space="0" w:color="auto"/>
        <w:bottom w:val="none" w:sz="0" w:space="0" w:color="auto"/>
        <w:right w:val="none" w:sz="0" w:space="0" w:color="auto"/>
      </w:divBdr>
      <w:divsChild>
        <w:div w:id="1245915469">
          <w:marLeft w:val="0"/>
          <w:marRight w:val="0"/>
          <w:marTop w:val="0"/>
          <w:marBottom w:val="0"/>
          <w:divBdr>
            <w:top w:val="none" w:sz="0" w:space="0" w:color="auto"/>
            <w:left w:val="none" w:sz="0" w:space="0" w:color="auto"/>
            <w:bottom w:val="none" w:sz="0" w:space="0" w:color="auto"/>
            <w:right w:val="none" w:sz="0" w:space="0" w:color="auto"/>
          </w:divBdr>
        </w:div>
      </w:divsChild>
    </w:div>
    <w:div w:id="2146848063">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093022exhibit31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qh93022-exhibit10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qh-93022exhibit101.htm" TargetMode="External"/><Relationship Id="rId11" Type="http://schemas.openxmlformats.org/officeDocument/2006/relationships/hyperlink" Target="eqh-093022exhibit322.htm" TargetMode="Externa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093022exhibit321.htm" TargetMode="External"/><Relationship Id="rId4" Type="http://schemas.openxmlformats.org/officeDocument/2006/relationships/image" Target="file:///E:\projects\LLMs\new_data_collection\data_new\htm\Equitable%20Holdings,%20Inc\eqh-20220930_g1.jpg" TargetMode="External"/><Relationship Id="rId9" Type="http://schemas.openxmlformats.org/officeDocument/2006/relationships/hyperlink" Target="eqh-093022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85798</Words>
  <Characters>489050</Characters>
  <Application>Microsoft Office Word</Application>
  <DocSecurity>0</DocSecurity>
  <Lines>4075</Lines>
  <Paragraphs>1147</Paragraphs>
  <ScaleCrop>false</ScaleCrop>
  <Company/>
  <LinksUpToDate>false</LinksUpToDate>
  <CharactersWithSpaces>573701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eqh-20220930</dc:title>
  <dc:subject/>
  <dc:creator>Chongjian.Yue</dc:creator>
  <cp:keywords/>
  <dc:description/>
  <cp:lastModifiedBy>Yue Chongjian</cp:lastModifiedBy>
  <cp:revision>1</cp:revision>
  <dcterms:created xsi:type="dcterms:W3CDTF">2024-01-04T15:43:00Z</dcterms:created>
  <dcterms:modified xsi:type="dcterms:W3CDTF">2024-01-04T15:43:00Z</dcterms:modified>
</cp:coreProperties>
</file>